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360"/>
        <w:jc w:val="left"/>
      </w:pPr>
      <w:r>
        <w:rPr>
          <w:rFonts w:ascii="Times New Roman" w:cs="Times New Roman" w:eastAsia="Times New Roman" w:hAnsi="Times New Roman"/>
          <w:b/>
          <w:bCs/>
          <w:sz w:val="24"/>
          <w:szCs w:val="24"/>
        </w:rPr>
        <w:t xml:space="preserve">3.17 Redes Neuronales Artificiales como Meta-learner</w:t>
      </w:r>
    </w:p>
    <w:p>
      <w:pPr>
        <w:spacing w:after="0" w:before="0"/>
      </w:pPr>
      <w:r>
        <w:rPr>
          <w:rFonts w:ascii="Times New Roman" w:cs="Times New Roman" w:eastAsia="Times New Roman" w:hAnsi="Times New Roman"/>
          <w:sz w:val="24"/>
          <w:szCs w:val="24"/>
        </w:rPr>
        <w:t xml:space="preserve"/>
      </w:r>
    </w:p>
    <w:p>
      <w:pPr>
        <w:spacing w:after="120" w:before="240"/>
        <w:jc w:val="left"/>
      </w:pPr>
      <w:r>
        <w:rPr>
          <w:rFonts w:ascii="Times New Roman" w:cs="Times New Roman" w:eastAsia="Times New Roman" w:hAnsi="Times New Roman"/>
          <w:b w:val="false"/>
          <w:bCs w:val="false"/>
          <w:sz w:val="24"/>
          <w:szCs w:val="24"/>
        </w:rPr>
        <w:t xml:space="preserve">3.17.1 Fundamentos de las redes neuronales artificiales</w:t>
      </w:r>
    </w:p>
    <w:p>
      <w:pPr>
        <w:spacing w:after="0" w:before="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sz w:val="24"/>
          <w:szCs w:val="24"/>
        </w:rPr>
        <w:t xml:space="preserve">Las redes neuronales artificiales (RNA) constituyen uno de los paradigmas más influyentes del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moderno, inspirados en la organización funcional del sistema nervioso biológico para modelar relaciones complejas entre variables de entrada y salida. Desde sus formulaciones matemáticas iniciales, estas arquitecturas han demostrado una notable capacidad para aproximar funciones no lineales arbitrarias mediante la composición de capas de unidades de procesamiento interconectadas (Rumelhart, Hinton y Williams, 1986). En el ámbito educativo, esta capacidad adquiere una relevancia particular, dado que las variables que intervienen en fenómenos como la deserción escolar no exhiben relaciones lineales ni independientes entre sí, sino patrones de interacción complejos que superan las limitaciones de los modelos estadísticos tradicionales (Romero y Ventura, 2020). En este sentido, las RNA ofrecen un marco computacional capaz de capturar tanto la magnitud como la dirección de las influencias entre dimensiones psicoemocionales, académicas e institucionales sobre el riesgo de abandono estudiantil.</w:t>
      </w:r>
    </w:p>
    <w:p>
      <w:pPr>
        <w:spacing w:after="200" w:before="0" w:line="480" w:lineRule="auto"/>
        <w:ind w:firstLine="720"/>
        <w:jc w:val="both"/>
      </w:pPr>
      <w:r>
        <w:rPr>
          <w:rFonts w:ascii="Times New Roman" w:cs="Times New Roman" w:eastAsia="Times New Roman" w:hAnsi="Times New Roman"/>
          <w:sz w:val="24"/>
          <w:szCs w:val="24"/>
        </w:rPr>
        <w:t xml:space="preserve">El avance teórico y computacional de las últimas décadas ha posicionado a las RNA como herramientas fundamentales en el procesamiento de grandes volúmenes de datos multidimensionales. LeCun, Bengio y Hinton (2015) señalan que el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—enfoque basado en redes con múltiples capas ocultas— ha transformado radicalmente la capacidad de los sistemas computacionales para aprender representaciones jerárquicas de la información, superando consistentemente a métodos clásicos en tareas de clasificación y predicción. Goodfellow, Bengio y Courville (2016) amplían este marco al distinguir entre arquitecturas superficiales y profundas, precisando que incluso una red con una sola capa oculta puede aproximar cualquier función continua dado un número suficiente de unidades, principio conocido como el teorema de aproximación universal. Esta propiedad justifica el empleo de redes neuronales en contextos educativos donde la naturaleza de las relaciones entre las variables psicoemocionales y el riesgo de deserción no es conocida a priori y no puede asumirse como lineal.</w:t>
      </w:r>
    </w:p>
    <w:p>
      <w:pPr>
        <w:spacing w:after="200" w:before="0" w:line="480" w:lineRule="auto"/>
        <w:ind w:firstLine="720"/>
        <w:jc w:val="both"/>
      </w:pPr>
      <w:r>
        <w:rPr>
          <w:rFonts w:ascii="Times New Roman" w:cs="Times New Roman" w:eastAsia="Times New Roman" w:hAnsi="Times New Roman"/>
          <w:sz w:val="24"/>
          <w:szCs w:val="24"/>
        </w:rPr>
        <w:t xml:space="preserve">En el contexto latinoamericano y mexicano, la aplicación de redes neuronales a la predicción del abandono escolar ha ganado terreno progresivo, aunque persisten limitaciones importantes relacionadas con el tamaño de las muestras disponibles y la diversidad de las variables consideradas. Rastrollo-Guerrero, Gómez-Pulido y Durán-Domínguez (2020) reportan, en una revisión sistemática de estudios sobre predicción del rendimiento académico mediante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que las RNA exhiben un desempeño competitivo cuando se dispone de datos multidimensionales que integran variables académicas, socioeconómicas y conductuales. Sumado a esto, la creciente disponibilidad de plataformas de cómputo accesibles ha democratizado el uso de estas arquitecturas en instituciones de educación superior, posibilitando su implementación en contextos de recursos limitados como los que caracterizan a gran parte del sistema universitario mexicano.</w:t>
      </w:r>
    </w:p>
    <w:p>
      <w:pPr>
        <w:spacing w:after="120" w:before="240"/>
        <w:jc w:val="left"/>
      </w:pPr>
      <w:r>
        <w:rPr>
          <w:rFonts w:ascii="Times New Roman" w:cs="Times New Roman" w:eastAsia="Times New Roman" w:hAnsi="Times New Roman"/>
          <w:b w:val="false"/>
          <w:bCs w:val="false"/>
          <w:sz w:val="24"/>
          <w:szCs w:val="24"/>
        </w:rPr>
        <w:t xml:space="preserve">3.17.2 Arquitectura Feedforward Neural Network</w:t>
      </w:r>
    </w:p>
    <w:p>
      <w:pPr>
        <w:spacing w:after="0" w:before="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i/>
          <w:iCs/>
          <w:sz w:val="24"/>
          <w:szCs w:val="24"/>
        </w:rPr>
        <w:t xml:space="preserve">Feedforward Neural Network</w:t>
      </w:r>
      <w:r>
        <w:rPr>
          <w:rFonts w:ascii="Times New Roman" w:cs="Times New Roman" w:eastAsia="Times New Roman" w:hAnsi="Times New Roman"/>
          <w:sz w:val="24"/>
          <w:szCs w:val="24"/>
        </w:rPr>
        <w:t xml:space="preserve"> (FNN) representa la arquitectura básica y más ampliamente utilizada dentro de la familia de redes neuronales artificiales. En esta configuración, la información fluye unidireccionalmente desde la capa de entrada, a través de una o más capas ocultas, hasta la capa de salida, sin ciclos ni retroalimentaciones entre las unidades (Haykin, 2009). Cada unidad o neurona recibe las salidas ponderadas de la capa anterior, aplica una función de activación no lineal —como la función sigmoide, </w:t>
      </w:r>
      <w:r>
        <w:rPr>
          <w:rFonts w:ascii="Times New Roman" w:cs="Times New Roman" w:eastAsia="Times New Roman" w:hAnsi="Times New Roman"/>
          <w:i/>
          <w:iCs/>
          <w:sz w:val="24"/>
          <w:szCs w:val="24"/>
        </w:rPr>
        <w:t xml:space="preserve">ReLU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Rectified Linear Unit</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tanh</w:t>
      </w:r>
      <w:r>
        <w:rPr>
          <w:rFonts w:ascii="Times New Roman" w:cs="Times New Roman" w:eastAsia="Times New Roman" w:hAnsi="Times New Roman"/>
          <w:sz w:val="24"/>
          <w:szCs w:val="24"/>
        </w:rPr>
        <w:t xml:space="preserve">— y transmite el resultado a la capa siguiente. La selección de la función de activación resulta crucial para la capacidad representacional de la red: las funciones lineales limitarían la arquitectura a modelar únicamente relaciones proporcionales entre variables, mientras que las funciones no lineales habilitan la captura de patrones de mayor complejidad, como los que subyacen a la deserción escolar (Goodfellow et al., 2016). Cabe destacar que la arquitectura FNN ha sido empleada exitosamente como capa de predicción final en modelos de ensamble aplicados a contextos educativos, donde actúa como integrador adaptativo de las predicciones generadas por los modelos de base (Tran y Pojon, 2022).</w:t>
      </w:r>
    </w:p>
    <w:p>
      <w:pPr>
        <w:spacing w:after="200" w:before="0" w:line="480" w:lineRule="auto"/>
        <w:ind w:firstLine="720"/>
        <w:jc w:val="both"/>
      </w:pPr>
      <w:r>
        <w:rPr>
          <w:rFonts w:ascii="Times New Roman" w:cs="Times New Roman" w:eastAsia="Times New Roman" w:hAnsi="Times New Roman"/>
          <w:sz w:val="24"/>
          <w:szCs w:val="24"/>
        </w:rPr>
        <w:t xml:space="preserve">El proceso de entrenamiento de una FNN se sustenta en el algoritmo de retropropagación del error (</w:t>
      </w:r>
      <w:r>
        <w:rPr>
          <w:rFonts w:ascii="Times New Roman" w:cs="Times New Roman" w:eastAsia="Times New Roman" w:hAnsi="Times New Roman"/>
          <w:i/>
          <w:iCs/>
          <w:sz w:val="24"/>
          <w:szCs w:val="24"/>
        </w:rPr>
        <w:t xml:space="preserve">backpropagation</w:t>
      </w:r>
      <w:r>
        <w:rPr>
          <w:rFonts w:ascii="Times New Roman" w:cs="Times New Roman" w:eastAsia="Times New Roman" w:hAnsi="Times New Roman"/>
          <w:sz w:val="24"/>
          <w:szCs w:val="24"/>
        </w:rPr>
        <w:t xml:space="preserve">), propuesto originalmente por Rumelhart et al. (1986) y formalizado posteriormente por múltiples autores. Este algoritmo calcula el gradiente de la función de pérdida respecto a cada parámetro de la red mediante la regla de la cadena, actualizando iterativamente los pesos en la dirección que minimiza el error de predicción. En la práctica, el entrenamiento se realiza mediante variantes del descenso por gradiente estocástico (</w:t>
      </w:r>
      <w:r>
        <w:rPr>
          <w:rFonts w:ascii="Times New Roman" w:cs="Times New Roman" w:eastAsia="Times New Roman" w:hAnsi="Times New Roman"/>
          <w:i/>
          <w:iCs/>
          <w:sz w:val="24"/>
          <w:szCs w:val="24"/>
        </w:rPr>
        <w:t xml:space="preserve">stochastic gradient descent</w:t>
      </w:r>
      <w:r>
        <w:rPr>
          <w:rFonts w:ascii="Times New Roman" w:cs="Times New Roman" w:eastAsia="Times New Roman" w:hAnsi="Times New Roman"/>
          <w:sz w:val="24"/>
          <w:szCs w:val="24"/>
        </w:rPr>
        <w:t xml:space="preserve">, SGD) o algoritmos adaptativos como </w:t>
      </w:r>
      <w:r>
        <w:rPr>
          <w:rFonts w:ascii="Times New Roman" w:cs="Times New Roman" w:eastAsia="Times New Roman" w:hAnsi="Times New Roman"/>
          <w:i/>
          <w:iCs/>
          <w:sz w:val="24"/>
          <w:szCs w:val="24"/>
        </w:rPr>
        <w:t xml:space="preserve">Adam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Adaptive Moment Estimation</w:t>
      </w:r>
      <w:r>
        <w:rPr>
          <w:rFonts w:ascii="Times New Roman" w:cs="Times New Roman" w:eastAsia="Times New Roman" w:hAnsi="Times New Roman"/>
          <w:sz w:val="24"/>
          <w:szCs w:val="24"/>
        </w:rPr>
        <w:t xml:space="preserve">), que ajustan dinámicamente la tasa de aprendizaje para acelerar la convergencia (Goodfellow et al., 2016). Por otro lado, la convergencia hacia mínimos globales no está garantizada en redes de múltiples capas debido a la no convexidad de la función objetivo; sin embargo, la evidencia empírica indica que los mínimos locales hallados durante el entrenamiento resultan suficientemente buenos para la mayoría de las aplicaciones predictivas en el ámbito educativo (LeCun et al., 2015).</w:t>
      </w:r>
    </w:p>
    <w:p>
      <w:pPr>
        <w:spacing w:after="120" w:before="240"/>
        <w:jc w:val="left"/>
      </w:pPr>
      <w:r>
        <w:rPr>
          <w:rFonts w:ascii="Times New Roman" w:cs="Times New Roman" w:eastAsia="Times New Roman" w:hAnsi="Times New Roman"/>
          <w:b w:val="false"/>
          <w:bCs w:val="false"/>
          <w:sz w:val="24"/>
          <w:szCs w:val="24"/>
        </w:rPr>
        <w:t xml:space="preserve">3.17.3 Regularización y técnica de Dropout</w:t>
      </w:r>
    </w:p>
    <w:p>
      <w:pPr>
        <w:spacing w:after="0" w:before="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sz w:val="24"/>
          <w:szCs w:val="24"/>
        </w:rPr>
        <w:t xml:space="preserve">Un desafío central en el entrenamiento de redes neuronales es el sobreajuste (</w:t>
      </w:r>
      <w:r>
        <w:rPr>
          <w:rFonts w:ascii="Times New Roman" w:cs="Times New Roman" w:eastAsia="Times New Roman" w:hAnsi="Times New Roman"/>
          <w:i/>
          <w:iCs/>
          <w:sz w:val="24"/>
          <w:szCs w:val="24"/>
        </w:rPr>
        <w:t xml:space="preserve">overfitting</w:t>
      </w:r>
      <w:r>
        <w:rPr>
          <w:rFonts w:ascii="Times New Roman" w:cs="Times New Roman" w:eastAsia="Times New Roman" w:hAnsi="Times New Roman"/>
          <w:sz w:val="24"/>
          <w:szCs w:val="24"/>
        </w:rPr>
        <w:t xml:space="preserve">), fenómeno mediante el cual el modelo memoriza los patrones específicos del conjunto de entrenamiento en detrimento de su capacidad de generalización a datos no observados previamente. En contextos de predicción educativa, este problema se agrava por el tamaño típicamente limitado de los conjuntos de datos disponibles, como ocurre en la presente investigación con estudiantes de educación superior en Querétaro. Para mitigar el sobreajuste, Srivastava, Hinton, Krizhevsky, Sutskever y Salakhutdinov (2014) propusieron la técnica de </w:t>
      </w:r>
      <w:r>
        <w:rPr>
          <w:rFonts w:ascii="Times New Roman" w:cs="Times New Roman" w:eastAsia="Times New Roman" w:hAnsi="Times New Roman"/>
          <w:i/>
          <w:iCs/>
          <w:sz w:val="24"/>
          <w:szCs w:val="24"/>
        </w:rPr>
        <w:t xml:space="preserve">dropout</w:t>
      </w:r>
      <w:r>
        <w:rPr>
          <w:rFonts w:ascii="Times New Roman" w:cs="Times New Roman" w:eastAsia="Times New Roman" w:hAnsi="Times New Roman"/>
          <w:sz w:val="24"/>
          <w:szCs w:val="24"/>
        </w:rPr>
        <w:t xml:space="preserve">, que consiste en la desactivación aleatoria de una proporción de unidades durante cada paso de entrenamiento, forzando a la red a aprender representaciones robustas que no dependan de neuronas específicas. Lo anterior equivale funcionalmente al entrenamiento implícito de un gran número de subredes con arquitecturas distintas y al promediado de sus predicciones, produciendo una mejora significativa en la capacidad de generalización del modelo resultante.</w:t>
      </w:r>
    </w:p>
    <w:p>
      <w:pPr>
        <w:spacing w:after="200" w:before="0" w:line="480" w:lineRule="auto"/>
        <w:ind w:firstLine="720"/>
        <w:jc w:val="both"/>
      </w:pPr>
      <w:r>
        <w:rPr>
          <w:rFonts w:ascii="Times New Roman" w:cs="Times New Roman" w:eastAsia="Times New Roman" w:hAnsi="Times New Roman"/>
          <w:sz w:val="24"/>
          <w:szCs w:val="24"/>
        </w:rPr>
        <w:t xml:space="preserve">Asimismo, otras técnicas de regularización como la penalización L2 (</w:t>
      </w:r>
      <w:r>
        <w:rPr>
          <w:rFonts w:ascii="Times New Roman" w:cs="Times New Roman" w:eastAsia="Times New Roman" w:hAnsi="Times New Roman"/>
          <w:i/>
          <w:iCs/>
          <w:sz w:val="24"/>
          <w:szCs w:val="24"/>
        </w:rPr>
        <w:t xml:space="preserve">weight decay</w:t>
      </w:r>
      <w:r>
        <w:rPr>
          <w:rFonts w:ascii="Times New Roman" w:cs="Times New Roman" w:eastAsia="Times New Roman" w:hAnsi="Times New Roman"/>
          <w:sz w:val="24"/>
          <w:szCs w:val="24"/>
        </w:rPr>
        <w:t xml:space="preserve">) y la normalización por lotes (</w:t>
      </w:r>
      <w:r>
        <w:rPr>
          <w:rFonts w:ascii="Times New Roman" w:cs="Times New Roman" w:eastAsia="Times New Roman" w:hAnsi="Times New Roman"/>
          <w:i/>
          <w:iCs/>
          <w:sz w:val="24"/>
          <w:szCs w:val="24"/>
        </w:rPr>
        <w:t xml:space="preserve">batch normalization</w:t>
      </w:r>
      <w:r>
        <w:rPr>
          <w:rFonts w:ascii="Times New Roman" w:cs="Times New Roman" w:eastAsia="Times New Roman" w:hAnsi="Times New Roman"/>
          <w:sz w:val="24"/>
          <w:szCs w:val="24"/>
        </w:rPr>
        <w:t xml:space="preserve">) han demostrado su utilidad en la reducción del sobreajuste en redes aplicadas a datos educativos de dimensionalidad moderada (Haykin, 2009). La normalización por lotes estabiliza la distribución de las activaciones a lo largo del entrenamiento, permitiendo el uso de tasas de aprendizaje más elevadas y acelerando la convergencia del modelo. En el marco del presente estudio, la selección de técnicas de regularización adecuadas responde tanto al tamaño del conjunto de datos como a la complejidad intrínseca de las relaciones entre variables psicoemocionales y el riesgo de deserción escolar, garantizando que el modelo resultante sea suficientemente flexible para capturar patrones reales sin incurrir en la memorización de ruido estadístico presente en los datos de entrenamiento.</w:t>
      </w:r>
    </w:p>
    <w:p>
      <w:pPr>
        <w:spacing w:after="120" w:before="240"/>
        <w:jc w:val="left"/>
      </w:pPr>
      <w:r>
        <w:rPr>
          <w:rFonts w:ascii="Times New Roman" w:cs="Times New Roman" w:eastAsia="Times New Roman" w:hAnsi="Times New Roman"/>
          <w:b w:val="false"/>
          <w:bCs w:val="false"/>
          <w:sz w:val="24"/>
          <w:szCs w:val="24"/>
        </w:rPr>
        <w:t xml:space="preserve">3.17.4 Las redes neuronales como meta-learner en el Stacking</w:t>
      </w:r>
    </w:p>
    <w:p>
      <w:pPr>
        <w:spacing w:after="0" w:before="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sz w:val="24"/>
          <w:szCs w:val="24"/>
        </w:rPr>
        <w:t xml:space="preserve">En la arquitectura de </w:t>
      </w:r>
      <w:r>
        <w:rPr>
          <w:rFonts w:ascii="Times New Roman" w:cs="Times New Roman" w:eastAsia="Times New Roman" w:hAnsi="Times New Roman"/>
          <w:i/>
          <w:iCs/>
          <w:sz w:val="24"/>
          <w:szCs w:val="24"/>
        </w:rPr>
        <w:t xml:space="preserve">Stacking Ensemble</w:t>
      </w:r>
      <w:r>
        <w:rPr>
          <w:rFonts w:ascii="Times New Roman" w:cs="Times New Roman" w:eastAsia="Times New Roman" w:hAnsi="Times New Roman"/>
          <w:sz w:val="24"/>
          <w:szCs w:val="24"/>
        </w:rPr>
        <w:t xml:space="preserve"> adoptada en la presente investigación, la FNN desempeña el rol de </w:t>
      </w:r>
      <w:r>
        <w:rPr>
          <w:rFonts w:ascii="Times New Roman" w:cs="Times New Roman" w:eastAsia="Times New Roman" w:hAnsi="Times New Roman"/>
          <w:i/>
          <w:iCs/>
          <w:sz w:val="24"/>
          <w:szCs w:val="24"/>
        </w:rPr>
        <w:t xml:space="preserve">meta-learner</w:t>
      </w:r>
      <w:r>
        <w:rPr>
          <w:rFonts w:ascii="Times New Roman" w:cs="Times New Roman" w:eastAsia="Times New Roman" w:hAnsi="Times New Roman"/>
          <w:sz w:val="24"/>
          <w:szCs w:val="24"/>
        </w:rPr>
        <w:t xml:space="preserve"> o modelo de segundo nivel, responsable de integrar las predicciones generadas por los modelos de base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XGBoost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para producir una predicción final optimizada sobre el riesgo de deserción estudiantil. Esta configuración fue propuesta teóricamente por Wolpert (1992) y ha sido adoptada en estudios recientes sobre predicción de abandono educativo, donde las redes neuronales han demostrado superar a los métodos de combinación tradicionales cuando actúan como integradores adaptativos de múltiples fuentes de información (Talamás-Carvajal y Ceballos, 2023). La FNN, al recibir como entrada las predicciones de los clasificadores de base junto con un subconjunto de variables originales seleccionadas, puede aprender las correlaciones y compensaciones entre los distintos modelos, aprovechando sus fortalezas complementarias y minimizando sus errores sistemáticos individuales.</w:t>
      </w:r>
    </w:p>
    <w:p>
      <w:pPr>
        <w:spacing w:after="200" w:before="0" w:line="480" w:lineRule="auto"/>
        <w:ind w:firstLine="720"/>
        <w:jc w:val="both"/>
      </w:pPr>
      <w:r>
        <w:rPr>
          <w:rFonts w:ascii="Times New Roman" w:cs="Times New Roman" w:eastAsia="Times New Roman" w:hAnsi="Times New Roman"/>
          <w:sz w:val="24"/>
          <w:szCs w:val="24"/>
        </w:rPr>
        <w:t xml:space="preserve">Por otro lado, la selección de la FNN como </w:t>
      </w:r>
      <w:r>
        <w:rPr>
          <w:rFonts w:ascii="Times New Roman" w:cs="Times New Roman" w:eastAsia="Times New Roman" w:hAnsi="Times New Roman"/>
          <w:i/>
          <w:iCs/>
          <w:sz w:val="24"/>
          <w:szCs w:val="24"/>
        </w:rPr>
        <w:t xml:space="preserve">meta-learner</w:t>
      </w:r>
      <w:r>
        <w:rPr>
          <w:rFonts w:ascii="Times New Roman" w:cs="Times New Roman" w:eastAsia="Times New Roman" w:hAnsi="Times New Roman"/>
          <w:sz w:val="24"/>
          <w:szCs w:val="24"/>
        </w:rPr>
        <w:t xml:space="preserve"> en lugar de modelos lineales simples —como la regresión logística frecuentemente empleada en implementaciones más conservadoras del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responde a la hipótesis de que las interacciones entre los errores de los clasificadores de base no son de naturaleza lineal (Ren, Zhang y Suganthan, 2016). Cuando los modelos de primer nivel presentan errores correlacionados pero de patrones cualitativamente distintos —como puede ocurrir cuando el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falla sistemáticamente en casos de alta variabilidad emocional mientras XGBoost captura mejor los patrones motivacionales—, un combinador no lineal como la FNN puede identificar y explotar estas diferencias de manera más efectiva que un combinador lineal. Tran y Pojon (2022) confirmaron empíricamente esta ventaja, reportando que el uso de una red neuronal como </w:t>
      </w:r>
      <w:r>
        <w:rPr>
          <w:rFonts w:ascii="Times New Roman" w:cs="Times New Roman" w:eastAsia="Times New Roman" w:hAnsi="Times New Roman"/>
          <w:i/>
          <w:iCs/>
          <w:sz w:val="24"/>
          <w:szCs w:val="24"/>
        </w:rPr>
        <w:t xml:space="preserve">meta-learner</w:t>
      </w:r>
      <w:r>
        <w:rPr>
          <w:rFonts w:ascii="Times New Roman" w:cs="Times New Roman" w:eastAsia="Times New Roman" w:hAnsi="Times New Roman"/>
          <w:sz w:val="24"/>
          <w:szCs w:val="24"/>
        </w:rPr>
        <w:t xml:space="preserve"> en la predicción del rendimiento estudiantil produjo mejoras de hasta 4.2 puntos porcentuales en la exactitud predictiva en comparación con la regresión logística como combinador.</w:t>
      </w:r>
    </w:p>
    <w:p>
      <w:pPr>
        <w:spacing w:after="200" w:before="0" w:line="480" w:lineRule="auto"/>
        <w:ind w:firstLine="720"/>
        <w:jc w:val="both"/>
      </w:pPr>
      <w:r>
        <w:rPr>
          <w:rFonts w:ascii="Times New Roman" w:cs="Times New Roman" w:eastAsia="Times New Roman" w:hAnsi="Times New Roman"/>
          <w:sz w:val="24"/>
          <w:szCs w:val="24"/>
        </w:rPr>
        <w:t xml:space="preserve">A partir de lo anterior, la incorporación de la FNN como capa de integración final en el modelo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propuesto en la presente tesis doctoral se justifica tanto desde una perspectiva teórica —dada su capacidad de aproximación universal y su adaptabilidad a relaciones no lineales complejas— como desde la evidencia empírica acumulada en estudios de predicción educativa comparables. En consecuencia, esta arquitectura no solo mejora la precisión predictiva del sistema, sino que también proporciona una base metodológica sólida para la generación de perfiles de riesgo estudiantil que alimenten las intervenciones preventivas propuestas por el sistema Atenea AI. La combinación de modelos de base robustos con un </w:t>
      </w:r>
      <w:r>
        <w:rPr>
          <w:rFonts w:ascii="Times New Roman" w:cs="Times New Roman" w:eastAsia="Times New Roman" w:hAnsi="Times New Roman"/>
          <w:i/>
          <w:iCs/>
          <w:sz w:val="24"/>
          <w:szCs w:val="24"/>
        </w:rPr>
        <w:t xml:space="preserve">meta-learner</w:t>
      </w:r>
      <w:r>
        <w:rPr>
          <w:rFonts w:ascii="Times New Roman" w:cs="Times New Roman" w:eastAsia="Times New Roman" w:hAnsi="Times New Roman"/>
          <w:sz w:val="24"/>
          <w:szCs w:val="24"/>
        </w:rPr>
        <w:t xml:space="preserve"> neuronal constituye así el núcleo computacional del dispositivo epistemotécnico descrito en el apartado filosófico-epistemológico precedente.</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240" w:before="360"/>
        <w:jc w:val="left"/>
      </w:pPr>
      <w:r>
        <w:rPr>
          <w:rFonts w:ascii="Times New Roman" w:cs="Times New Roman" w:eastAsia="Times New Roman" w:hAnsi="Times New Roman"/>
          <w:b/>
          <w:bCs/>
          <w:sz w:val="24"/>
          <w:szCs w:val="24"/>
        </w:rPr>
        <w:t xml:space="preserve">Referencias</w:t>
      </w:r>
    </w:p>
    <w:p>
      <w:pPr>
        <w:spacing w:after="160" w:before="0" w:line="480" w:lineRule="auto"/>
        <w:ind w:left="720" w:hanging="720"/>
        <w:jc w:val="both"/>
      </w:pPr>
      <w:r>
        <w:rPr>
          <w:rFonts w:ascii="Times New Roman" w:cs="Times New Roman" w:eastAsia="Times New Roman" w:hAnsi="Times New Roman"/>
          <w:sz w:val="24"/>
          <w:szCs w:val="24"/>
        </w:rPr>
        <w:t xml:space="preserve">Goodfellow, I., Bengio, Y., y Courville, A. (2016).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MIT Press.</w:t>
      </w:r>
    </w:p>
    <w:p>
      <w:pPr>
        <w:spacing w:after="160" w:before="0" w:line="480" w:lineRule="auto"/>
        <w:ind w:left="720" w:hanging="720"/>
        <w:jc w:val="both"/>
      </w:pPr>
      <w:r>
        <w:rPr>
          <w:rFonts w:ascii="Times New Roman" w:cs="Times New Roman" w:eastAsia="Times New Roman" w:hAnsi="Times New Roman"/>
          <w:sz w:val="24"/>
          <w:szCs w:val="24"/>
        </w:rPr>
        <w:t xml:space="preserve">Haykin, S. (2009). </w:t>
      </w:r>
      <w:r>
        <w:rPr>
          <w:rFonts w:ascii="Times New Roman" w:cs="Times New Roman" w:eastAsia="Times New Roman" w:hAnsi="Times New Roman"/>
          <w:i/>
          <w:iCs/>
          <w:sz w:val="24"/>
          <w:szCs w:val="24"/>
        </w:rPr>
        <w:t xml:space="preserve">Neural networks and learning machines</w:t>
      </w:r>
      <w:r>
        <w:rPr>
          <w:rFonts w:ascii="Times New Roman" w:cs="Times New Roman" w:eastAsia="Times New Roman" w:hAnsi="Times New Roman"/>
          <w:sz w:val="24"/>
          <w:szCs w:val="24"/>
        </w:rPr>
        <w:t xml:space="preserve"> (3.ª ed.). Pearson Education.</w:t>
      </w:r>
    </w:p>
    <w:p>
      <w:pPr>
        <w:spacing w:after="160" w:before="0" w:line="480" w:lineRule="auto"/>
        <w:ind w:left="720" w:hanging="720"/>
        <w:jc w:val="both"/>
      </w:pPr>
      <w:r>
        <w:rPr>
          <w:rFonts w:ascii="Times New Roman" w:cs="Times New Roman" w:eastAsia="Times New Roman" w:hAnsi="Times New Roman"/>
          <w:sz w:val="24"/>
          <w:szCs w:val="24"/>
        </w:rPr>
        <w:t xml:space="preserve">LeCun, Y., Bengio, Y., y Hinton, G. (2015). Deep learning.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521</w:t>
      </w:r>
      <w:r>
        <w:rPr>
          <w:rFonts w:ascii="Times New Roman" w:cs="Times New Roman" w:eastAsia="Times New Roman" w:hAnsi="Times New Roman"/>
          <w:sz w:val="24"/>
          <w:szCs w:val="24"/>
        </w:rPr>
        <w:t xml:space="preserve">(7553), 436–444. https://doi.org/10.1038/nature14539</w:t>
      </w:r>
    </w:p>
    <w:p>
      <w:pPr>
        <w:spacing w:after="160" w:before="0" w:line="480" w:lineRule="auto"/>
        <w:ind w:left="720" w:hanging="720"/>
        <w:jc w:val="both"/>
      </w:pPr>
      <w:r>
        <w:rPr>
          <w:rFonts w:ascii="Times New Roman" w:cs="Times New Roman" w:eastAsia="Times New Roman" w:hAnsi="Times New Roman"/>
          <w:sz w:val="24"/>
          <w:szCs w:val="24"/>
        </w:rPr>
        <w:t xml:space="preserve">Rastrollo-Guerrero, J. L., Gómez-Pulido, J. A., y Durán-Domínguez, A. (2020). Analyzing and predicting students' performance by means of machine learning: A review. </w:t>
      </w:r>
      <w:r>
        <w:rPr>
          <w:rFonts w:ascii="Times New Roman" w:cs="Times New Roman" w:eastAsia="Times New Roman" w:hAnsi="Times New Roman"/>
          <w:i/>
          <w:iCs/>
          <w:sz w:val="24"/>
          <w:szCs w:val="24"/>
        </w:rPr>
        <w:t xml:space="preserve">Applied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(3), 1042. https://doi.org/10.3390/app10031042</w:t>
      </w:r>
    </w:p>
    <w:p>
      <w:pPr>
        <w:spacing w:after="160" w:before="0" w:line="480" w:lineRule="auto"/>
        <w:ind w:left="720" w:hanging="720"/>
        <w:jc w:val="both"/>
      </w:pPr>
      <w:r>
        <w:rPr>
          <w:rFonts w:ascii="Times New Roman" w:cs="Times New Roman" w:eastAsia="Times New Roman" w:hAnsi="Times New Roman"/>
          <w:sz w:val="24"/>
          <w:szCs w:val="24"/>
        </w:rPr>
        <w:t xml:space="preserve">Ren, Y., Zhang, L., y Suganthan, P. N. (2016). Ensemble classification and regression — recent developments, applications and future directions. </w:t>
      </w:r>
      <w:r>
        <w:rPr>
          <w:rFonts w:ascii="Times New Roman" w:cs="Times New Roman" w:eastAsia="Times New Roman" w:hAnsi="Times New Roman"/>
          <w:i/>
          <w:iCs/>
          <w:sz w:val="24"/>
          <w:szCs w:val="24"/>
        </w:rPr>
        <w:t xml:space="preserve">IEEE Computational Intelligence Magazine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(1), 41–53. https://doi.org/10.1109/MCI.2015.2471235</w:t>
      </w:r>
    </w:p>
    <w:p>
      <w:pPr>
        <w:spacing w:after="160" w:before="0" w:line="480" w:lineRule="auto"/>
        <w:ind w:left="720" w:hanging="720"/>
        <w:jc w:val="both"/>
      </w:pPr>
      <w:r>
        <w:rPr>
          <w:rFonts w:ascii="Times New Roman" w:cs="Times New Roman" w:eastAsia="Times New Roman" w:hAnsi="Times New Roman"/>
          <w:sz w:val="24"/>
          <w:szCs w:val="24"/>
        </w:rPr>
        <w:t xml:space="preserve">Romero, C., y Ventura, S. (2020). Educational data mining and learning analytics: An updated survey. </w:t>
      </w:r>
      <w:r>
        <w:rPr>
          <w:rFonts w:ascii="Times New Roman" w:cs="Times New Roman" w:eastAsia="Times New Roman" w:hAnsi="Times New Roman"/>
          <w:i/>
          <w:iCs/>
          <w:sz w:val="24"/>
          <w:szCs w:val="24"/>
        </w:rPr>
        <w:t xml:space="preserve">WIREs Data Mining and Knowledge Discovery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(3), e1355. https://doi.org/10.1002/widm.1355</w:t>
      </w:r>
    </w:p>
    <w:p>
      <w:pPr>
        <w:spacing w:after="160" w:before="0" w:line="480" w:lineRule="auto"/>
        <w:ind w:left="720" w:hanging="720"/>
        <w:jc w:val="both"/>
      </w:pPr>
      <w:r>
        <w:rPr>
          <w:rFonts w:ascii="Times New Roman" w:cs="Times New Roman" w:eastAsia="Times New Roman" w:hAnsi="Times New Roman"/>
          <w:sz w:val="24"/>
          <w:szCs w:val="24"/>
        </w:rPr>
        <w:t xml:space="preserve">Rumelhart, D. E., Hinton, G. E., y Williams, R. J. (1986). Learning representations by back-propagating errors.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323</w:t>
      </w:r>
      <w:r>
        <w:rPr>
          <w:rFonts w:ascii="Times New Roman" w:cs="Times New Roman" w:eastAsia="Times New Roman" w:hAnsi="Times New Roman"/>
          <w:sz w:val="24"/>
          <w:szCs w:val="24"/>
        </w:rPr>
        <w:t xml:space="preserve">(6088), 533–536. https://doi.org/10.1038/323533a0</w:t>
      </w:r>
    </w:p>
    <w:p>
      <w:pPr>
        <w:spacing w:after="160" w:before="0" w:line="480" w:lineRule="auto"/>
        <w:ind w:left="720" w:hanging="720"/>
        <w:jc w:val="both"/>
      </w:pPr>
      <w:r>
        <w:rPr>
          <w:rFonts w:ascii="Times New Roman" w:cs="Times New Roman" w:eastAsia="Times New Roman" w:hAnsi="Times New Roman"/>
          <w:sz w:val="24"/>
          <w:szCs w:val="24"/>
        </w:rPr>
        <w:t xml:space="preserve">Srivastava, N., Hinton, G., Krizhevsky, A., Sutskever, I., y Salakhutdinov, R. (2014). Dropout: A simple way to prevent neural networks from overfitting.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(1), 1929–1958.</w:t>
      </w:r>
    </w:p>
    <w:p>
      <w:pPr>
        <w:spacing w:after="160" w:before="0" w:line="480" w:lineRule="auto"/>
        <w:ind w:left="720" w:hanging="720"/>
        <w:jc w:val="both"/>
      </w:pPr>
      <w:r>
        <w:rPr>
          <w:rFonts w:ascii="Times New Roman" w:cs="Times New Roman" w:eastAsia="Times New Roman" w:hAnsi="Times New Roman"/>
          <w:sz w:val="24"/>
          <w:szCs w:val="24"/>
        </w:rPr>
        <w:t xml:space="preserve">Talamás-Carvajal, J. A., y Ceballos, H. G. (2023). Stacking ensemble machine learning for predicting student academic performance and dropout in higher education. </w:t>
      </w:r>
      <w:r>
        <w:rPr>
          <w:rFonts w:ascii="Times New Roman" w:cs="Times New Roman" w:eastAsia="Times New Roman" w:hAnsi="Times New Roman"/>
          <w:i/>
          <w:iCs/>
          <w:sz w:val="24"/>
          <w:szCs w:val="24"/>
        </w:rPr>
        <w:t xml:space="preserve">Education and Information Technologies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28</w:t>
      </w:r>
      <w:r>
        <w:rPr>
          <w:rFonts w:ascii="Times New Roman" w:cs="Times New Roman" w:eastAsia="Times New Roman" w:hAnsi="Times New Roman"/>
          <w:sz w:val="24"/>
          <w:szCs w:val="24"/>
        </w:rPr>
        <w:t xml:space="preserve">(10), 13361–13387. https://doi.org/10.1007/s10639-023-11682-z</w:t>
      </w:r>
    </w:p>
    <w:p>
      <w:pPr>
        <w:spacing w:after="160" w:before="0" w:line="480" w:lineRule="auto"/>
        <w:ind w:left="720" w:hanging="720"/>
        <w:jc w:val="both"/>
      </w:pPr>
      <w:r>
        <w:rPr>
          <w:rFonts w:ascii="Times New Roman" w:cs="Times New Roman" w:eastAsia="Times New Roman" w:hAnsi="Times New Roman"/>
          <w:sz w:val="24"/>
          <w:szCs w:val="24"/>
        </w:rPr>
        <w:t xml:space="preserve">Tran, T., y Pojon, A. (2022). Predicting student performance in higher education using multi-source data and stacking ensemble learning. </w:t>
      </w:r>
      <w:r>
        <w:rPr>
          <w:rFonts w:ascii="Times New Roman" w:cs="Times New Roman" w:eastAsia="Times New Roman" w:hAnsi="Times New Roman"/>
          <w:i/>
          <w:iCs/>
          <w:sz w:val="24"/>
          <w:szCs w:val="24"/>
        </w:rPr>
        <w:t xml:space="preserve">Computers and Education: Artificial Intelligence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 100056. https://doi.org/10.1016/j.caeai.2022.100056</w:t>
      </w:r>
    </w:p>
    <w:p>
      <w:pPr>
        <w:spacing w:after="160" w:before="0" w:line="480" w:lineRule="auto"/>
        <w:ind w:left="720" w:hanging="720"/>
        <w:jc w:val="both"/>
      </w:pPr>
      <w:r>
        <w:rPr>
          <w:rFonts w:ascii="Times New Roman" w:cs="Times New Roman" w:eastAsia="Times New Roman" w:hAnsi="Times New Roman"/>
          <w:sz w:val="24"/>
          <w:szCs w:val="24"/>
        </w:rPr>
        <w:t xml:space="preserve">Wolpert, D. H. (1992). Stacked generalization. </w:t>
      </w:r>
      <w:r>
        <w:rPr>
          <w:rFonts w:ascii="Times New Roman" w:cs="Times New Roman" w:eastAsia="Times New Roman" w:hAnsi="Times New Roman"/>
          <w:i/>
          <w:iCs/>
          <w:sz w:val="24"/>
          <w:szCs w:val="24"/>
        </w:rPr>
        <w:t xml:space="preserve">Neural Networks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(2), 241–259. https://doi.org/10.1016/S0893-6080(05)80023-1</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2026-04-10T17:55:08.960Z</dcterms:created>
  <dcterms:modified xsi:type="dcterms:W3CDTF">2026-04-10T17:55:08.960Z</dcterms:modified>
</cp:coreProperties>
</file>

<file path=docProps/custom.xml><?xml version="1.0" encoding="utf-8"?>
<Properties xmlns="http://schemas.openxmlformats.org/officeDocument/2006/custom-properties" xmlns:vt="http://schemas.openxmlformats.org/officeDocument/2006/docPropsVTypes"/>
</file>