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360"/>
        <w:jc w:val="left"/>
      </w:pPr>
      <w:r>
        <w:rPr>
          <w:rFonts w:ascii="Times New Roman" w:cs="Times New Roman" w:eastAsia="Times New Roman" w:hAnsi="Times New Roman"/>
          <w:b/>
          <w:bCs/>
          <w:sz w:val="24"/>
          <w:szCs w:val="24"/>
        </w:rPr>
        <w:t xml:space="preserve">3.18 Inteligencia Artificial Explicable y Valores SHAP</w:t>
      </w:r>
    </w:p>
    <w:p>
      <w:pPr>
        <w:spacing w:after="0" w:before="0"/>
      </w:pPr>
      <w:r>
        <w:rPr>
          <w:rFonts w:ascii="Times New Roman" w:cs="Times New Roman" w:eastAsia="Times New Roman" w:hAnsi="Times New Roman"/>
          <w:sz w:val="24"/>
          <w:szCs w:val="24"/>
        </w:rPr>
        <w:t xml:space="preserve"/>
      </w:r>
    </w:p>
    <w:p>
      <w:pPr>
        <w:spacing w:after="120" w:before="240"/>
        <w:jc w:val="left"/>
      </w:pPr>
      <w:r>
        <w:rPr>
          <w:rFonts w:ascii="Times New Roman" w:cs="Times New Roman" w:eastAsia="Times New Roman" w:hAnsi="Times New Roman"/>
          <w:b w:val="false"/>
          <w:bCs w:val="false"/>
          <w:sz w:val="24"/>
          <w:szCs w:val="24"/>
        </w:rPr>
        <w:t xml:space="preserve">3.18.1 El problema de la caja negra en el machine learning educativo</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El desarrollo acelerado de algoritmos de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de alta precisión predictiva ha generado una tensión fundamental en su aplicación a contextos educativos: la ganancia en exactitud tiende a correlacionarse con una pérdida proporcional en interpretabilidad. Modelos como los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las redes neuronales profundas y los ensambles complejos producen predicciones altamente precisas mediante transformaciones matemáticas de tal complejidad que resultan opacas incluso para sus propios diseñadores, configurando lo que la literatura ha denominado el problema de la </w:t>
      </w:r>
      <w:r>
        <w:rPr>
          <w:rFonts w:ascii="Times New Roman" w:cs="Times New Roman" w:eastAsia="Times New Roman" w:hAnsi="Times New Roman"/>
          <w:i/>
          <w:iCs/>
          <w:sz w:val="24"/>
          <w:szCs w:val="24"/>
        </w:rPr>
        <w:t xml:space="preserve">caja negra</w:t>
      </w:r>
      <w:r>
        <w:rPr>
          <w:rFonts w:ascii="Times New Roman" w:cs="Times New Roman" w:eastAsia="Times New Roman" w:hAnsi="Times New Roman"/>
          <w:sz w:val="24"/>
          <w:szCs w:val="24"/>
        </w:rPr>
        <w:t xml:space="preserve"> (Arrieta et al., 2020). En el ámbito de la predicción de la deserción escolar, este problema adquiere una dimensión ética y práctica particularmente relevante: las decisiones sobre intervención temprana, asignación de recursos de tutoría o alertas a los equipos de orientación psicológica requieren no solo saber que un estudiante presenta riesgo, sino comprender qué variables psicoemocionales específicas están impulsando ese riesgo y en qué dirección (Khosravi et al., 2022). En este sentido, la opacidad de los modelos predictivos puede traducirse en intervenciones descontextualizadas y, en casos extremos, en la reproducción involuntaria de sesgos estructurales presentes en los datos de entrenamiento.</w:t>
      </w:r>
    </w:p>
    <w:p>
      <w:pPr>
        <w:spacing w:after="200" w:before="0" w:line="480" w:lineRule="auto"/>
        <w:ind w:firstLine="720"/>
        <w:jc w:val="both"/>
      </w:pPr>
      <w:r>
        <w:rPr>
          <w:rFonts w:ascii="Times New Roman" w:cs="Times New Roman" w:eastAsia="Times New Roman" w:hAnsi="Times New Roman"/>
          <w:sz w:val="24"/>
          <w:szCs w:val="24"/>
        </w:rPr>
        <w:t xml:space="preserve">La Inteligencia Artificial Explicable (</w:t>
      </w:r>
      <w:r>
        <w:rPr>
          <w:rFonts w:ascii="Times New Roman" w:cs="Times New Roman" w:eastAsia="Times New Roman" w:hAnsi="Times New Roman"/>
          <w:i/>
          <w:iCs/>
          <w:sz w:val="24"/>
          <w:szCs w:val="24"/>
        </w:rPr>
        <w:t xml:space="preserve">Explainable Artificial Intelligence</w:t>
      </w:r>
      <w:r>
        <w:rPr>
          <w:rFonts w:ascii="Times New Roman" w:cs="Times New Roman" w:eastAsia="Times New Roman" w:hAnsi="Times New Roman"/>
          <w:sz w:val="24"/>
          <w:szCs w:val="24"/>
        </w:rPr>
        <w:t xml:space="preserve">, XAI) surge como respuesta directa a este desafío, constituyendo un campo de investigación dedicado al desarrollo de métodos, técnicas y marcos teóricos que permitan hacer comprensibles las predicciones de modelos complejos para usuarios humanos con distintos niveles de expertise técnico (Molnar, 2020). Arrieta et al. (2020) proponen una taxonomía comprehensiva de la XAI que distingue entre métodos </w:t>
      </w:r>
      <w:r>
        <w:rPr>
          <w:rFonts w:ascii="Times New Roman" w:cs="Times New Roman" w:eastAsia="Times New Roman" w:hAnsi="Times New Roman"/>
          <w:i/>
          <w:iCs/>
          <w:sz w:val="24"/>
          <w:szCs w:val="24"/>
        </w:rPr>
        <w:t xml:space="preserve">ante-hoc</w:t>
      </w:r>
      <w:r>
        <w:rPr>
          <w:rFonts w:ascii="Times New Roman" w:cs="Times New Roman" w:eastAsia="Times New Roman" w:hAnsi="Times New Roman"/>
          <w:sz w:val="24"/>
          <w:szCs w:val="24"/>
        </w:rPr>
        <w:t xml:space="preserve"> —aquellos que incorporan la interpretabilidad en el diseño mismo del modelo— y métodos </w:t>
      </w:r>
      <w:r>
        <w:rPr>
          <w:rFonts w:ascii="Times New Roman" w:cs="Times New Roman" w:eastAsia="Times New Roman" w:hAnsi="Times New Roman"/>
          <w:i/>
          <w:iCs/>
          <w:sz w:val="24"/>
          <w:szCs w:val="24"/>
        </w:rPr>
        <w:t xml:space="preserve">post-hoc</w:t>
      </w:r>
      <w:r>
        <w:rPr>
          <w:rFonts w:ascii="Times New Roman" w:cs="Times New Roman" w:eastAsia="Times New Roman" w:hAnsi="Times New Roman"/>
          <w:sz w:val="24"/>
          <w:szCs w:val="24"/>
        </w:rPr>
        <w:t xml:space="preserve"> —que añaden una capa de explicación sobre modelos ya entrenados—, siendo estos últimos los más utilizados en combinación con los algoritmos de ensamble de alto rendimiento. De igual manera, los autores distinguen entre explicaciones </w:t>
      </w:r>
      <w:r>
        <w:rPr>
          <w:rFonts w:ascii="Times New Roman" w:cs="Times New Roman" w:eastAsia="Times New Roman" w:hAnsi="Times New Roman"/>
          <w:i/>
          <w:iCs/>
          <w:sz w:val="24"/>
          <w:szCs w:val="24"/>
        </w:rPr>
        <w:t xml:space="preserve">globales</w:t>
      </w:r>
      <w:r>
        <w:rPr>
          <w:rFonts w:ascii="Times New Roman" w:cs="Times New Roman" w:eastAsia="Times New Roman" w:hAnsi="Times New Roman"/>
          <w:sz w:val="24"/>
          <w:szCs w:val="24"/>
        </w:rPr>
        <w:t xml:space="preserve"> —que describen el comportamiento general del modelo— y </w:t>
      </w:r>
      <w:r>
        <w:rPr>
          <w:rFonts w:ascii="Times New Roman" w:cs="Times New Roman" w:eastAsia="Times New Roman" w:hAnsi="Times New Roman"/>
          <w:i/>
          <w:iCs/>
          <w:sz w:val="24"/>
          <w:szCs w:val="24"/>
        </w:rPr>
        <w:t xml:space="preserve">locales</w:t>
      </w:r>
      <w:r>
        <w:rPr>
          <w:rFonts w:ascii="Times New Roman" w:cs="Times New Roman" w:eastAsia="Times New Roman" w:hAnsi="Times New Roman"/>
          <w:sz w:val="24"/>
          <w:szCs w:val="24"/>
        </w:rPr>
        <w:t xml:space="preserve"> —que explican predicciones individuales específicas—, distinción fundamental para la personalización de intervenciones en el contexto de la deserción escolar. Lo anterior constituye el marco conceptual desde el que se posiciona la aplicación de XAI en la presente investigación.</w:t>
      </w:r>
    </w:p>
    <w:p>
      <w:pPr>
        <w:spacing w:after="200" w:before="0" w:line="480" w:lineRule="auto"/>
        <w:ind w:firstLine="720"/>
        <w:jc w:val="both"/>
      </w:pPr>
      <w:r>
        <w:rPr>
          <w:rFonts w:ascii="Times New Roman" w:cs="Times New Roman" w:eastAsia="Times New Roman" w:hAnsi="Times New Roman"/>
          <w:sz w:val="24"/>
          <w:szCs w:val="24"/>
        </w:rPr>
        <w:t xml:space="preserve">En el contexto educativo latinoamericano y mexicano, la adopción de herramientas de XAI en sistemas de alerta temprana aún se encuentra en etapas incipientes. Khosravi et al. (2022) identifican que la mayoría de las implementaciones de IA en educación carecen de mecanismos de explicación adecuados, lo que genera resistencia por parte de docentes, orientadores y directivos institucionales a confiar en las predicciones del sistema. Particularmente, señalan que la explicabilidad no solo mejora la confianza en el sistema, sino que genera un valor añadido de </w:t>
      </w:r>
      <w:r>
        <w:rPr>
          <w:rFonts w:ascii="Times New Roman" w:cs="Times New Roman" w:eastAsia="Times New Roman" w:hAnsi="Times New Roman"/>
          <w:i/>
          <w:iCs/>
          <w:sz w:val="24"/>
          <w:szCs w:val="24"/>
        </w:rPr>
        <w:t xml:space="preserve">feedback</w:t>
      </w:r>
      <w:r>
        <w:rPr>
          <w:rFonts w:ascii="Times New Roman" w:cs="Times New Roman" w:eastAsia="Times New Roman" w:hAnsi="Times New Roman"/>
          <w:sz w:val="24"/>
          <w:szCs w:val="24"/>
        </w:rPr>
        <w:t xml:space="preserve"> pedagógico: las explicaciones sobre las variables que predicen el riesgo de un estudiante específico pueden orientar tanto al orientador en su intervención como al propio estudiante en su proceso de autorregulación académica. Cabe destacar que esta perspectiva es coherente con la postura filosófico-epistemológica adoptada en el presente marco teórico, según la cual el modelo predictivo no es meramente un artefacto técnico sino un dispositivo epistemotécnico de mediación entre los datos psicoemocionales y la acción educativa institucional.</w:t>
      </w:r>
    </w:p>
    <w:p>
      <w:pPr>
        <w:spacing w:after="120" w:before="240"/>
        <w:jc w:val="left"/>
      </w:pPr>
      <w:r>
        <w:rPr>
          <w:rFonts w:ascii="Times New Roman" w:cs="Times New Roman" w:eastAsia="Times New Roman" w:hAnsi="Times New Roman"/>
          <w:b w:val="false"/>
          <w:bCs w:val="false"/>
          <w:sz w:val="24"/>
          <w:szCs w:val="24"/>
        </w:rPr>
        <w:t xml:space="preserve">3.18.2 Valores SHAP: fundamentos teóricos</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Entre los métodos de XAI de tipo </w:t>
      </w:r>
      <w:r>
        <w:rPr>
          <w:rFonts w:ascii="Times New Roman" w:cs="Times New Roman" w:eastAsia="Times New Roman" w:hAnsi="Times New Roman"/>
          <w:i/>
          <w:iCs/>
          <w:sz w:val="24"/>
          <w:szCs w:val="24"/>
        </w:rPr>
        <w:t xml:space="preserve">post-hoc</w:t>
      </w:r>
      <w:r>
        <w:rPr>
          <w:rFonts w:ascii="Times New Roman" w:cs="Times New Roman" w:eastAsia="Times New Roman" w:hAnsi="Times New Roman"/>
          <w:sz w:val="24"/>
          <w:szCs w:val="24"/>
        </w:rPr>
        <w:t xml:space="preserve"> para predicciones locales, los valores SHAP (</w:t>
      </w:r>
      <w:r>
        <w:rPr>
          <w:rFonts w:ascii="Times New Roman" w:cs="Times New Roman" w:eastAsia="Times New Roman" w:hAnsi="Times New Roman"/>
          <w:i/>
          <w:iCs/>
          <w:sz w:val="24"/>
          <w:szCs w:val="24"/>
        </w:rPr>
        <w:t xml:space="preserve">SHapley Additive exPlanations</w:t>
      </w:r>
      <w:r>
        <w:rPr>
          <w:rFonts w:ascii="Times New Roman" w:cs="Times New Roman" w:eastAsia="Times New Roman" w:hAnsi="Times New Roman"/>
          <w:sz w:val="24"/>
          <w:szCs w:val="24"/>
        </w:rPr>
        <w:t xml:space="preserve">) representan actualmente el estándar de referencia en la literatura científica, fundamentados en una sólida base matemática proveniente de la teoría de juegos cooperativos. Lundberg y Lee (2017) propusieron los valores SHAP como una unificación de los métodos de atribución de características existentes —incluyendo LIME, </w:t>
      </w:r>
      <w:r>
        <w:rPr>
          <w:rFonts w:ascii="Times New Roman" w:cs="Times New Roman" w:eastAsia="Times New Roman" w:hAnsi="Times New Roman"/>
          <w:i/>
          <w:iCs/>
          <w:sz w:val="24"/>
          <w:szCs w:val="24"/>
        </w:rPr>
        <w:t xml:space="preserve">DeepLIFT</w:t>
      </w:r>
      <w:r>
        <w:rPr>
          <w:rFonts w:ascii="Times New Roman" w:cs="Times New Roman" w:eastAsia="Times New Roman" w:hAnsi="Times New Roman"/>
          <w:sz w:val="24"/>
          <w:szCs w:val="24"/>
        </w:rPr>
        <w:t xml:space="preserve">, índices de Shapley y </w:t>
      </w:r>
      <w:r>
        <w:rPr>
          <w:rFonts w:ascii="Times New Roman" w:cs="Times New Roman" w:eastAsia="Times New Roman" w:hAnsi="Times New Roman"/>
          <w:i/>
          <w:iCs/>
          <w:sz w:val="24"/>
          <w:szCs w:val="24"/>
        </w:rPr>
        <w:t xml:space="preserve">gradient-based</w:t>
      </w:r>
      <w:r>
        <w:rPr>
          <w:rFonts w:ascii="Times New Roman" w:cs="Times New Roman" w:eastAsia="Times New Roman" w:hAnsi="Times New Roman"/>
          <w:sz w:val="24"/>
          <w:szCs w:val="24"/>
        </w:rPr>
        <w:t xml:space="preserve"> attributions—, demostrando que la solución de Shapley es el único mecanismo de atribución que satisface simultáneamente tres propiedades axiomáticas deseables: eficiencia (la suma de las contribuciones de todas las características iguala la diferencia entre la predicción del modelo y la predicción de un modelo base), simetría (características con contribuciones idénticas reciben el mismo valor) y linealidad (la atribución de modelos combinados es la combinación lineal de las atribuciones individuales). La fundamentación axiomática de los valores SHAP los distingue de métodos ad hoc sin garantías teóricas, posicionándolos como herramienta de referencia para la explicabilidad en contextos donde la confiabilidad matemática es un requisito (Lundberg et al., 2020).</w:t>
      </w:r>
    </w:p>
    <w:p>
      <w:pPr>
        <w:spacing w:after="200" w:before="0" w:line="480" w:lineRule="auto"/>
        <w:ind w:firstLine="720"/>
        <w:jc w:val="both"/>
      </w:pPr>
      <w:r>
        <w:rPr>
          <w:rFonts w:ascii="Times New Roman" w:cs="Times New Roman" w:eastAsia="Times New Roman" w:hAnsi="Times New Roman"/>
          <w:sz w:val="24"/>
          <w:szCs w:val="24"/>
        </w:rPr>
        <w:t xml:space="preserve">Formalmente, el valor SHAP de una característica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para una predicción específica se calcula como la contribución marginal promedio de esa característica en todas las posibles coaliciones de características. Lundberg y Lee (2017) demuestran que este cálculo puede interpretarse como: para un estudiante dado, cuánto aumenta o disminuye la probabilidad predicha de deserción cuando se incluye la variable psicoemocional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en el modelo, promediado sobre todas las formas posibles en que las demás variables podrían estar presentes. Un valor SHAP positivo indica que la variable incrementa el riesgo de deserción para ese estudiante específico; un valor negativo indica que actúa como factor protector en ese caso particular. Lundberg et al. (2020) extendieron el cálculo eficiente de valores SHAP a modelos de árboles de decisión —incluyendo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XGBoost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mediante el algoritmo </w:t>
      </w:r>
      <w:r>
        <w:rPr>
          <w:rFonts w:ascii="Times New Roman" w:cs="Times New Roman" w:eastAsia="Times New Roman" w:hAnsi="Times New Roman"/>
          <w:i/>
          <w:iCs/>
          <w:sz w:val="24"/>
          <w:szCs w:val="24"/>
        </w:rPr>
        <w:t xml:space="preserve">TreeSHAP</w:t>
      </w:r>
      <w:r>
        <w:rPr>
          <w:rFonts w:ascii="Times New Roman" w:cs="Times New Roman" w:eastAsia="Times New Roman" w:hAnsi="Times New Roman"/>
          <w:sz w:val="24"/>
          <w:szCs w:val="24"/>
        </w:rPr>
        <w:t xml:space="preserve">, que reduce la complejidad computacional de exponencial a polinómica, posibilitando su aplicación en tiempo real a sistemas de monitoreo estudiantil continuo como el propuesto en esta investigación.</w:t>
      </w:r>
    </w:p>
    <w:p>
      <w:pPr>
        <w:spacing w:after="200" w:before="0" w:line="480" w:lineRule="auto"/>
        <w:ind w:firstLine="720"/>
        <w:jc w:val="both"/>
      </w:pPr>
      <w:r>
        <w:rPr>
          <w:rFonts w:ascii="Times New Roman" w:cs="Times New Roman" w:eastAsia="Times New Roman" w:hAnsi="Times New Roman"/>
          <w:sz w:val="24"/>
          <w:szCs w:val="24"/>
        </w:rPr>
        <w:t xml:space="preserve">De acuerdo con Molnar (2020), los valores SHAP ofrecen dos niveles complementarios de explicabilidad que resultan especialmente valiosos en el contexto educativo. En el nivel local o individual, la visualización de los valores SHAP para un estudiante específico —mediante gráficas de </w:t>
      </w:r>
      <w:r>
        <w:rPr>
          <w:rFonts w:ascii="Times New Roman" w:cs="Times New Roman" w:eastAsia="Times New Roman" w:hAnsi="Times New Roman"/>
          <w:i/>
          <w:iCs/>
          <w:sz w:val="24"/>
          <w:szCs w:val="24"/>
        </w:rPr>
        <w:t xml:space="preserve">waterfall</w:t>
      </w:r>
      <w:r>
        <w:rPr>
          <w:rFonts w:ascii="Times New Roman" w:cs="Times New Roman" w:eastAsia="Times New Roman" w:hAnsi="Times New Roman"/>
          <w:sz w:val="24"/>
          <w:szCs w:val="24"/>
        </w:rPr>
        <w:t xml:space="preserve"> o de fuerza (</w:t>
      </w:r>
      <w:r>
        <w:rPr>
          <w:rFonts w:ascii="Times New Roman" w:cs="Times New Roman" w:eastAsia="Times New Roman" w:hAnsi="Times New Roman"/>
          <w:i/>
          <w:iCs/>
          <w:sz w:val="24"/>
          <w:szCs w:val="24"/>
        </w:rPr>
        <w:t xml:space="preserve">force plots</w:t>
      </w:r>
      <w:r>
        <w:rPr>
          <w:rFonts w:ascii="Times New Roman" w:cs="Times New Roman" w:eastAsia="Times New Roman" w:hAnsi="Times New Roman"/>
          <w:sz w:val="24"/>
          <w:szCs w:val="24"/>
        </w:rPr>
        <w:t xml:space="preserve">)— permite identificar cuáles variables psicoemocionales son las que más contribuyen al riesgo de deserción en ese caso particular: por ejemplo, si para un estudiante determinado el agotamiento emocional y la baja autoeficacia académica son los principales impulsores del riesgo, la intervención de orientación puede focalizarse en estas dimensiones específicas. En el nivel global, la agregación de los valores SHAP individuales en gráficas de </w:t>
      </w:r>
      <w:r>
        <w:rPr>
          <w:rFonts w:ascii="Times New Roman" w:cs="Times New Roman" w:eastAsia="Times New Roman" w:hAnsi="Times New Roman"/>
          <w:i/>
          <w:iCs/>
          <w:sz w:val="24"/>
          <w:szCs w:val="24"/>
        </w:rPr>
        <w:t xml:space="preserve">summary plot</w:t>
      </w:r>
      <w:r>
        <w:rPr>
          <w:rFonts w:ascii="Times New Roman" w:cs="Times New Roman" w:eastAsia="Times New Roman" w:hAnsi="Times New Roman"/>
          <w:sz w:val="24"/>
          <w:szCs w:val="24"/>
        </w:rPr>
        <w:t xml:space="preserve"> o diagramas de dependencia permite identificar las variables psicoemocionales más influyentes a nivel del conjunto total de estudiantes, informando las políticas institucionales de prevención y apoyo académico. Esta dualidad local-global hace de los valores SHAP una herramienta de explicabilidad particularmente adecuada para sistemas de predicción de deserción escolar con orientación a la intervención personalizada.</w:t>
      </w:r>
    </w:p>
    <w:p>
      <w:pPr>
        <w:spacing w:after="120" w:before="240"/>
        <w:jc w:val="left"/>
      </w:pPr>
      <w:r>
        <w:rPr>
          <w:rFonts w:ascii="Times New Roman" w:cs="Times New Roman" w:eastAsia="Times New Roman" w:hAnsi="Times New Roman"/>
          <w:b w:val="false"/>
          <w:bCs w:val="false"/>
          <w:sz w:val="24"/>
          <w:szCs w:val="24"/>
        </w:rPr>
        <w:t xml:space="preserve">3.18.3 Aplicación de SHAP en predicción de deserción escolar</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La aplicación de valores SHAP en el campo de la predicción de la deserción y el rendimiento académico ha experimentado un crecimiento notable en los últimos años, en paralelo con la expansión de los modelos de ensamble de alta precisión en el ámbito educativo. Khosravi et al. (2022) documentan que el uso de XAI en educación no solo mejora la aceptación del sistema por parte de los actores educativos, sino que genera un ciclo virtuoso de mejora del modelo: las explicaciones identifican variables con alta influencia que pueden no haber sido teóricamente anticipadas, retroalimentando el diseño del instrumento de medición y refinando la comprensión del fenómeno. Particularmente relevante para la presente investigación es la evidencia de que los valores SHAP permiten detectar la presencia de sesgos de género o socioeconómicos en el modelo predictivo, al revelar si determinadas variables psicoemocionales tienen contribuciones asimétricas según características demográficas del estudiantado.</w:t>
      </w:r>
    </w:p>
    <w:p>
      <w:pPr>
        <w:spacing w:after="200" w:before="0" w:line="480" w:lineRule="auto"/>
        <w:ind w:firstLine="720"/>
        <w:jc w:val="both"/>
      </w:pPr>
      <w:r>
        <w:rPr>
          <w:rFonts w:ascii="Times New Roman" w:cs="Times New Roman" w:eastAsia="Times New Roman" w:hAnsi="Times New Roman"/>
          <w:sz w:val="24"/>
          <w:szCs w:val="24"/>
        </w:rPr>
        <w:t xml:space="preserve">En el contexto específico del modelo de </w:t>
      </w:r>
      <w:r>
        <w:rPr>
          <w:rFonts w:ascii="Times New Roman" w:cs="Times New Roman" w:eastAsia="Times New Roman" w:hAnsi="Times New Roman"/>
          <w:i/>
          <w:iCs/>
          <w:sz w:val="24"/>
          <w:szCs w:val="24"/>
        </w:rPr>
        <w:t xml:space="preserve">Stacking</w:t>
      </w:r>
      <w:r>
        <w:rPr>
          <w:rFonts w:ascii="Times New Roman" w:cs="Times New Roman" w:eastAsia="Times New Roman" w:hAnsi="Times New Roman"/>
          <w:sz w:val="24"/>
          <w:szCs w:val="24"/>
        </w:rPr>
        <w:t xml:space="preserve"> propuesto en esta tesis doctoral, los valores SHAP se aplicarán en dos niveles distintos de la arquitectura. En primer lugar, se calcularán valores SHAP para los modelos de primer nivel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XGBoost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identificando las variables psicoemocionales con mayor poder predictivo en cada algoritmo individual y evaluando la consistencia de las atribuciones entre modelos. En segundo lugar, se generarán valores SHAP para las predicciones finales del </w:t>
      </w:r>
      <w:r>
        <w:rPr>
          <w:rFonts w:ascii="Times New Roman" w:cs="Times New Roman" w:eastAsia="Times New Roman" w:hAnsi="Times New Roman"/>
          <w:i/>
          <w:iCs/>
          <w:sz w:val="24"/>
          <w:szCs w:val="24"/>
        </w:rPr>
        <w:t xml:space="preserve">meta-learner</w:t>
      </w:r>
      <w:r>
        <w:rPr>
          <w:rFonts w:ascii="Times New Roman" w:cs="Times New Roman" w:eastAsia="Times New Roman" w:hAnsi="Times New Roman"/>
          <w:sz w:val="24"/>
          <w:szCs w:val="24"/>
        </w:rPr>
        <w:t xml:space="preserve"> (FNN), explicando cómo las predicciones de los modelos de base son integradas y ponderadas para producir el riesgo final asignado a cada estudiante. Lundberg et al. (2020) señalan que esta estrategia de </w:t>
      </w:r>
      <w:r>
        <w:rPr>
          <w:rFonts w:ascii="Times New Roman" w:cs="Times New Roman" w:eastAsia="Times New Roman" w:hAnsi="Times New Roman"/>
          <w:i/>
          <w:iCs/>
          <w:sz w:val="24"/>
          <w:szCs w:val="24"/>
        </w:rPr>
        <w:t xml:space="preserve">stacked SHAP explanation</w:t>
      </w:r>
      <w:r>
        <w:rPr>
          <w:rFonts w:ascii="Times New Roman" w:cs="Times New Roman" w:eastAsia="Times New Roman" w:hAnsi="Times New Roman"/>
          <w:sz w:val="24"/>
          <w:szCs w:val="24"/>
        </w:rPr>
        <w:t xml:space="preserve"> ofrece un análisis de explicabilidad más completo que la aplicación de SHAP en un único nivel del modelo, revelando no solo las variables relevantes sino también la estructura de dependencia entre los algoritmos constituyentes del ensamble.</w:t>
      </w:r>
    </w:p>
    <w:p>
      <w:pPr>
        <w:spacing w:after="200" w:before="0" w:line="480" w:lineRule="auto"/>
        <w:ind w:firstLine="720"/>
        <w:jc w:val="both"/>
      </w:pPr>
      <w:r>
        <w:rPr>
          <w:rFonts w:ascii="Times New Roman" w:cs="Times New Roman" w:eastAsia="Times New Roman" w:hAnsi="Times New Roman"/>
          <w:sz w:val="24"/>
          <w:szCs w:val="24"/>
        </w:rPr>
        <w:t xml:space="preserve">A partir de lo anterior, la integración de los valores SHAP en el sistema Atenea AI permite traducir los resultados del modelo predictivo en información accionable para los equipos de orientación y tutoría de las instituciones participantes. Cada alerta generada por el sistema se acompañará de una ficha explicativa que identifica, en términos comprensibles para usuarios no técnicos, los tres a cinco factores psicoemocionales con mayor contribución positiva (de riesgo) y los factores con mayor contribución negativa (de protección) para el estudiante evaluado. En consecuencia, el uso de XAI no solo eleva los estándares éticos del sistema al garantizar la transparencia algorítmica, sino que potencia su impacto educativo al convertir la predicción estadística en una herramienta de diagnóstico psicoeducativo individualizado, coherente con los principios de la Investigación Basada en Diseño que rige la metodología de la presente investigación.</w:t>
      </w:r>
    </w:p>
    <w:p>
      <w:pPr>
        <w:spacing w:after="120" w:before="240"/>
        <w:jc w:val="left"/>
      </w:pPr>
      <w:r>
        <w:rPr>
          <w:rFonts w:ascii="Times New Roman" w:cs="Times New Roman" w:eastAsia="Times New Roman" w:hAnsi="Times New Roman"/>
          <w:b w:val="false"/>
          <w:bCs w:val="false"/>
          <w:sz w:val="24"/>
          <w:szCs w:val="24"/>
        </w:rPr>
        <w:t xml:space="preserve">3.18.4 Implicaciones éticas de la explicabilidad algorítmica</w:t>
      </w:r>
    </w:p>
    <w:p>
      <w:pPr>
        <w:spacing w:after="0" w:before="0"/>
      </w:pPr>
      <w:r>
        <w:rPr>
          <w:rFonts w:ascii="Times New Roman" w:cs="Times New Roman" w:eastAsia="Times New Roman" w:hAnsi="Times New Roman"/>
          <w:sz w:val="24"/>
          <w:szCs w:val="24"/>
        </w:rPr>
        <w:t xml:space="preserve"/>
      </w:r>
    </w:p>
    <w:p>
      <w:pPr>
        <w:spacing w:after="200" w:before="0" w:line="480" w:lineRule="auto"/>
        <w:ind w:firstLine="720"/>
        <w:jc w:val="both"/>
      </w:pPr>
      <w:r>
        <w:rPr>
          <w:rFonts w:ascii="Times New Roman" w:cs="Times New Roman" w:eastAsia="Times New Roman" w:hAnsi="Times New Roman"/>
          <w:sz w:val="24"/>
          <w:szCs w:val="24"/>
        </w:rPr>
        <w:t xml:space="preserve">La explicabilidad de los modelos de IA en contextos educativos no constituye únicamente un recurso técnico de comunicación, sino una condición necesaria para el ejercicio ético de la inteligencia artificial en entornos donde las decisiones afectan trayectorias de vida de personas jóvenes. Arrieta et al. (2020) argumentan que la XAI representa una dimensión fundamental de lo que denominan </w:t>
      </w:r>
      <w:r>
        <w:rPr>
          <w:rFonts w:ascii="Times New Roman" w:cs="Times New Roman" w:eastAsia="Times New Roman" w:hAnsi="Times New Roman"/>
          <w:i/>
          <w:iCs/>
          <w:sz w:val="24"/>
          <w:szCs w:val="24"/>
        </w:rPr>
        <w:t xml:space="preserve">responsible AI</w:t>
      </w:r>
      <w:r>
        <w:rPr>
          <w:rFonts w:ascii="Times New Roman" w:cs="Times New Roman" w:eastAsia="Times New Roman" w:hAnsi="Times New Roman"/>
          <w:sz w:val="24"/>
          <w:szCs w:val="24"/>
        </w:rPr>
        <w:t xml:space="preserve"> —inteligencia artificial responsable—, un marco normativo que exige que los sistemas algorítmicos con impacto en decisiones de alto riesgo sean transparentes, justos, robustos y auditables. En el caso específico de la predicción de la deserción escolar, la opacidad del modelo no solo dificulta la intervención educativa efectiva, sino que puede perpetuar desigualdades estructurales si el sistema asigna sistemáticamente mayor riesgo a estudiantes de contextos socioeconómicos vulnerables sin que los educadores puedan identificar y cuestionar este patrón (Drachsler y Greller, 2016).</w:t>
      </w:r>
    </w:p>
    <w:p>
      <w:pPr>
        <w:spacing w:after="200" w:before="0" w:line="480" w:lineRule="auto"/>
        <w:ind w:firstLine="720"/>
        <w:jc w:val="both"/>
      </w:pPr>
      <w:r>
        <w:rPr>
          <w:rFonts w:ascii="Times New Roman" w:cs="Times New Roman" w:eastAsia="Times New Roman" w:hAnsi="Times New Roman"/>
          <w:sz w:val="24"/>
          <w:szCs w:val="24"/>
        </w:rPr>
        <w:t xml:space="preserve">La implementación de valores SHAP en el presente estudio responde, por lo tanto, a una doble exigencia: metodológica, al mejorar la comprensión científica de las relaciones entre variables psicoemocionales y deserción; y ética, al garantizar que las predicciones del modelo sean auditables por los actores institucionales responsables de su uso. De igual manera, el compromiso con la explicabilidad está alineado con las recomendaciones de la UNESCO (2021) sobre ética de la inteligencia artificial, que establece que los sistemas de IA aplicados en contextos educativos deben ser transparentes, explicables y supervisados por humanos, preservando la agencia pedagógica de los docentes y orientadores. Asimismo, la presentación de explicaciones individuales basadas en valores SHAP permite que el propio estudiante, si el sistema así lo contempla, comprenda las dimensiones que el modelo identifica como factores de riesgo en su caso, contribuyendo a procesos de autorregulación y búsqueda de apoyo informada.</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240" w:before="360"/>
        <w:jc w:val="left"/>
      </w:pPr>
      <w:r>
        <w:rPr>
          <w:rFonts w:ascii="Times New Roman" w:cs="Times New Roman" w:eastAsia="Times New Roman" w:hAnsi="Times New Roman"/>
          <w:b/>
          <w:bCs/>
          <w:sz w:val="24"/>
          <w:szCs w:val="24"/>
        </w:rPr>
        <w:t xml:space="preserve">Referencias</w:t>
      </w:r>
    </w:p>
    <w:p>
      <w:pPr>
        <w:spacing w:after="160" w:before="0" w:line="480" w:lineRule="auto"/>
        <w:ind w:left="720" w:hanging="720"/>
        <w:jc w:val="both"/>
      </w:pPr>
      <w:r>
        <w:rPr>
          <w:rFonts w:ascii="Times New Roman" w:cs="Times New Roman" w:eastAsia="Times New Roman" w:hAnsi="Times New Roman"/>
          <w:sz w:val="24"/>
          <w:szCs w:val="24"/>
        </w:rPr>
        <w:t xml:space="preserve">Arrieta, A. B., Díaz-Rodríguez, N., Del Ser, J., Bennetot, A., Tabik, S., Barbado, A., García, S., Gil-López, S., Molina, D., Benjamins, R., Chatila, R., y Herrera, F. (2020). Explainable artificial intelligence (XAI): Concepts, taxonomies, opportunities and challenges toward responsible AI. </w:t>
      </w:r>
      <w:r>
        <w:rPr>
          <w:rFonts w:ascii="Times New Roman" w:cs="Times New Roman" w:eastAsia="Times New Roman" w:hAnsi="Times New Roman"/>
          <w:i/>
          <w:iCs/>
          <w:sz w:val="24"/>
          <w:szCs w:val="24"/>
        </w:rPr>
        <w:t xml:space="preserve">Information Fusion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58</w:t>
      </w:r>
      <w:r>
        <w:rPr>
          <w:rFonts w:ascii="Times New Roman" w:cs="Times New Roman" w:eastAsia="Times New Roman" w:hAnsi="Times New Roman"/>
          <w:sz w:val="24"/>
          <w:szCs w:val="24"/>
        </w:rPr>
        <w:t xml:space="preserve">, 82–115. https://doi.org/10.1016/j.inffus.2019.12.012</w:t>
      </w:r>
    </w:p>
    <w:p>
      <w:pPr>
        <w:spacing w:after="160" w:before="0" w:line="480" w:lineRule="auto"/>
        <w:ind w:left="720" w:hanging="720"/>
        <w:jc w:val="both"/>
      </w:pPr>
      <w:r>
        <w:rPr>
          <w:rFonts w:ascii="Times New Roman" w:cs="Times New Roman" w:eastAsia="Times New Roman" w:hAnsi="Times New Roman"/>
          <w:sz w:val="24"/>
          <w:szCs w:val="24"/>
        </w:rPr>
        <w:t xml:space="preserve">Drachsler, H., y Greller, W. (2016). Privacy and analytics: It's a DELICATE issue. A checklist for trusted learning analytics. En </w:t>
      </w:r>
      <w:r>
        <w:rPr>
          <w:rFonts w:ascii="Times New Roman" w:cs="Times New Roman" w:eastAsia="Times New Roman" w:hAnsi="Times New Roman"/>
          <w:i/>
          <w:iCs/>
          <w:sz w:val="24"/>
          <w:szCs w:val="24"/>
        </w:rPr>
        <w:t xml:space="preserve">Proceedings of the 6th International Learning Analytics &amp; Knowledge Conference</w:t>
      </w:r>
      <w:r>
        <w:rPr>
          <w:rFonts w:ascii="Times New Roman" w:cs="Times New Roman" w:eastAsia="Times New Roman" w:hAnsi="Times New Roman"/>
          <w:sz w:val="24"/>
          <w:szCs w:val="24"/>
        </w:rPr>
        <w:t xml:space="preserve"> (pp. 89–98). ACM. https://doi.org/10.1145/2883851.2883893</w:t>
      </w:r>
    </w:p>
    <w:p>
      <w:pPr>
        <w:spacing w:after="160" w:before="0" w:line="480" w:lineRule="auto"/>
        <w:ind w:left="720" w:hanging="720"/>
        <w:jc w:val="both"/>
      </w:pPr>
      <w:r>
        <w:rPr>
          <w:rFonts w:ascii="Times New Roman" w:cs="Times New Roman" w:eastAsia="Times New Roman" w:hAnsi="Times New Roman"/>
          <w:sz w:val="24"/>
          <w:szCs w:val="24"/>
        </w:rPr>
        <w:t xml:space="preserve">Khosravi, H., Shum, S. B., Chen, G., Conati, C., Tsai, Y.-S., Kay, J., Knight, S., Martinez-Maldonado, R., Sadiq, S., y Gašević, D. (2022). Explainable artificial intelligence in education. </w:t>
      </w:r>
      <w:r>
        <w:rPr>
          <w:rFonts w:ascii="Times New Roman" w:cs="Times New Roman" w:eastAsia="Times New Roman" w:hAnsi="Times New Roman"/>
          <w:i/>
          <w:iCs/>
          <w:sz w:val="24"/>
          <w:szCs w:val="24"/>
        </w:rPr>
        <w:t xml:space="preserve">Computers and Education: Artificial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w:t>
      </w:r>
      <w:r>
        <w:rPr>
          <w:rFonts w:ascii="Times New Roman" w:cs="Times New Roman" w:eastAsia="Times New Roman" w:hAnsi="Times New Roman"/>
          <w:sz w:val="24"/>
          <w:szCs w:val="24"/>
        </w:rPr>
        <w:t xml:space="preserve">, 100074. https://doi.org/10.1016/j.caeai.2022.100074</w:t>
      </w:r>
    </w:p>
    <w:p>
      <w:pPr>
        <w:spacing w:after="160" w:before="0" w:line="480" w:lineRule="auto"/>
        <w:ind w:left="720" w:hanging="720"/>
        <w:jc w:val="both"/>
      </w:pPr>
      <w:r>
        <w:rPr>
          <w:rFonts w:ascii="Times New Roman" w:cs="Times New Roman" w:eastAsia="Times New Roman" w:hAnsi="Times New Roman"/>
          <w:sz w:val="24"/>
          <w:szCs w:val="24"/>
        </w:rPr>
        <w:t xml:space="preserve">Lundberg, S. M., y Lee, S.-I. (2017). A unified approach to interpreting model predictions. En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(Vol. 30, pp. 4765–4774). Curran Associates. https://arxiv.org/abs/1705.07874</w:t>
      </w:r>
    </w:p>
    <w:p>
      <w:pPr>
        <w:spacing w:after="160" w:before="0" w:line="480" w:lineRule="auto"/>
        <w:ind w:left="720" w:hanging="720"/>
        <w:jc w:val="both"/>
      </w:pPr>
      <w:r>
        <w:rPr>
          <w:rFonts w:ascii="Times New Roman" w:cs="Times New Roman" w:eastAsia="Times New Roman" w:hAnsi="Times New Roman"/>
          <w:sz w:val="24"/>
          <w:szCs w:val="24"/>
        </w:rPr>
        <w:t xml:space="preserve">Lundberg, S. M., Erion, G., Chen, H., DeGrave, A., Prutkin, J. M., Nair, B., Katz, R., Himmelfarb, J., Bansal, N., y Lee, S.-I. (2020). From local explanations to global understanding with explainable AI for trees. </w:t>
      </w:r>
      <w:r>
        <w:rPr>
          <w:rFonts w:ascii="Times New Roman" w:cs="Times New Roman" w:eastAsia="Times New Roman" w:hAnsi="Times New Roman"/>
          <w:i/>
          <w:iCs/>
          <w:sz w:val="24"/>
          <w:szCs w:val="24"/>
        </w:rPr>
        <w:t xml:space="preserve">Nature Machine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(1), 56–67. https://doi.org/10.1038/s42256-019-0138-9</w:t>
      </w:r>
    </w:p>
    <w:p>
      <w:pPr>
        <w:spacing w:after="160" w:before="0" w:line="480" w:lineRule="auto"/>
        <w:ind w:left="720" w:hanging="720"/>
        <w:jc w:val="both"/>
      </w:pPr>
      <w:r>
        <w:rPr>
          <w:rFonts w:ascii="Times New Roman" w:cs="Times New Roman" w:eastAsia="Times New Roman" w:hAnsi="Times New Roman"/>
          <w:sz w:val="24"/>
          <w:szCs w:val="24"/>
        </w:rPr>
        <w:t xml:space="preserve">Molnar, C. (2020). </w:t>
      </w:r>
      <w:r>
        <w:rPr>
          <w:rFonts w:ascii="Times New Roman" w:cs="Times New Roman" w:eastAsia="Times New Roman" w:hAnsi="Times New Roman"/>
          <w:i/>
          <w:iCs/>
          <w:sz w:val="24"/>
          <w:szCs w:val="24"/>
        </w:rPr>
        <w:t xml:space="preserve">Interpretable machine learning: A guide for making black box models explainable</w:t>
      </w:r>
      <w:r>
        <w:rPr>
          <w:rFonts w:ascii="Times New Roman" w:cs="Times New Roman" w:eastAsia="Times New Roman" w:hAnsi="Times New Roman"/>
          <w:sz w:val="24"/>
          <w:szCs w:val="24"/>
        </w:rPr>
        <w:t xml:space="preserve">. Leanpub. https://christophm.github.io/interpretable-ml-book/</w:t>
      </w:r>
    </w:p>
    <w:p>
      <w:pPr>
        <w:spacing w:after="160" w:before="0" w:line="480" w:lineRule="auto"/>
        <w:ind w:left="720" w:hanging="720"/>
        <w:jc w:val="both"/>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 https://unesdoc.unesco.org/ark:/48223/pf0000381137</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2026-04-10T22:03:16.229Z</dcterms:created>
  <dcterms:modified xsi:type="dcterms:W3CDTF">2026-04-10T22:03:16.230Z</dcterms:modified>
</cp:coreProperties>
</file>

<file path=docProps/custom.xml><?xml version="1.0" encoding="utf-8"?>
<Properties xmlns="http://schemas.openxmlformats.org/officeDocument/2006/custom-properties" xmlns:vt="http://schemas.openxmlformats.org/officeDocument/2006/docPropsVTypes"/>
</file>