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120" w:before="240"/>
        <w:jc w:val="left"/>
      </w:pPr>
      <w:r>
        <w:rPr>
          <w:rFonts w:ascii="Times New Roman" w:cs="Times New Roman" w:eastAsia="Times New Roman" w:hAnsi="Times New Roman"/>
          <w:b/>
          <w:bCs/>
          <w:sz w:val="24"/>
          <w:szCs w:val="24"/>
        </w:rPr>
        <w:t xml:space="preserve">3.21 Ética y Filosofía de la Inteligencia Artificial en Educación</w:t>
      </w:r>
    </w:p>
    <w:p>
      <w:pPr>
        <w:spacing w:after="0" w:before="0" w:line="480" w:lineRule="auto"/>
      </w:pPr>
      <w:r>
        <w:rPr>
          <w:rFonts w:ascii="Times New Roman" w:cs="Times New Roman" w:eastAsia="Times New Roman" w:hAnsi="Times New Roman"/>
          <w:sz w:val="24"/>
          <w:szCs w:val="24"/>
        </w:rPr>
        <w:t xml:space="preserve"/>
      </w:r>
    </w:p>
    <w:p>
      <w:pPr>
        <w:pStyle w:val="Heading3"/>
        <w:spacing w:after="80" w:before="200"/>
        <w:jc w:val="left"/>
      </w:pPr>
      <w:r>
        <w:rPr>
          <w:rFonts w:ascii="Times New Roman" w:cs="Times New Roman" w:eastAsia="Times New Roman" w:hAnsi="Times New Roman"/>
          <w:b/>
          <w:bCs/>
          <w:sz w:val="24"/>
          <w:szCs w:val="24"/>
        </w:rPr>
        <w:t xml:space="preserve">3.21.1 El Imperativo Ético en los Sistemas de Inteligencia Artificial Educativa</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La creciente incorporación de sistemas de inteligencia artificial en los entornos educativos ha generado un debate académico y filosófico de primer orden sobre las implicaciones éticas de estas tecnologías. A diferencia de la mayoría de las aplicaciones de IA en contextos industriales o comerciales, los sistemas educativos de IA operan sobre sujetos en condición de especial vulnerabilidad —estudiantes que no siempre tienen la capacidad de comprender ni de cuestionar las decisiones algorítmicas que afectan su trayectoria académica—, lo cual eleva considerablemente el nivel de responsabilidad ética que incumbe a los investigadores y desarrolladores. Holmes et al. (2022) argumentan que la ética de la IA en educación trasciende las preocupaciones técnicas sobre el rendimiento de los modelos para plantear interrogantes fundamentales sobre la autonomía, la justicia y la dignidad de los actores educativos.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La UNESCO (2021), en su Recomendación sobre la Ética de la Inteligencia Artificial, estableció un marco normativo internacional para orientar el desarrollo y la implementación de sistemas de IA en diversas esferas de la vida social, incluyendo la educación. Este documento reconoce que la IA puede generar beneficios significativos para el avance del conocimiento y el bienestar humano, pero también advierte sobre los riesgos que conlleva cuando se implementa sin salvaguardas éticas adecuadas. Entre los principios orientadores que propone se encuentran el respeto a la dignidad humana, la transparencia y explicabilidad, la responsabilidad y rendición de cuentas, la equidad y no discriminación, y la promoción de la diversidad e inclusión.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En el contexto específico de los sistemas predictivos de deserción escolar, el imperativo ético adquiere una dimensión adicional de complejidad: la predicción del fracaso académico de un estudiante concreto puede convertirse en una profecía autocumplida si los profesores o tutores modifican su trato hacia ese estudiante en función de la etiqueta de riesgo asignada por el algoritmo. Holmes et al. (2022) denominan a este fenómeno el "problema de la discriminación algorítmica anticipada" y señalan que constituye uno de los riesgos éticos más serios de los sistemas de IA educativa. La presente investigación aborda este riesgo mediante el diseño de un sistema de intervención cuyo objetivo es precisamente contrarrestar las trayectorias de riesgo identificadas por el modelo, no reforzarlas.</w:t>
      </w:r>
    </w:p>
    <w:p>
      <w:pPr>
        <w:spacing w:after="0" w:before="0" w:line="480" w:lineRule="auto"/>
      </w:pPr>
      <w:r>
        <w:rPr>
          <w:rFonts w:ascii="Times New Roman" w:cs="Times New Roman" w:eastAsia="Times New Roman" w:hAnsi="Times New Roman"/>
          <w:sz w:val="24"/>
          <w:szCs w:val="24"/>
        </w:rPr>
        <w:t xml:space="preserve"/>
      </w:r>
    </w:p>
    <w:p>
      <w:pPr>
        <w:pStyle w:val="Heading3"/>
        <w:spacing w:after="80" w:before="200"/>
        <w:jc w:val="left"/>
      </w:pPr>
      <w:r>
        <w:rPr>
          <w:rFonts w:ascii="Times New Roman" w:cs="Times New Roman" w:eastAsia="Times New Roman" w:hAnsi="Times New Roman"/>
          <w:b/>
          <w:bCs/>
          <w:sz w:val="24"/>
          <w:szCs w:val="24"/>
        </w:rPr>
        <w:t xml:space="preserve">3.21.2 Principios de IA Responsable y su Aplicación a la Predicción de Deserción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Floridi et al. (2018) propusieron un marco ético para el desarrollo de sistemas de IA orientados al bien común, articulado en torno a cinco principios fundamentales: beneficencia, no maleficencia, autonomía, justicia y explicabilidad. Aunque este marco fue desarrollado originalmente en el contexto de la IA en medicina, su aplicabilidad al campo educativo es directa y ha sido ampliamente reconocida en la literatura especializada. En particular, el principio de explicabilidad resulta especialmente relevante para los sistemas de aprendizaje automático utilizados en la predicción de deserción escolar, ya que los modelos de tipo caja negra —que generan predicciones precisas pero no comprensibles para los usuarios— dificultan la detección de sesgos y la atribución de responsabilidad cuando las predicciones son incorrectas o perjudiciales.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La integración de técnicas de Inteligencia Artificial Explicable (XAI) en el sistema desarrollado en esta investigación responde precisamente al principio de explicabilidad enunciado por Floridi et al. (2018). La utilización de valores SHAP para explicar las predicciones del modelo de Stacking Ensemble permite que los orientadores académicos y los propios estudiantes comprendan cuáles son los factores psicoemocionales que más contribuyen al riesgo de deserción en cada caso particular. Esta transparencia no solo mejora la confianza en el sistema, sino que también habilita intervenciones pedagógicas más precisas y personalizadas, orientadas a fortalecer específicamente aquellas dimensiones que el modelo identifica como más vulnerables en cada estudiante.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El principio de justicia, por su parte, plantea la exigencia de que los sistemas de IA educativa no reproduzcan ni amplifiquen las desigualdades preexistentes en los sistemas educativos. En el caso de los modelos predictivos de deserción, esto implica la necesidad de evaluar si el modelo presenta un rendimiento diferencial según características demográficas como el género, el origen socioeconómico o la etnia de los estudiantes. Khosravi et al. (2022) señalan que los sesgos algorítmicos en los sistemas de analítica del aprendizaje pueden perpetuar formas de discriminación sistémica cuando los datos de entrenamiento reflejan patrones históricos de desigualdad. El análisis de la equidad del modelo constituye, por tanto, una dimensión metodológica ineludible de esta investigación.</w:t>
      </w:r>
    </w:p>
    <w:p>
      <w:pPr>
        <w:spacing w:after="0" w:before="0" w:line="480" w:lineRule="auto"/>
      </w:pPr>
      <w:r>
        <w:rPr>
          <w:rFonts w:ascii="Times New Roman" w:cs="Times New Roman" w:eastAsia="Times New Roman" w:hAnsi="Times New Roman"/>
          <w:sz w:val="24"/>
          <w:szCs w:val="24"/>
        </w:rPr>
        <w:t xml:space="preserve"/>
      </w:r>
    </w:p>
    <w:p>
      <w:pPr>
        <w:pStyle w:val="Heading3"/>
        <w:spacing w:after="80" w:before="200"/>
        <w:jc w:val="left"/>
      </w:pPr>
      <w:r>
        <w:rPr>
          <w:rFonts w:ascii="Times New Roman" w:cs="Times New Roman" w:eastAsia="Times New Roman" w:hAnsi="Times New Roman"/>
          <w:b/>
          <w:bCs/>
          <w:sz w:val="24"/>
          <w:szCs w:val="24"/>
        </w:rPr>
        <w:t xml:space="preserve">3.21.3 Privacidad, Protección de Datos y Dataficación Educativa</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La implementación de sistemas de aprendizaje automático en instituciones educativas implica necesariamente la recolección, almacenamiento y procesamiento de datos personales de estudiantes, lo que plantea interrogantes fundamentales sobre la privacidad y la protección de datos. Drachsler y Greller (2016) desarrollaron el acrónimo DELICATE como un marco para la gestión responsable de los datos en contextos de analítica del aprendizaje, cuyas dimensiones incluyen la determinación del propósito del análisis, los límites del uso de los datos, la selección de los instrumentos apropiados, el cuidado de los interesados, el acceso controlado, la transparencia de los procesos y la ética del proceso completo.</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Williamson, Bayne y Shay (2020) conceptualizan el fenómeno de la dataficación educativa como el proceso mediante el cual las experiencias y comportamientos de los estudiantes son transformados en datos cuantificables que alimentan sistemas de gestión y evaluación institucional. Estos autores plantean una crítica filosófica profunda a este proceso, argumentando que la reducción de la experiencia educativa a puntuaciones numéricas y métricas de rendimiento puede empobrecer la comprensión pedagógica de los procesos de aprendizaje y justificar formas de control institucional que erosionan la autonomía de los estudiantes. Esta crítica no invalida el uso de sistemas de analítica educativa, pero sí exige que dichos sistemas sean diseñados con una conciencia clara de sus limitaciones epistemológicas y sus posibles efectos secundarios.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En el marco de la presente investigación, la protección de la privacidad de los estudiantes participantes se garantiza mediante protocolos de anonimización de los datos recolectados, el almacenamiento cifrado de la información y la restricción del acceso a los datos únicamente al equipo de investigación. El consentimiento informado de los estudiantes participantes constituye un requisito ético innegociable, que implica no solo la firma de un documento formal, sino la comprensión genuina de los propósitos de la investigación, los usos que se darán a sus datos y los mecanismos disponibles para solicitar la rectificación o eliminación de sus datos personales.</w:t>
      </w:r>
    </w:p>
    <w:p>
      <w:pPr>
        <w:spacing w:after="0" w:before="0" w:line="480" w:lineRule="auto"/>
      </w:pPr>
      <w:r>
        <w:rPr>
          <w:rFonts w:ascii="Times New Roman" w:cs="Times New Roman" w:eastAsia="Times New Roman" w:hAnsi="Times New Roman"/>
          <w:sz w:val="24"/>
          <w:szCs w:val="24"/>
        </w:rPr>
        <w:t xml:space="preserve"/>
      </w:r>
    </w:p>
    <w:p>
      <w:pPr>
        <w:pStyle w:val="Heading3"/>
        <w:spacing w:after="80" w:before="200"/>
        <w:jc w:val="left"/>
      </w:pPr>
      <w:r>
        <w:rPr>
          <w:rFonts w:ascii="Times New Roman" w:cs="Times New Roman" w:eastAsia="Times New Roman" w:hAnsi="Times New Roman"/>
          <w:b/>
          <w:bCs/>
          <w:sz w:val="24"/>
          <w:szCs w:val="24"/>
        </w:rPr>
        <w:t xml:space="preserve">3.21.4 Implicaciones Filosóficas del Uso de IA en las Decisiones Educativas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Más allá de las consideraciones prácticas sobre privacidad y equidad, el uso de sistemas de inteligencia artificial en la toma de decisiones educativas plantea interrogantes filosóficas profundas sobre la naturaleza de la agencia, la responsabilidad y la justicia en los sistemas educativos. Selwyn (2019) advierte sobre los riesgos de una adopción acrítica de las tecnologías digitales en educación, señalando que estas no son herramientas neutras sino que incorporan y reproducen valores e intereses particulares. Desde esta perspectiva, la elección de utilizar un modelo de aprendizaje automático para predecir la deserción escolar no es meramente una decisión técnica, sino también una opción ideológica que tiene implicaciones sobre cómo se concibe el fracaso académico, a quiénes se atribuye la responsabilidad de ese fracaso y qué tipo de intervenciones se consideran apropiadas.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Zawacki-Richter y Latchem (2018), en su revisión de cuatro décadas de investigación en tecnología educativa, identifican una tensión recurrente entre los enfoques tecnocéntricos, que depositan su confianza en la capacidad de las tecnologías para resolver por sí solas los problemas educativos, y los enfoques sociocríticos, que insisten en la necesidad de analizar las condiciones sociales e institucionales que determinan los efectos reales de las tecnologías en la práctica educativa. La presente investigación se posiciona conscientemente en una perspectiva integradora que reconoce tanto el potencial del aprendizaje automático como herramienta de apoyo a la intervención educativa temprana, como las condiciones de equidad, transparencia y responsabilidad que deben orientar su implementación.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En síntesis, la dimensión ética y filosófica de la investigación en inteligencia artificial educativa no puede ser considerada como un apéndice de las consideraciones técnicas, sino como un componente constitutivo del diseño investigativo. El sistema predictivo de deserción escolar desarrollado en esta tesis asume como principios rectores la transparencia algorítmica, la protección de la privacidad, la equidad en el rendimiento del modelo y la orientación genuinamente preventiva de sus intervenciones, en consonancia con los marcos normativos y conceptuales propuestos por la UNESCO (2021), Holmes et al. (2022) y Floridi et al. (2018). Estos principios no solo dotan a la investigación de una base ética sólida, sino que también constituyen criterios de evaluación del prototipo desarrollado en las fases empíricas de este trabajo.</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pStyle w:val="Heading2"/>
        <w:spacing w:after="120" w:before="240"/>
        <w:jc w:val="left"/>
      </w:pPr>
      <w:r>
        <w:rPr>
          <w:rFonts w:ascii="Times New Roman" w:cs="Times New Roman" w:eastAsia="Times New Roman" w:hAnsi="Times New Roman"/>
          <w:b/>
          <w:bCs/>
          <w:sz w:val="24"/>
          <w:szCs w:val="24"/>
        </w:rPr>
        <w:t xml:space="preserve">Referencias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left="720" w:hanging="720"/>
        <w:jc w:val="both"/>
      </w:pPr>
      <w:r>
        <w:rPr>
          <w:rFonts w:ascii="Times New Roman" w:cs="Times New Roman" w:eastAsia="Times New Roman" w:hAnsi="Times New Roman"/>
          <w:sz w:val="24"/>
          <w:szCs w:val="24"/>
        </w:rPr>
        <w:t xml:space="preserve">Drachsler, H., &amp; Greller, W. (2016). Privacy and analytics: It's a DELICATE issue. A checklist for trusted learning analytics. En Proceedings of the 6th International Learning Analytics &amp; Knowledge Conference (pp. 89–98). ACM. https://doi.org/10.1145/2883851.2883893</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left="720" w:hanging="720"/>
        <w:jc w:val="both"/>
      </w:pPr>
      <w:r>
        <w:rPr>
          <w:rFonts w:ascii="Times New Roman" w:cs="Times New Roman" w:eastAsia="Times New Roman" w:hAnsi="Times New Roman"/>
          <w:sz w:val="24"/>
          <w:szCs w:val="24"/>
        </w:rPr>
        <w:t xml:space="preserve">Floridi, L., Cowls, J., Beltrametti, M., Chatila, R., Chazerand, P., Dignum, V., Luetge, C., Madelin, R., Pagallo, U., Rossi, F., Schafer, B., Valcke, P., &amp; Vayena, E. (2018). An ethical framework for a good AI society: Opportunities, risks, principles, and recommendations. Minds and Machines, 28(4), 689–707. https://doi.org/10.1007/s11023-018-9482-5</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left="720" w:hanging="720"/>
        <w:jc w:val="both"/>
      </w:pPr>
      <w:r>
        <w:rPr>
          <w:rFonts w:ascii="Times New Roman" w:cs="Times New Roman" w:eastAsia="Times New Roman" w:hAnsi="Times New Roman"/>
          <w:sz w:val="24"/>
          <w:szCs w:val="24"/>
        </w:rPr>
        <w:t xml:space="preserve">Holmes, W., Porayska-Pomsta, K., Holstein, K., Sutherland, E., Baker, T., Shum, S. B., Santos, O. C., Rodrigo, M. T., Cukurova, M., Bittencourt, I. I., &amp; Koedinger, K. R. (2022). Ethics of AI in education: Towards a community-wide framework. International Journal of Artificial Intelligence in Education, 32(3), 504–526. https://doi.org/10.1007/s40593-021-00239-1</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left="720" w:hanging="720"/>
        <w:jc w:val="both"/>
      </w:pPr>
      <w:r>
        <w:rPr>
          <w:rFonts w:ascii="Times New Roman" w:cs="Times New Roman" w:eastAsia="Times New Roman" w:hAnsi="Times New Roman"/>
          <w:sz w:val="24"/>
          <w:szCs w:val="24"/>
        </w:rPr>
        <w:t xml:space="preserve">Khosravi, H., Shum, S. B., Chen, G., Conati, C., Tsai, Y.-S., Kay, J., Knight, S., Martinez-Maldonado, R., Sadiq, S., &amp; Gašević, D. (2022). Explainable artificial intelligence in education. Computers and Education: Artificial Intelligence, 3, 100074. https://doi.org/10.1016/j.caeai.2022.100074</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left="720" w:hanging="720"/>
        <w:jc w:val="both"/>
      </w:pPr>
      <w:r>
        <w:rPr>
          <w:rFonts w:ascii="Times New Roman" w:cs="Times New Roman" w:eastAsia="Times New Roman" w:hAnsi="Times New Roman"/>
          <w:sz w:val="24"/>
          <w:szCs w:val="24"/>
        </w:rPr>
        <w:t xml:space="preserve">Selwyn, N. (2019). What is digital sociology? Polity Press.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left="720" w:hanging="720"/>
        <w:jc w:val="both"/>
      </w:pPr>
      <w:r>
        <w:rPr>
          <w:rFonts w:ascii="Times New Roman" w:cs="Times New Roman" w:eastAsia="Times New Roman" w:hAnsi="Times New Roman"/>
          <w:sz w:val="24"/>
          <w:szCs w:val="24"/>
        </w:rPr>
        <w:t xml:space="preserve">UNESCO. (2021). Recommendation on the ethics of artificial intelligence. UNESCO. https://unesdoc.unesco.org/ark:/48223/pf0000381137</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left="720" w:hanging="720"/>
        <w:jc w:val="both"/>
      </w:pPr>
      <w:r>
        <w:rPr>
          <w:rFonts w:ascii="Times New Roman" w:cs="Times New Roman" w:eastAsia="Times New Roman" w:hAnsi="Times New Roman"/>
          <w:sz w:val="24"/>
          <w:szCs w:val="24"/>
        </w:rPr>
        <w:t xml:space="preserve">Williamson, B., Bayne, S., &amp; Shay, S. (2020). The datafication of teaching in Higher Education: Critical issues and perspectives. Teaching in Higher Education, 25(4), 351–365. https://doi.org/10.1080/13562517.2020.1748811</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left="720" w:hanging="720"/>
        <w:jc w:val="both"/>
      </w:pPr>
      <w:r>
        <w:rPr>
          <w:rFonts w:ascii="Times New Roman" w:cs="Times New Roman" w:eastAsia="Times New Roman" w:hAnsi="Times New Roman"/>
          <w:sz w:val="24"/>
          <w:szCs w:val="24"/>
        </w:rPr>
        <w:t xml:space="preserve">Zawacki-Richter, O., &amp; Latchem, C. (2018). Exploring four decades of research in Computers &amp; Education. Computers &amp; Education, 122, 136–152. https://doi.org/10.1016/j.compedu.2018.04.001</w:t>
      </w:r>
    </w:p>
    <w:p>
      <w:pPr>
        <w:spacing w:after="0" w:before="0" w:line="480" w:lineRule="auto"/>
      </w:pPr>
      <w:r>
        <w:rPr>
          <w:rFonts w:ascii="Times New Roman" w:cs="Times New Roman" w:eastAsia="Times New Roman" w:hAnsi="Times New Roman"/>
          <w:sz w:val="24"/>
          <w:szCs w:val="24"/>
        </w:rPr>
        <w:t xml:space="preserve"/>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2026-04-10T22:10:56.908Z</dcterms:created>
  <dcterms:modified xsi:type="dcterms:W3CDTF">2026-04-10T22:10:56.908Z</dcterms:modified>
</cp:coreProperties>
</file>

<file path=docProps/custom.xml><?xml version="1.0" encoding="utf-8"?>
<Properties xmlns="http://schemas.openxmlformats.org/officeDocument/2006/custom-properties" xmlns:vt="http://schemas.openxmlformats.org/officeDocument/2006/docPropsVTypes"/>
</file>