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40" w:before="280"/>
        <w:jc w:val="left"/>
      </w:pPr>
      <w:r>
        <w:rPr>
          <w:rFonts w:ascii="Times New Roman" w:cs="Times New Roman" w:eastAsia="Times New Roman" w:hAnsi="Times New Roman"/>
          <w:b/>
          <w:bCs/>
          <w:sz w:val="24"/>
          <w:szCs w:val="24"/>
        </w:rPr>
        <w:t xml:space="preserve">6.5 Población, Muestra y Criterios de Selección</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6.5.1 Definición de la Población Objetivo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población objetivo de la presente investigación está constituida por los estudiantes de nivel universitario que se encuentran actualmente matriculados en instituciones de educación superior en el estado de Querétaro, México. Esta delimitación geográfica responde a la accesibilidad institucional requerida para la recolección de datos mediante el instrumento psicométrico de 165 ítems desarrollado ad hoc, así como a la pertinencia de construir un modelo predictivo que capture las particularidades del contexto socioeducativo regional. La Universidad Autónoma de Querétaro (UAQ), institución en la que se inscribe esta investigación, atiende una población estudiantil diversa en términos de origen socioeconómico, áreas disciplinarias y trayectorias académicas previas, lo que proporciona una muestra potencialmente heterogénea y representativa de las condiciones educativas típicas del nivel universitario en México.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Para efectos de esta investigación, se considera como unidad de análisis al estudiante universitario en condición de riesgo de deserción, definido operacionalmente como aquel que presenta dos o más de los siguientes indicadores: baja carga académica en el semestre en curso (tres materias o menos), historial de reprobación en uno o más cursos previos, solicitud de baja temporal en semestres anteriores, o puntuaciones por debajo de la media institucional en alguna de las dimensiones del instrumento psicoemocional aplicado. Esta definición operacional multidimensional permite capturar la naturaleza compleja y multicausal del fenómeno de la deserción escolar, en consonancia con el enfoque teórico adoptado en el Marco Teórico de esta investigación.</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6.5.2 Estrategia de Muestreo y Determinación del Tamaño de Muestra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Dada la naturaleza del problema de investigación y las exigencias técnicas del modelado mediante aprendizaje automático, la estrategia de muestreo adoptada es de tipo probabilístico estratificado, con estratificación por área de conocimiento (Ciencias Naturales y Exactas, Ciencias Sociales y Administrativas, Ingeniería y Tecnología, Humanidades y Artes, y Ciencias de la Salud). Esta estratificación permite garantizar la representatividad disciplinaria de la muestra y la posibilidad de analizar posteriormente si el modelo predictivo presenta diferencias en su rendimiento según el área académica de los estudiantes, una variable que diversas investigaciones han identificado como moduladora de los patrones de deserción.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determinación del tamaño de muestra requerido para entrenar modelos de aprendizaje automático con capacidad generalizadora no está sujeta a las fórmulas estadísticas convencionales utilizadas en la investigación cuantitativa clásica, que optimizan el tamaño muestral en función del error estándar deseado y el nivel de confianza. En cambio, las directrices para el entrenamiento de modelos de machine learning sugieren disponer de al menos entre 10 y 20 casos por cada variable predictora en el modelo (Hastie, Tibshirani y Friedman, 2009). Considerando que el modelo de Stacking Ensemble utiliza como variables predictoras las puntuaciones en las seis dimensiones del instrumento psicoemocional, así como variables académicas y demográficas adicionales, se estima necesario un mínimo de 300 observaciones para el entrenamiento y la evaluación del modelo mediante validación cruzada de 10 pliegues.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muestra objetivo establecida para esta investigación es de 400 estudiantes universitarios, distribuidos proporcionalmente entre las cinco áreas disciplinarias identificadas. Esta cifra supera el mínimo técnico estimado y proporciona un margen suficiente para manejar los casos de respuestas incompletas o inválidas que inevitablemente se presentan en la recolección de instrumentos de autorreporte. La distribución proporcional por área garantiza que ningún grupo disciplinario esté sobre o subrepresentado en la muestra final.</w:t>
      </w:r>
    </w:p>
    <w:p>
      <w:pPr>
        <w:spacing w:after="0" w:before="0" w:line="480" w:lineRule="auto"/>
      </w:pPr>
      <w:r>
        <w:rPr>
          <w:rFonts w:ascii="Times New Roman" w:cs="Times New Roman" w:eastAsia="Times New Roman" w:hAnsi="Times New Roman"/>
          <w:sz w:val="24"/>
          <w:szCs w:val="24"/>
        </w:rPr>
        <w:t xml:space="preserve"/>
      </w:r>
    </w:p>
    <w:p>
      <w:pPr>
        <w:pStyle w:val="Heading2"/>
        <w:spacing w:after="140" w:before="280"/>
        <w:jc w:val="left"/>
      </w:pPr>
      <w:r>
        <w:rPr>
          <w:rFonts w:ascii="Times New Roman" w:cs="Times New Roman" w:eastAsia="Times New Roman" w:hAnsi="Times New Roman"/>
          <w:b/>
          <w:bCs/>
          <w:sz w:val="24"/>
          <w:szCs w:val="24"/>
        </w:rPr>
        <w:t xml:space="preserve">6.6 Procedimiento de Recolección de Datos</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6.6.1 Fases del Proceso de Recolección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El proceso de recolección de datos se estructura en cuatro fases secuenciales que garantizan el cumplimiento de los estándares éticos y metodológicos requeridos para investigación con sujetos humanos en el ámbito universitario. La primera fase comprende la obtención de los permisos institucionales necesarios por parte de las autoridades académicas de las facultades participantes, así como la presentación del protocolo de investigación ante el Comité de Ética correspondiente. La aprobación de esta instancia es un requisito previo ineludible que certifica que el diseño de la investigación cumple con los principios de beneficencia, no maleficencia, autonomía y justicia establecidos por los organismos normativos nacionales e internacionales en materia de investigación con personas.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segunda fase corresponde a la preparación y piloteo del instrumento de recolección de datos. Antes de la aplicación masiva, el instrumento de 165 ítems es sometido a una aplicación piloto con una muestra de 30 a 50 estudiantes no incluidos en la muestra definitiva, con el propósito de verificar la claridad y comprensibilidad de los ítems, identificar posibles errores de formulación y estimar los parámetros psicométricos preliminares (tiempo promedio de respuesta, distribución de frecuencias, valores atípicos). Los resultados del piloteo informan eventuales ajustes menores en la redacción de los ítems antes de la aplicación definitiva.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tercera fase constituye la aplicación del instrumento a la muestra definitiva. La recolección se realiza mediante la plataforma digital desarrollada como prototipo en el marco de esta investigación, que permite la administración del instrumento en modo autoadministrado a través de dispositivos con acceso a internet. Esta modalidad de aplicación reduce los costos logísticos de la recolección, facilita el registro automatizado de las respuestas y minimiza los errores de captura propios de los instrumentos en formato papel. Los estudiantes acceden a la plataforma mediante un enlace personalizado que incorpora un código único de participante, garantizando la vinculación de sus respuestas con los registros académicos institucionales sin comprometer su anonimato.</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6.6.2 Variables Recolectadas y Fuentes de Datos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Las variables recolectadas en esta investigación se clasifican en tres categorías. En primer lugar, las variables psicoemocionales, derivadas directamente de las respuestas al instrumento de 165 ítems y organizadas en seis dimensiones: Bienestar Emocional (ítems 1-28), Autopercepción Académica (ítems 29-56), Motivación y Compromiso (ítems 57-84), Resiliencia Académica (ítems 85-112), Relaciones Interpersonales (ítems 113-140) y Afiliación Institucional (ítems 141-165). Cada dimensión produce una puntuación total mediante la suma de los ítems correspondientes, con inversión previa de los ítems formulados en sentido negativo.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En segundo lugar, las variables académicas, obtenidas de los registros institucionales con autorización previa: promedio general acumulado, número de materias reprobadas en el historial académico, semestre de ingreso, carga académica actual y condición de beca. En tercer lugar, las variables sociodemográficas reportadas directamente por los estudiantes en la sección inicial del instrumento: sexo, edad, municipio de residencia, nivel educativo de los padres y condición laboral del estudiante (trabaja o no trabaja). La variable dependiente binaria —deserción o permanencia— se determina mediante seguimiento institucional al cierre del semestre académico correspondiente.</w:t>
      </w:r>
    </w:p>
    <w:p>
      <w:pPr>
        <w:spacing w:after="0" w:before="0" w:line="480" w:lineRule="auto"/>
      </w:pPr>
      <w:r>
        <w:rPr>
          <w:rFonts w:ascii="Times New Roman" w:cs="Times New Roman" w:eastAsia="Times New Roman" w:hAnsi="Times New Roman"/>
          <w:sz w:val="24"/>
          <w:szCs w:val="24"/>
        </w:rPr>
        <w:t xml:space="preserve"/>
      </w:r>
    </w:p>
    <w:p>
      <w:pPr>
        <w:pStyle w:val="Heading2"/>
        <w:spacing w:after="140" w:before="280"/>
        <w:jc w:val="left"/>
      </w:pPr>
      <w:r>
        <w:rPr>
          <w:rFonts w:ascii="Times New Roman" w:cs="Times New Roman" w:eastAsia="Times New Roman" w:hAnsi="Times New Roman"/>
          <w:b/>
          <w:bCs/>
          <w:sz w:val="24"/>
          <w:szCs w:val="24"/>
        </w:rPr>
        <w:t xml:space="preserve">6.7 Análisis Estadístico y Validación del Modelo Predictivo</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6.7.1 Preprocesamiento de los Datos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Previo al entrenamiento de los modelos de aprendizaje automático, los datos recolectados son sometidos a un proceso de preprocesamiento que comprende cuatro etapas. La primera es la limpieza de datos, que implica la identificación y el tratamiento de valores faltantes, la detección de respuestas incoherentes o fuera de rango y la eliminación de registros con porcentajes de respuesta inferiores al 80% del instrumento total. La segunda etapa es la transformación de variables: las puntuaciones Likert de los 165 ítems se agregan en puntuaciones de dimensión, las variables categóricas se codifican mediante codificación de variables indicadoras (dummy encoding) y las variables numéricas continuas se estandarizan mediante normalización z-score para garantizar la comparabilidad de las escalas.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tercera etapa del preprocesamiento es el balanceo de clases, que atiende la probable desproporción entre la clase mayoritaria (estudiantes que permanecen) y la clase minoritaria (estudiantes que desertan) en la muestra disponible. El desbalanceo de clases es un problema técnico conocido en el aprendizaje automático supervisado que puede sesgar los modelos hacia la predicción de la clase mayoritaria, generando tasas de verdaderos positivos (identificación de desertores) artificialmente bajas. Para mitigar este problema se aplica la técnica SMOTE (Synthetic Minority Over-sampling Technique), que genera casos sintéticos de la clase minoritaria en el espacio de características, incrementando su representación en el conjunto de entrenamiento sin duplicar registros reales.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cuarta y última etapa del preprocesamiento es la partición del conjunto de datos en subconjuntos de entrenamiento, validación y prueba, siguiendo una proporción 70-15-15. El subconjunto de entrenamiento (70%) se utiliza para ajustar los parámetros de los modelos de primer nivel (Random Forest, XGBoost y Gradient Boosting). El subconjunto de validación (15%) se emplea para el ajuste de los hiperparámetros mediante búsqueda en cuadrícula con validación cruzada anidada. El subconjunto de prueba (15%), que permanece completamente apartado durante todo el proceso de entrenamiento y ajuste, se reserva para la evaluación final e imparcial del modelo de Stacking Ensemble.</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6.7.2 Evaluación de Modelos Individuales y del Stacking Ensemble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El plan de análisis de modelos sigue una secuencia deliberadamente progresiva: primero se entrena y evalúa cada uno de los modelos de primer nivel de manera independiente (Random Forest, XGBoost, Gradient Boosting y la Red Neuronal de Avance), y posteriormente se integran en el modelo de Stacking Ensemble con la Red Neuronal como meta-aprendiz. Esta secuencia tiene un doble propósito: por un lado, permite evaluar la contribución individual de cada algoritmo al poder predictivo del sistema, estableciendo líneas base que contextualizan la ganancia de rendimiento atribuible al ensamblaje; por otro lado, cumple un propósito pedagógico al posibilitar la exposición didáctica de cada componente del sistema ante el comité de investigación.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Las métricas de evaluación utilizadas para cada modelo son: exactitud (accuracy), precisión (precision), sensibilidad o recall, puntuación F1, área bajo la curva ROC (AUC-ROC) y la matriz de confusión completa. La AUC-ROC es la métrica principal para la comparación entre modelos, dado que es invariante respecto al umbral de decisión y proporciona una evaluación integral del rendimiento en todos los puntos operativos posibles. La sensibilidad es la métrica secundaria de mayor relevancia práctica, pues mide la proporción de desertores reales que el modelo identifica correctamente; en un sistema de alerta temprana educativa, los falsos negativos (desertores no detectados) son generalmente más costosos que los falsos positivos (estudiantes en riesgo incorrectamente identificados).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validación de los modelos se realiza mediante validación cruzada estratificada de 10 pliegues (k-fold cross-validation), que permite estimar el rendimiento esperado del modelo sobre datos no vistos minimizando la varianza de la estimación. El reporte de los resultados incluye tanto la media como la desviación estándar de cada métrica a través de los 10 pliegues, proporcionando una caracterización de la estabilidad del rendimiento del modelo. Adicionalmente, se realizan pruebas estadísticas de diferencias entre modelos (prueba de McNemar para clasificadores) para determinar si las diferencias de rendimiento observadas entre el modelo de Stacking y los modelos individuales son estadísticamente significativas.</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6.7.3 Interpretabilidad mediante Valores SHAP</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interpretación del modelo de Stacking Ensemble se realiza mediante la técnica de valores SHAP (SHapley Additive exPlanations), que proporciona explicaciones locales y globales de las predicciones del modelo. A nivel global, se construyen gráficas de resumen SHAP que muestran la magnitud y dirección del efecto de cada variable sobre el riesgo de deserción predicho por el modelo, permitiendo identificar las dimensiones psicoemocionales con mayor poder predictivo. A nivel local, para cada predicción individual, se generan gráficas de cascada (waterfall plots) que desglosan la contribución de cada variable a la predicción particular del estudiante analizado. Esta capacidad de explicación individualizada es la que dota al sistema de valor práctico para los orientadores académicos, quienes pueden diseñar intervenciones focalizadas en las dimensiones de mayor riesgo para cada estudiante específico.</w:t>
      </w:r>
    </w:p>
    <w:p>
      <w:pPr>
        <w:spacing w:after="0" w:before="0" w:line="480" w:lineRule="auto"/>
      </w:pPr>
      <w:r>
        <w:rPr>
          <w:rFonts w:ascii="Times New Roman" w:cs="Times New Roman" w:eastAsia="Times New Roman" w:hAnsi="Times New Roman"/>
          <w:sz w:val="24"/>
          <w:szCs w:val="24"/>
        </w:rPr>
        <w:t xml:space="preserve"/>
      </w:r>
    </w:p>
    <w:p>
      <w:pPr>
        <w:pStyle w:val="Heading2"/>
        <w:spacing w:after="140" w:before="280"/>
        <w:jc w:val="left"/>
      </w:pPr>
      <w:r>
        <w:rPr>
          <w:rFonts w:ascii="Times New Roman" w:cs="Times New Roman" w:eastAsia="Times New Roman" w:hAnsi="Times New Roman"/>
          <w:b/>
          <w:bCs/>
          <w:sz w:val="24"/>
          <w:szCs w:val="24"/>
        </w:rPr>
        <w:t xml:space="preserve">6.8 Consideraciones Éticas de la Investigación</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6.8.1 Protección de los Participantes y Consentimiento Informado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presente investigación se rige por los principios éticos establecidos en el Reporte Belmont (1979), la Declaración de Helsinki (2013) y las directrices nacionales para la investigación educativa con personas del Consejo Nacional de Humanidades, Ciencias y Tecnologías (CONAHCyT). En congruencia con estos marcos normativos, la participación en el estudio es estrictamente voluntaria, no conllevará ningún beneficio ni perjuicio académico para los participantes, y podrá ser abandonada en cualquier momento sin consecuencia alguna para el participante.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El proceso de consentimiento informado garantiza que cada participante comprenda, antes de responder el instrumento: (a) los objetivos de la investigación y el uso que se dará a los datos recolectados; (b) los procedimientos de anonimización y protección de la confidencialidad de sus respuestas; (c) el carácter voluntario de su participación y su derecho a retirarse sin consecuencias; (d) los posibles beneficios indirectos de la investigación para la comunidad estudiantil; y (e) los datos de contacto del investigador responsable y del Comité de Ética para el caso de dudas o quejas. El consentimiento se obtiene de manera electrónica a través de la plataforma de aplicación del instrumento, con un registro de la fecha y hora de aceptación.</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6.8.2 Confidencialidad, Anonimización y Seguridad de los Datos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La confidencialidad de los datos de los participantes es garantizada mediante un sistema de codificación que desvincula las respuestas al instrumento psicométrico de la identidad personal de los participantes. Cada participante recibe un código alfanumérico único generado aleatoriamente que es el único identificador utilizado en la base de datos de investigación. El vínculo entre este código y los datos identificativos del participante (nombre, número de matrícula) se almacena en un archivo cifrado separado, al que solo tienen acceso el investigador principal y el director de tesis, y que será destruido al concluir el período de análisis.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Los datos recolectados serán almacenados en servidores institucionales protegidos por contraseña y con cifrado de disco durante toda la duración del proyecto, y serán eliminados de manera segura cinco años después de la publicación de los resultados finales de la investigación, en cumplimiento con las disposiciones de la Ley Federal de Protección de Datos Personales en Posesión de los Particulares (LFPDPPP) y su Reglamento. No se transferirán datos de participantes a terceros sin autorización explícita, y cualquier publicación derivada de esta investigación utilizará únicamente datos agregados o anonimizados que imposibiliten la identificación de participantes individuales.</w:t>
      </w:r>
    </w:p>
    <w:p>
      <w:pPr>
        <w:spacing w:after="0" w:before="0" w:line="480" w:lineRule="auto"/>
      </w:pPr>
      <w:r>
        <w:rPr>
          <w:rFonts w:ascii="Times New Roman" w:cs="Times New Roman" w:eastAsia="Times New Roman" w:hAnsi="Times New Roman"/>
          <w:sz w:val="24"/>
          <w:szCs w:val="24"/>
        </w:rPr>
        <w:t xml:space="preserve"/>
      </w:r>
    </w:p>
    <w:p>
      <w:pPr>
        <w:pStyle w:val="Heading3"/>
        <w:spacing w:after="80" w:before="200"/>
        <w:jc w:val="left"/>
      </w:pPr>
      <w:r>
        <w:rPr>
          <w:rFonts w:ascii="Times New Roman" w:cs="Times New Roman" w:eastAsia="Times New Roman" w:hAnsi="Times New Roman"/>
          <w:b/>
          <w:bCs/>
          <w:sz w:val="24"/>
          <w:szCs w:val="24"/>
        </w:rPr>
        <w:t xml:space="preserve">6.8.3 Uso Responsable de las Predicciones del Modelo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Una consideración ética de particular relevancia en el contexto de los sistemas de alerta temprana basados en inteligencia artificial es el riesgo de que las predicciones del modelo influyan negativamente sobre el trato que los docentes y orientadores dispensan a los estudiantes identificados como en riesgo. Para mitigar este riesgo, el sistema diseñado establece que las predicciones del modelo tienen carácter exclusivamente orientativo y deben ser interpretadas siempre en combinación con la observación directa del orientador académico y el diálogo con el estudiante. El modelo genera alertas de riesgo, no sentencias académicas; su propósito es enfocar los recursos de atención institucional hacia los estudiantes que más los necesitan, no etiquetar ni estigmatizar a ningún estudiante.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Adicionalmente, el protocolo de intervención diseñado establece que todo estudiante identificado por el modelo como en riesgo elevado de deserción será contactado por un orientador académico para una entrevista de apoyo, en la que se le informará sobre su situación de riesgo y los recursos institucionales disponibles. El estudiante tiene derecho a conocer la evaluación de riesgo que el modelo ha generado sobre su caso, a solicitar una explicación comprensible de los factores que la determinan (facilitada por las gráficas SHAP) y a rechazar cualquier intervención propuesta. Este diseño de intervención centrado en la autonomía del estudiante busca garantizar que el sistema de alerta temprana sea una herramienta de apoyo genuino y no un mecanismo de control institucional.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pStyle w:val="Heading2"/>
        <w:spacing w:after="140" w:before="280"/>
        <w:jc w:val="left"/>
      </w:pPr>
      <w:r>
        <w:rPr>
          <w:rFonts w:ascii="Times New Roman" w:cs="Times New Roman" w:eastAsia="Times New Roman" w:hAnsi="Times New Roman"/>
          <w:b/>
          <w:bCs/>
          <w:sz w:val="24"/>
          <w:szCs w:val="24"/>
        </w:rPr>
        <w:t xml:space="preserve">Referencias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Boateng, G. O., Neilands, T. B., Frongillo, E. A., Melgar-Quiñonez, H. R., &amp; Young, S. L. (2018). Best practices for developing and validating scales for health, social, and behavioral research: A primer. Frontiers in Public Health, 6, 149. https://doi.org/10.3389/fpubh.2018.00149</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 https://doi.org/10.1613/jair.953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Hastie, T., Tibshirani, R., &amp; Friedman, J. (2009). The elements of statistical learning: Data mining, inference, and prediction (2ª ed.). Springer.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Hernández Sampieri, R., Fernández Collado, C., &amp; Baptista Lucio, P. (2014). Metodología de la investigación (6ª ed.). McGraw-Hill.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hanging="720"/>
        <w:jc w:val="both"/>
      </w:pPr>
      <w:r>
        <w:rPr>
          <w:rFonts w:ascii="Times New Roman" w:cs="Times New Roman" w:eastAsia="Times New Roman" w:hAnsi="Times New Roman"/>
          <w:sz w:val="24"/>
          <w:szCs w:val="24"/>
        </w:rPr>
        <w:t xml:space="preserve">UNESCO. (2021). Recommendation on the ethics of artificial intelligence. UNESCO. https://unesdoc.unesco.org/ark:/48223/pf0000381137</w:t>
      </w:r>
    </w:p>
    <w:p>
      <w:pPr>
        <w:spacing w:after="0" w:before="0" w:line="480" w:lineRule="auto"/>
      </w:pPr>
      <w:r>
        <w:rPr>
          <w:rFonts w:ascii="Times New Roman" w:cs="Times New Roman" w:eastAsia="Times New Roman" w:hAnsi="Times New Roman"/>
          <w:sz w:val="24"/>
          <w:szCs w:val="24"/>
        </w:rP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2026-04-10T22:13:10.406Z</dcterms:created>
  <dcterms:modified xsi:type="dcterms:W3CDTF">2026-04-10T22:13:10.406Z</dcterms:modified>
</cp:coreProperties>
</file>

<file path=docProps/custom.xml><?xml version="1.0" encoding="utf-8"?>
<Properties xmlns="http://schemas.openxmlformats.org/officeDocument/2006/custom-properties" xmlns:vt="http://schemas.openxmlformats.org/officeDocument/2006/docPropsVTypes"/>
</file>