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6E4AC" w14:textId="77777777" w:rsidR="0023037A" w:rsidRDefault="0023037A" w:rsidP="007561FC">
      <w:pPr>
        <w:contextualSpacing/>
        <w:jc w:val="center"/>
        <w:rPr>
          <w:b/>
          <w:sz w:val="32"/>
          <w:szCs w:val="32"/>
        </w:rPr>
      </w:pPr>
    </w:p>
    <w:p w14:paraId="68BDD052" w14:textId="25E23EFE" w:rsidR="007561FC" w:rsidRDefault="00732EEC" w:rsidP="007561FC">
      <w:pPr>
        <w:contextualSpacing/>
        <w:jc w:val="center"/>
        <w:rPr>
          <w:b/>
          <w:sz w:val="32"/>
          <w:szCs w:val="32"/>
        </w:rPr>
      </w:pPr>
      <w:r>
        <w:rPr>
          <w:b/>
          <w:sz w:val="32"/>
          <w:szCs w:val="32"/>
        </w:rPr>
        <w:t>Ratio A</w:t>
      </w:r>
      <w:r w:rsidR="007561FC">
        <w:rPr>
          <w:b/>
          <w:sz w:val="32"/>
          <w:szCs w:val="32"/>
        </w:rPr>
        <w:t>nalysis of Samsung Electronics Co.</w:t>
      </w:r>
      <w:r w:rsidR="00FF43CC">
        <w:rPr>
          <w:b/>
          <w:sz w:val="32"/>
          <w:szCs w:val="32"/>
        </w:rPr>
        <w:t>,</w:t>
      </w:r>
      <w:r w:rsidR="007561FC">
        <w:rPr>
          <w:b/>
          <w:sz w:val="32"/>
          <w:szCs w:val="32"/>
        </w:rPr>
        <w:t xml:space="preserve"> Ltd.</w:t>
      </w:r>
    </w:p>
    <w:p w14:paraId="67A9B048" w14:textId="73DCBAE1" w:rsidR="007561FC" w:rsidRDefault="007561FC" w:rsidP="007561FC">
      <w:pPr>
        <w:contextualSpacing/>
        <w:jc w:val="center"/>
        <w:rPr>
          <w:b/>
          <w:sz w:val="32"/>
          <w:szCs w:val="32"/>
        </w:rPr>
      </w:pPr>
    </w:p>
    <w:p w14:paraId="75FA4C2F" w14:textId="58B35D90" w:rsidR="007561FC" w:rsidRPr="003C38E5" w:rsidRDefault="007561FC" w:rsidP="007561FC">
      <w:pPr>
        <w:contextualSpacing/>
        <w:jc w:val="center"/>
      </w:pPr>
      <w:r w:rsidRPr="003C38E5">
        <w:t xml:space="preserve">Karen </w:t>
      </w:r>
      <w:proofErr w:type="spellStart"/>
      <w:r w:rsidRPr="003C38E5">
        <w:t>Telan</w:t>
      </w:r>
      <w:proofErr w:type="spellEnd"/>
    </w:p>
    <w:p w14:paraId="741931D4" w14:textId="34BA2A2E" w:rsidR="003C38E5" w:rsidRPr="005E5B61" w:rsidRDefault="003C38E5" w:rsidP="007561FC">
      <w:pPr>
        <w:contextualSpacing/>
        <w:jc w:val="center"/>
        <w:rPr>
          <w:color w:val="000000" w:themeColor="text1"/>
        </w:rPr>
      </w:pPr>
      <w:r w:rsidRPr="003C38E5">
        <w:t xml:space="preserve">Abu Dhabi University, Email: </w:t>
      </w:r>
      <w:hyperlink r:id="rId6" w:history="1">
        <w:r w:rsidRPr="005E5B61">
          <w:rPr>
            <w:rStyle w:val="Hyperlink"/>
            <w:color w:val="000000" w:themeColor="text1"/>
            <w:u w:val="none"/>
          </w:rPr>
          <w:t>1070232@students.adu.ac.ae</w:t>
        </w:r>
      </w:hyperlink>
    </w:p>
    <w:p w14:paraId="5F34873C" w14:textId="64F0EEA4" w:rsidR="003C38E5" w:rsidRDefault="003C38E5" w:rsidP="007561FC">
      <w:pPr>
        <w:contextualSpacing/>
        <w:jc w:val="center"/>
        <w:rPr>
          <w:sz w:val="28"/>
          <w:szCs w:val="28"/>
        </w:rPr>
      </w:pPr>
    </w:p>
    <w:p w14:paraId="14B0411A" w14:textId="77777777" w:rsidR="003C38E5" w:rsidRDefault="003C38E5" w:rsidP="003C38E5">
      <w:pPr>
        <w:contextualSpacing/>
        <w:jc w:val="center"/>
        <w:rPr>
          <w:bCs/>
        </w:rPr>
      </w:pPr>
      <w:r>
        <w:rPr>
          <w:bCs/>
        </w:rPr>
        <w:t>Supervised by:</w:t>
      </w:r>
    </w:p>
    <w:p w14:paraId="48BE4B5A" w14:textId="77777777" w:rsidR="003C38E5" w:rsidRPr="00464CAC" w:rsidRDefault="003C38E5" w:rsidP="003C38E5">
      <w:pPr>
        <w:contextualSpacing/>
        <w:jc w:val="center"/>
        <w:rPr>
          <w:bCs/>
        </w:rPr>
      </w:pPr>
    </w:p>
    <w:p w14:paraId="475D8B6B" w14:textId="77777777" w:rsidR="003C38E5" w:rsidRPr="00464CAC" w:rsidRDefault="003C38E5" w:rsidP="003C38E5">
      <w:pPr>
        <w:contextualSpacing/>
        <w:jc w:val="center"/>
        <w:rPr>
          <w:bCs/>
        </w:rPr>
      </w:pPr>
      <w:r>
        <w:rPr>
          <w:bCs/>
        </w:rPr>
        <w:t xml:space="preserve">Professor </w:t>
      </w:r>
      <w:r w:rsidRPr="00464CAC">
        <w:rPr>
          <w:bCs/>
        </w:rPr>
        <w:t>Haitham Nobanee</w:t>
      </w:r>
    </w:p>
    <w:p w14:paraId="4680E3E7" w14:textId="66A1E2BF" w:rsidR="003C38E5" w:rsidRDefault="003C38E5" w:rsidP="003C38E5">
      <w:pPr>
        <w:contextualSpacing/>
        <w:jc w:val="center"/>
        <w:rPr>
          <w:bCs/>
        </w:rPr>
      </w:pPr>
    </w:p>
    <w:p w14:paraId="6B84B072" w14:textId="1C1E21A9" w:rsidR="003C38E5" w:rsidRDefault="003C38E5" w:rsidP="003C38E5">
      <w:pPr>
        <w:contextualSpacing/>
        <w:jc w:val="center"/>
        <w:rPr>
          <w:bCs/>
        </w:rPr>
      </w:pPr>
    </w:p>
    <w:p w14:paraId="063FDD77" w14:textId="77777777" w:rsidR="0023037A" w:rsidRDefault="0023037A" w:rsidP="003C38E5">
      <w:pPr>
        <w:contextualSpacing/>
        <w:jc w:val="center"/>
        <w:rPr>
          <w:bCs/>
        </w:rPr>
      </w:pPr>
    </w:p>
    <w:p w14:paraId="1B2948C6" w14:textId="77777777" w:rsidR="003C38E5" w:rsidRDefault="003C38E5" w:rsidP="003C38E5">
      <w:pPr>
        <w:contextualSpacing/>
        <w:jc w:val="center"/>
        <w:rPr>
          <w:bCs/>
        </w:rPr>
      </w:pPr>
    </w:p>
    <w:p w14:paraId="6700B877" w14:textId="21B19DC6" w:rsidR="003C38E5" w:rsidRDefault="003C38E5" w:rsidP="003C38E5">
      <w:pPr>
        <w:contextualSpacing/>
        <w:jc w:val="center"/>
        <w:rPr>
          <w:bCs/>
        </w:rPr>
      </w:pPr>
    </w:p>
    <w:p w14:paraId="09FFF1CF" w14:textId="1EDFFB8E" w:rsidR="003C38E5" w:rsidRDefault="003C38E5" w:rsidP="00FD2285">
      <w:pPr>
        <w:spacing w:line="480" w:lineRule="auto"/>
        <w:contextualSpacing/>
        <w:jc w:val="center"/>
        <w:rPr>
          <w:b/>
        </w:rPr>
      </w:pPr>
      <w:r w:rsidRPr="003C38E5">
        <w:rPr>
          <w:b/>
        </w:rPr>
        <w:t>Abstract</w:t>
      </w:r>
    </w:p>
    <w:p w14:paraId="11C22E7C" w14:textId="14BA0DBC" w:rsidR="00EB4103" w:rsidRPr="00EB4103" w:rsidRDefault="00EB4103" w:rsidP="00185D96">
      <w:pPr>
        <w:spacing w:line="480" w:lineRule="auto"/>
        <w:contextualSpacing/>
        <w:jc w:val="both"/>
        <w:rPr>
          <w:bCs/>
        </w:rPr>
      </w:pPr>
      <w:r>
        <w:rPr>
          <w:bCs/>
        </w:rPr>
        <w:t xml:space="preserve">This paper will examine the financial performance of Samsung Electronics Co. Ltd. </w:t>
      </w:r>
      <w:r w:rsidR="0096733E">
        <w:rPr>
          <w:bCs/>
        </w:rPr>
        <w:t>f</w:t>
      </w:r>
      <w:r>
        <w:rPr>
          <w:bCs/>
        </w:rPr>
        <w:t>rom the years 2016 to 2019.</w:t>
      </w:r>
      <w:r w:rsidR="0023037A">
        <w:rPr>
          <w:bCs/>
        </w:rPr>
        <w:t xml:space="preserve"> Currently, it is known </w:t>
      </w:r>
      <w:r w:rsidR="0096733E">
        <w:rPr>
          <w:bCs/>
        </w:rPr>
        <w:t xml:space="preserve">that the </w:t>
      </w:r>
      <w:r w:rsidR="0023037A">
        <w:rPr>
          <w:bCs/>
        </w:rPr>
        <w:t>sales and profitability</w:t>
      </w:r>
      <w:r w:rsidR="0096733E">
        <w:rPr>
          <w:bCs/>
        </w:rPr>
        <w:t xml:space="preserve"> of the company </w:t>
      </w:r>
      <w:r w:rsidR="00FF43CC">
        <w:rPr>
          <w:bCs/>
        </w:rPr>
        <w:t>have</w:t>
      </w:r>
      <w:r w:rsidR="0096733E">
        <w:rPr>
          <w:bCs/>
        </w:rPr>
        <w:t xml:space="preserve"> </w:t>
      </w:r>
      <w:proofErr w:type="gramStart"/>
      <w:r w:rsidR="0096733E">
        <w:rPr>
          <w:bCs/>
        </w:rPr>
        <w:t>been</w:t>
      </w:r>
      <w:proofErr w:type="gramEnd"/>
      <w:r w:rsidR="0023037A">
        <w:rPr>
          <w:bCs/>
        </w:rPr>
        <w:t xml:space="preserve"> affected due to its exposure </w:t>
      </w:r>
      <w:r w:rsidR="00FF43CC">
        <w:rPr>
          <w:bCs/>
        </w:rPr>
        <w:t>to</w:t>
      </w:r>
      <w:r w:rsidR="0023037A">
        <w:rPr>
          <w:bCs/>
        </w:rPr>
        <w:t xml:space="preserve"> the changes in their economic environment. Hence, </w:t>
      </w:r>
      <w:r w:rsidR="00F9721F">
        <w:rPr>
          <w:bCs/>
        </w:rPr>
        <w:t>this paper will determine their financial health and identify whether the company can be recommended for investors and creditors as a choice for investing in or lending to</w:t>
      </w:r>
      <w:r w:rsidR="0096733E">
        <w:rPr>
          <w:bCs/>
        </w:rPr>
        <w:t xml:space="preserve"> the company.</w:t>
      </w:r>
      <w:r w:rsidR="0023037A">
        <w:rPr>
          <w:bCs/>
        </w:rPr>
        <w:t xml:space="preserve"> </w:t>
      </w:r>
      <w:r w:rsidR="0096733E">
        <w:rPr>
          <w:bCs/>
        </w:rPr>
        <w:t xml:space="preserve">The method for analyzing their financial position will be done through the use of ratio analysis, thus, this paper will </w:t>
      </w:r>
      <w:r>
        <w:rPr>
          <w:bCs/>
        </w:rPr>
        <w:t xml:space="preserve">include calculations </w:t>
      </w:r>
      <w:r w:rsidR="0023037A">
        <w:rPr>
          <w:bCs/>
        </w:rPr>
        <w:t>of</w:t>
      </w:r>
      <w:r>
        <w:rPr>
          <w:bCs/>
        </w:rPr>
        <w:t xml:space="preserve"> liquidity ratios, activity ratios, debt ratios</w:t>
      </w:r>
      <w:r w:rsidR="00FF43CC">
        <w:rPr>
          <w:bCs/>
        </w:rPr>
        <w:t>,</w:t>
      </w:r>
      <w:r>
        <w:rPr>
          <w:bCs/>
        </w:rPr>
        <w:t xml:space="preserve"> and profitability ratios</w:t>
      </w:r>
      <w:r w:rsidR="0096733E">
        <w:rPr>
          <w:bCs/>
        </w:rPr>
        <w:t xml:space="preserve"> from the Income Statement and Balance Sheet of Samsung Electronics Co.</w:t>
      </w:r>
      <w:r w:rsidR="00FF43CC">
        <w:rPr>
          <w:bCs/>
        </w:rPr>
        <w:t>,</w:t>
      </w:r>
      <w:r w:rsidR="0096733E">
        <w:rPr>
          <w:bCs/>
        </w:rPr>
        <w:t xml:space="preserve"> Ltd.</w:t>
      </w:r>
    </w:p>
    <w:p w14:paraId="2305386B" w14:textId="23A57E03" w:rsidR="00EB4103" w:rsidRPr="00EB4103" w:rsidRDefault="00EB4103" w:rsidP="00EB4103">
      <w:pPr>
        <w:spacing w:line="480" w:lineRule="auto"/>
        <w:contextualSpacing/>
        <w:rPr>
          <w:bCs/>
        </w:rPr>
      </w:pPr>
    </w:p>
    <w:p w14:paraId="3E6D0369" w14:textId="77777777" w:rsidR="007561FC" w:rsidRDefault="007561FC" w:rsidP="009D4450">
      <w:pPr>
        <w:spacing w:line="480" w:lineRule="auto"/>
        <w:jc w:val="both"/>
        <w:rPr>
          <w:b/>
          <w:bCs/>
          <w:sz w:val="28"/>
          <w:szCs w:val="28"/>
        </w:rPr>
      </w:pPr>
    </w:p>
    <w:p w14:paraId="6EF610ED" w14:textId="22B087A5" w:rsidR="0023037A" w:rsidRDefault="0023037A" w:rsidP="009D4450">
      <w:pPr>
        <w:spacing w:line="480" w:lineRule="auto"/>
        <w:jc w:val="both"/>
        <w:rPr>
          <w:b/>
          <w:bCs/>
          <w:sz w:val="28"/>
          <w:szCs w:val="28"/>
        </w:rPr>
      </w:pPr>
    </w:p>
    <w:p w14:paraId="69508634" w14:textId="77777777" w:rsidR="00185D96" w:rsidRDefault="00185D96" w:rsidP="009D4450">
      <w:pPr>
        <w:spacing w:line="480" w:lineRule="auto"/>
        <w:jc w:val="both"/>
        <w:rPr>
          <w:b/>
          <w:bCs/>
          <w:sz w:val="28"/>
          <w:szCs w:val="28"/>
        </w:rPr>
      </w:pPr>
    </w:p>
    <w:p w14:paraId="1918700C" w14:textId="51395ABF" w:rsidR="0096733E" w:rsidRDefault="0096733E" w:rsidP="009D4450">
      <w:pPr>
        <w:spacing w:line="480" w:lineRule="auto"/>
        <w:jc w:val="both"/>
        <w:rPr>
          <w:b/>
          <w:bCs/>
          <w:sz w:val="28"/>
          <w:szCs w:val="28"/>
        </w:rPr>
      </w:pPr>
    </w:p>
    <w:p w14:paraId="205B33C5" w14:textId="77777777" w:rsidR="00185D96" w:rsidRDefault="00185D96" w:rsidP="009D4450">
      <w:pPr>
        <w:spacing w:line="480" w:lineRule="auto"/>
        <w:jc w:val="both"/>
        <w:rPr>
          <w:b/>
          <w:bCs/>
          <w:sz w:val="28"/>
          <w:szCs w:val="28"/>
        </w:rPr>
      </w:pPr>
    </w:p>
    <w:p w14:paraId="755DC0F2" w14:textId="5C271089" w:rsidR="009D4450" w:rsidRPr="005938AD" w:rsidRDefault="009D4450" w:rsidP="009D4450">
      <w:pPr>
        <w:spacing w:line="480" w:lineRule="auto"/>
        <w:jc w:val="both"/>
        <w:rPr>
          <w:b/>
          <w:bCs/>
          <w:color w:val="0C2188"/>
          <w:sz w:val="28"/>
          <w:szCs w:val="28"/>
        </w:rPr>
      </w:pPr>
      <w:r w:rsidRPr="005938AD">
        <w:rPr>
          <w:b/>
          <w:bCs/>
          <w:color w:val="0C2188"/>
          <w:sz w:val="28"/>
          <w:szCs w:val="28"/>
        </w:rPr>
        <w:lastRenderedPageBreak/>
        <w:t>Introduction</w:t>
      </w:r>
    </w:p>
    <w:p w14:paraId="42B20627" w14:textId="1BC1308B" w:rsidR="00EF1875" w:rsidRDefault="004A3BF5" w:rsidP="00FF43CC">
      <w:pPr>
        <w:spacing w:line="480" w:lineRule="auto"/>
        <w:jc w:val="both"/>
      </w:pPr>
      <w:r>
        <w:t xml:space="preserve">     </w:t>
      </w:r>
      <w:r w:rsidR="00765C35">
        <w:t xml:space="preserve">Established in 1969, </w:t>
      </w:r>
      <w:r w:rsidR="00817EC9">
        <w:t>Samsung Electronics Co.</w:t>
      </w:r>
      <w:r w:rsidR="00FF43CC">
        <w:t>,</w:t>
      </w:r>
      <w:r w:rsidR="00817EC9">
        <w:t xml:space="preserve"> Ltd</w:t>
      </w:r>
      <w:r w:rsidR="004C1F49">
        <w:t xml:space="preserve"> (SEC)</w:t>
      </w:r>
      <w:r w:rsidR="00765C35">
        <w:t xml:space="preserve"> was </w:t>
      </w:r>
      <w:r w:rsidR="00066F45">
        <w:t>created</w:t>
      </w:r>
      <w:r w:rsidR="00765C35">
        <w:t xml:space="preserve"> </w:t>
      </w:r>
      <w:r w:rsidR="00066F45">
        <w:t xml:space="preserve">as a subsidiary of </w:t>
      </w:r>
      <w:r w:rsidR="00765C35">
        <w:t>Samsung Group</w:t>
      </w:r>
      <w:r w:rsidR="00EF1875">
        <w:t xml:space="preserve">, </w:t>
      </w:r>
      <w:r w:rsidR="00765C35">
        <w:t>and</w:t>
      </w:r>
      <w:r w:rsidR="008B0D7E">
        <w:t xml:space="preserve"> over time</w:t>
      </w:r>
      <w:r w:rsidR="00EF1875">
        <w:t xml:space="preserve">, </w:t>
      </w:r>
      <w:r w:rsidR="00FF43CC">
        <w:t>it</w:t>
      </w:r>
      <w:r w:rsidR="00EF1875">
        <w:t xml:space="preserve"> </w:t>
      </w:r>
      <w:r w:rsidR="00FF43CC">
        <w:t>has</w:t>
      </w:r>
      <w:r w:rsidR="00765C35">
        <w:t xml:space="preserve"> grown to be one of its</w:t>
      </w:r>
      <w:r w:rsidR="00EF1875">
        <w:t xml:space="preserve"> most</w:t>
      </w:r>
      <w:r w:rsidR="00765C35">
        <w:t xml:space="preserve"> significant units</w:t>
      </w:r>
      <w:r w:rsidR="00817EC9">
        <w:t>.</w:t>
      </w:r>
      <w:r w:rsidR="00765C35">
        <w:t xml:space="preserve"> </w:t>
      </w:r>
      <w:r w:rsidR="00C75AF9">
        <w:t>This subsidiary was developed by Samsung</w:t>
      </w:r>
      <w:r w:rsidR="00C95B17">
        <w:t xml:space="preserve"> as it </w:t>
      </w:r>
      <w:r w:rsidR="00765C35">
        <w:t xml:space="preserve">aimed to </w:t>
      </w:r>
      <w:r w:rsidR="00817EC9">
        <w:t>enter into the electronics market,</w:t>
      </w:r>
      <w:r w:rsidR="00765C35">
        <w:t xml:space="preserve"> and </w:t>
      </w:r>
      <w:r w:rsidR="00066F45">
        <w:t>their</w:t>
      </w:r>
      <w:r w:rsidR="00765C35">
        <w:t xml:space="preserve"> initiative</w:t>
      </w:r>
      <w:r w:rsidR="00066F45">
        <w:t xml:space="preserve"> proved to be successful</w:t>
      </w:r>
      <w:r w:rsidR="00765C35">
        <w:t xml:space="preserve"> since it has </w:t>
      </w:r>
      <w:r w:rsidR="00EF1875">
        <w:t>become</w:t>
      </w:r>
      <w:r w:rsidR="00765C35">
        <w:t xml:space="preserve"> one of the market’s powerful leaders</w:t>
      </w:r>
      <w:r w:rsidR="00EF1875">
        <w:t xml:space="preserve"> today</w:t>
      </w:r>
      <w:r w:rsidR="00765C35">
        <w:t xml:space="preserve"> </w:t>
      </w:r>
      <w:sdt>
        <w:sdtPr>
          <w:id w:val="1534998644"/>
          <w:citation/>
        </w:sdtPr>
        <w:sdtEndPr/>
        <w:sdtContent>
          <w:r w:rsidR="004C1F49">
            <w:fldChar w:fldCharType="begin"/>
          </w:r>
          <w:r w:rsidR="004C1F49">
            <w:instrText xml:space="preserve"> CITATION Mat20 \l 1033 </w:instrText>
          </w:r>
          <w:r w:rsidR="004C1F49">
            <w:fldChar w:fldCharType="separate"/>
          </w:r>
          <w:r w:rsidR="00D55B0E">
            <w:rPr>
              <w:noProof/>
            </w:rPr>
            <w:t>(Burris, 2020)</w:t>
          </w:r>
          <w:r w:rsidR="004C1F49">
            <w:fldChar w:fldCharType="end"/>
          </w:r>
        </w:sdtContent>
      </w:sdt>
      <w:r w:rsidR="00817EC9">
        <w:t xml:space="preserve">. </w:t>
      </w:r>
      <w:r w:rsidR="00C95B17">
        <w:t>C</w:t>
      </w:r>
      <w:r w:rsidR="00066F45">
        <w:t>urrently,</w:t>
      </w:r>
      <w:r w:rsidR="00817EC9">
        <w:t xml:space="preserve"> </w:t>
      </w:r>
      <w:r w:rsidR="00C75AF9">
        <w:t>SEC</w:t>
      </w:r>
      <w:r w:rsidR="00066F45">
        <w:t xml:space="preserve"> has </w:t>
      </w:r>
      <w:r w:rsidR="00817EC9">
        <w:t>four divisions</w:t>
      </w:r>
      <w:r w:rsidR="002B6DFC">
        <w:t xml:space="preserve">, </w:t>
      </w:r>
      <w:r w:rsidR="00817EC9">
        <w:t>which are: Consumer Electronics</w:t>
      </w:r>
      <w:r w:rsidR="00765C35">
        <w:t xml:space="preserve"> (CE)</w:t>
      </w:r>
      <w:r w:rsidR="00817EC9">
        <w:t xml:space="preserve">, </w:t>
      </w:r>
      <w:r w:rsidR="004C1F49">
        <w:t>Information Technology and Mobile Communications</w:t>
      </w:r>
      <w:r w:rsidR="00765C35">
        <w:t xml:space="preserve"> (IM)</w:t>
      </w:r>
      <w:r w:rsidR="004C1F49">
        <w:t>, Device Solutions</w:t>
      </w:r>
      <w:r w:rsidR="00765C35">
        <w:t xml:space="preserve"> (DS)</w:t>
      </w:r>
      <w:r w:rsidR="00AB5D39">
        <w:t>,</w:t>
      </w:r>
      <w:r w:rsidR="004C1F49">
        <w:t xml:space="preserve"> and Harman.</w:t>
      </w:r>
      <w:r w:rsidR="00765C35">
        <w:t xml:space="preserve"> Based on research findings,</w:t>
      </w:r>
      <w:r w:rsidR="002B6DFC">
        <w:t xml:space="preserve"> they are</w:t>
      </w:r>
      <w:r w:rsidR="00765C35">
        <w:t xml:space="preserve"> </w:t>
      </w:r>
      <w:r w:rsidR="00FF43CC">
        <w:t>most</w:t>
      </w:r>
      <w:r w:rsidR="00765C35">
        <w:t xml:space="preserve"> successful in the CE and IM divisions, as their highly demanded products are televisions and smartphones. </w:t>
      </w:r>
      <w:r w:rsidR="00066F45">
        <w:t xml:space="preserve">However, there has been a decline in </w:t>
      </w:r>
      <w:r w:rsidR="007D43AA">
        <w:t>their</w:t>
      </w:r>
      <w:r w:rsidR="00066F45">
        <w:t xml:space="preserve"> profits during</w:t>
      </w:r>
      <w:r w:rsidR="004C1F49">
        <w:t xml:space="preserve"> 2019</w:t>
      </w:r>
      <w:r w:rsidR="00EF1875">
        <w:t>, as</w:t>
      </w:r>
      <w:r w:rsidR="004C1F49">
        <w:t xml:space="preserve"> </w:t>
      </w:r>
      <w:r w:rsidR="00EF1875">
        <w:t>a</w:t>
      </w:r>
      <w:r w:rsidR="00066F45">
        <w:t xml:space="preserve"> significant drop in </w:t>
      </w:r>
      <w:r w:rsidR="004C1F49">
        <w:t>sales</w:t>
      </w:r>
      <w:r w:rsidR="00AB5D39">
        <w:t xml:space="preserve"> from the DS division</w:t>
      </w:r>
      <w:r w:rsidR="00066F45">
        <w:t xml:space="preserve"> </w:t>
      </w:r>
      <w:r w:rsidR="00AB5D39">
        <w:t>had been reported</w:t>
      </w:r>
      <w:r w:rsidR="00EF1875">
        <w:t xml:space="preserve">. It is assumed that </w:t>
      </w:r>
      <w:r w:rsidR="00320528">
        <w:t xml:space="preserve">there has been a fall in demand </w:t>
      </w:r>
      <w:r w:rsidR="00265C28">
        <w:t>for one of the products in this division</w:t>
      </w:r>
      <w:r w:rsidR="00320528">
        <w:t xml:space="preserve">, </w:t>
      </w:r>
      <w:r w:rsidR="00265C28">
        <w:t xml:space="preserve">which are reported to be the </w:t>
      </w:r>
      <w:r w:rsidR="00320528">
        <w:t xml:space="preserve">semi-conductors, </w:t>
      </w:r>
      <w:r w:rsidR="00EF1875">
        <w:t>due to</w:t>
      </w:r>
      <w:r w:rsidR="00320528">
        <w:t xml:space="preserve"> </w:t>
      </w:r>
      <w:r w:rsidR="00AB5D39">
        <w:t>economic changes and fierce competition.</w:t>
      </w:r>
      <w:r w:rsidR="004C1F49">
        <w:t xml:space="preserve"> </w:t>
      </w:r>
      <w:r w:rsidR="00EF1875">
        <w:t xml:space="preserve">The current economic environment is suggested to be influenced by the </w:t>
      </w:r>
      <w:r w:rsidR="004C1F49">
        <w:t xml:space="preserve">implications of the trade war between </w:t>
      </w:r>
      <w:r w:rsidR="00AB5D39">
        <w:t xml:space="preserve">the </w:t>
      </w:r>
      <w:r w:rsidR="004C1F49">
        <w:t>US and China</w:t>
      </w:r>
      <w:r w:rsidR="00C95B17">
        <w:t xml:space="preserve">, </w:t>
      </w:r>
      <w:r w:rsidR="00EF1875">
        <w:t>which had severely affected Samsung</w:t>
      </w:r>
      <w:r w:rsidR="00AB5D39">
        <w:t xml:space="preserve">, and </w:t>
      </w:r>
      <w:r w:rsidR="004C1F49">
        <w:t>with the ongoing pandemic</w:t>
      </w:r>
      <w:r w:rsidR="00AB5D39">
        <w:t xml:space="preserve"> of COVID-19</w:t>
      </w:r>
      <w:r w:rsidR="004C1F49">
        <w:t xml:space="preserve">, </w:t>
      </w:r>
      <w:r w:rsidR="00EF1875">
        <w:t>more risk factors are to be added in the current economic challenges that the company is facing</w:t>
      </w:r>
      <w:r w:rsidR="00D75AAC">
        <w:t xml:space="preserve"> </w:t>
      </w:r>
      <w:sdt>
        <w:sdtPr>
          <w:id w:val="1591652120"/>
          <w:citation/>
        </w:sdtPr>
        <w:sdtEndPr/>
        <w:sdtContent>
          <w:r w:rsidR="00FD004D">
            <w:fldChar w:fldCharType="begin"/>
          </w:r>
          <w:r w:rsidR="00FD004D">
            <w:instrText xml:space="preserve">CITATION SAM \l 1033 </w:instrText>
          </w:r>
          <w:r w:rsidR="00FD004D">
            <w:fldChar w:fldCharType="separate"/>
          </w:r>
          <w:r w:rsidR="00D55B0E">
            <w:rPr>
              <w:noProof/>
            </w:rPr>
            <w:t>(SAMSUNG, 2019)</w:t>
          </w:r>
          <w:r w:rsidR="00FD004D">
            <w:fldChar w:fldCharType="end"/>
          </w:r>
        </w:sdtContent>
      </w:sdt>
      <w:r w:rsidR="001747EE">
        <w:t>.</w:t>
      </w:r>
    </w:p>
    <w:p w14:paraId="25EE1DDA" w14:textId="2F433232" w:rsidR="004A3BF5" w:rsidRDefault="00EF1875" w:rsidP="00413A42">
      <w:pPr>
        <w:spacing w:line="480" w:lineRule="auto"/>
        <w:jc w:val="both"/>
      </w:pPr>
      <w:r>
        <w:t xml:space="preserve">      </w:t>
      </w:r>
      <w:r w:rsidR="00220C81">
        <w:t xml:space="preserve"> </w:t>
      </w:r>
      <w:r w:rsidR="00C95B17">
        <w:t xml:space="preserve">Considering the situation of Samsung, it is </w:t>
      </w:r>
      <w:r>
        <w:t>significant</w:t>
      </w:r>
      <w:r w:rsidR="00C95B17">
        <w:t xml:space="preserve"> to study their current financial position to understand if </w:t>
      </w:r>
      <w:r w:rsidR="002B6DFC">
        <w:t>the</w:t>
      </w:r>
      <w:r w:rsidR="009B4824">
        <w:t>y can</w:t>
      </w:r>
      <w:r w:rsidR="002F0056">
        <w:t xml:space="preserve"> be</w:t>
      </w:r>
      <w:r w:rsidR="002B6DFC">
        <w:t xml:space="preserve"> recommended for investors </w:t>
      </w:r>
      <w:r w:rsidR="009B4824">
        <w:t>to invest</w:t>
      </w:r>
      <w:r w:rsidR="00413A42">
        <w:t xml:space="preserve"> in</w:t>
      </w:r>
      <w:r w:rsidR="00C95B17">
        <w:t xml:space="preserve"> </w:t>
      </w:r>
      <w:r w:rsidR="002F0056">
        <w:t>since</w:t>
      </w:r>
      <w:r w:rsidR="00C95B17">
        <w:t xml:space="preserve"> it appears that they are facing several challenges.</w:t>
      </w:r>
      <w:r w:rsidR="002F0056">
        <w:t xml:space="preserve"> </w:t>
      </w:r>
      <w:r w:rsidR="006A420C">
        <w:t xml:space="preserve">Moreover, this assessment can aid effective managerial decisions that should be made by </w:t>
      </w:r>
      <w:r w:rsidR="00FF43CC">
        <w:t xml:space="preserve">the </w:t>
      </w:r>
      <w:r w:rsidR="006A420C">
        <w:t xml:space="preserve">SEC to ensure </w:t>
      </w:r>
      <w:r w:rsidR="00837164">
        <w:t>their</w:t>
      </w:r>
      <w:r w:rsidR="006A420C">
        <w:t xml:space="preserve"> survival in this thriving market. </w:t>
      </w:r>
      <w:r w:rsidR="002F0056">
        <w:t>With this intention,</w:t>
      </w:r>
      <w:r w:rsidR="00413A42">
        <w:t xml:space="preserve"> the goal of this paper</w:t>
      </w:r>
      <w:r w:rsidR="00837164">
        <w:t xml:space="preserve"> is</w:t>
      </w:r>
      <w:r w:rsidR="00413A42">
        <w:t xml:space="preserve"> to assess the financial health of the company through the use of ratio analysis, and based on the results, recommendations can be made whether investors are encouraged to invest or not, and managerial decisions can be effectively made through what the outcomes depict SEC’s </w:t>
      </w:r>
      <w:r w:rsidR="00837164">
        <w:t xml:space="preserve">current </w:t>
      </w:r>
      <w:r w:rsidR="00413A42">
        <w:t>financial state</w:t>
      </w:r>
      <w:r w:rsidR="00FF43CC">
        <w:t xml:space="preserve"> is.</w:t>
      </w:r>
    </w:p>
    <w:p w14:paraId="763B6137" w14:textId="79729257" w:rsidR="00F81190" w:rsidRDefault="004A3BF5" w:rsidP="008F72E8">
      <w:pPr>
        <w:spacing w:line="480" w:lineRule="auto"/>
        <w:jc w:val="both"/>
      </w:pPr>
      <w:r>
        <w:t xml:space="preserve">       </w:t>
      </w:r>
      <w:r w:rsidR="001F198F">
        <w:t>Financial</w:t>
      </w:r>
      <w:r w:rsidR="00220C81">
        <w:t xml:space="preserve"> statements</w:t>
      </w:r>
      <w:r w:rsidR="00AB5D39">
        <w:t xml:space="preserve"> </w:t>
      </w:r>
      <w:r w:rsidR="00411A6A">
        <w:t xml:space="preserve">are designed to aid the </w:t>
      </w:r>
      <w:r w:rsidR="00FF43CC">
        <w:t>decision-making</w:t>
      </w:r>
      <w:r w:rsidR="00411A6A">
        <w:t xml:space="preserve"> of investors, creditors and other stakeholders </w:t>
      </w:r>
      <w:r w:rsidR="00413A42">
        <w:t>as it supplements their</w:t>
      </w:r>
      <w:r w:rsidR="00411A6A">
        <w:t xml:space="preserve"> understand</w:t>
      </w:r>
      <w:r w:rsidR="00413A42">
        <w:t>ing of</w:t>
      </w:r>
      <w:r w:rsidR="00411A6A">
        <w:t xml:space="preserve"> the business with the use of</w:t>
      </w:r>
      <w:r w:rsidR="00413A42">
        <w:t xml:space="preserve"> its</w:t>
      </w:r>
      <w:r w:rsidR="00411A6A">
        <w:t xml:space="preserve"> historical data, and this can help in creating predictions of any company’s cash flow and profitability</w:t>
      </w:r>
      <w:r w:rsidR="00320528">
        <w:t>. A company’s financial</w:t>
      </w:r>
      <w:r w:rsidR="00220C81">
        <w:t xml:space="preserve"> performance</w:t>
      </w:r>
      <w:r w:rsidR="00320528">
        <w:t xml:space="preserve"> can be assessed</w:t>
      </w:r>
      <w:r w:rsidR="00220C81">
        <w:t xml:space="preserve"> </w:t>
      </w:r>
      <w:r w:rsidR="001F198F">
        <w:t>through the</w:t>
      </w:r>
      <w:r w:rsidR="00220C81">
        <w:t xml:space="preserve"> evaluat</w:t>
      </w:r>
      <w:r w:rsidR="001F198F">
        <w:t>ion of</w:t>
      </w:r>
      <w:r w:rsidR="00220C81">
        <w:t xml:space="preserve"> the company’s liquidity, profitability, efficiency</w:t>
      </w:r>
      <w:r w:rsidR="00AB5D39">
        <w:t>,</w:t>
      </w:r>
      <w:r w:rsidR="00220C81">
        <w:t xml:space="preserve"> and structure of its capital </w:t>
      </w:r>
      <w:sdt>
        <w:sdtPr>
          <w:id w:val="571475064"/>
          <w:citation/>
        </w:sdtPr>
        <w:sdtEndPr/>
        <w:sdtContent>
          <w:r w:rsidR="00220C81">
            <w:fldChar w:fldCharType="begin"/>
          </w:r>
          <w:r w:rsidR="00220C81">
            <w:instrText xml:space="preserve"> CITATION RDa06 \l 1033 </w:instrText>
          </w:r>
          <w:r w:rsidR="00220C81">
            <w:fldChar w:fldCharType="separate"/>
          </w:r>
          <w:r w:rsidR="00D55B0E">
            <w:rPr>
              <w:noProof/>
            </w:rPr>
            <w:t>(Mautz, Jr., &amp; Angell, 2006)</w:t>
          </w:r>
          <w:r w:rsidR="00220C81">
            <w:fldChar w:fldCharType="end"/>
          </w:r>
        </w:sdtContent>
      </w:sdt>
      <w:r w:rsidR="00220C81">
        <w:t xml:space="preserve">. </w:t>
      </w:r>
      <w:r w:rsidR="00F81190">
        <w:t xml:space="preserve">To consider a company to be </w:t>
      </w:r>
      <w:r w:rsidR="0016629A">
        <w:t xml:space="preserve">financially stable, </w:t>
      </w:r>
      <w:r w:rsidR="00D75AAC">
        <w:t>they would have good liquidity, profitability</w:t>
      </w:r>
      <w:r w:rsidR="00FF43CC">
        <w:t>,</w:t>
      </w:r>
      <w:r w:rsidR="00D75AAC">
        <w:t xml:space="preserve"> and structure of capital</w:t>
      </w:r>
      <w:r w:rsidR="00320528">
        <w:t xml:space="preserve">, </w:t>
      </w:r>
      <w:r w:rsidR="00F81190">
        <w:t xml:space="preserve">and these can be assessed with the </w:t>
      </w:r>
      <w:r w:rsidR="00D75AAC">
        <w:t>use of ratio analysis</w:t>
      </w:r>
      <w:r w:rsidR="006A420C">
        <w:t xml:space="preserve"> on the</w:t>
      </w:r>
      <w:r w:rsidR="008F72E8">
        <w:t>ir</w:t>
      </w:r>
      <w:r w:rsidR="004A031D">
        <w:t xml:space="preserve"> </w:t>
      </w:r>
      <w:r w:rsidR="006A420C">
        <w:t>Income Statement</w:t>
      </w:r>
      <w:r w:rsidR="008F72E8">
        <w:t>s</w:t>
      </w:r>
      <w:r w:rsidR="006A420C">
        <w:t xml:space="preserve"> and </w:t>
      </w:r>
      <w:r w:rsidR="004A031D">
        <w:t>Balance</w:t>
      </w:r>
      <w:r w:rsidR="006A420C">
        <w:t xml:space="preserve"> Sheet</w:t>
      </w:r>
      <w:r w:rsidR="008F72E8">
        <w:t>s</w:t>
      </w:r>
      <w:r w:rsidR="00D75AAC">
        <w:t>.</w:t>
      </w:r>
      <w:r w:rsidR="004A031D">
        <w:t xml:space="preserve"> For example, most investors</w:t>
      </w:r>
      <w:r w:rsidR="00F81190">
        <w:t xml:space="preserve"> </w:t>
      </w:r>
      <w:r w:rsidR="004A031D">
        <w:t>perform</w:t>
      </w:r>
      <w:r w:rsidR="00F81190">
        <w:t xml:space="preserve"> financial analysis to make decisions </w:t>
      </w:r>
      <w:r w:rsidR="00FF43CC">
        <w:t>based on</w:t>
      </w:r>
      <w:r w:rsidR="00F81190">
        <w:t xml:space="preserve"> whether a company’s liquidity state is good enough to invest in</w:t>
      </w:r>
      <w:r w:rsidR="00837164">
        <w:t xml:space="preserve"> since </w:t>
      </w:r>
      <w:r w:rsidR="00F81190">
        <w:t xml:space="preserve">it is identified that those who have good </w:t>
      </w:r>
      <w:r w:rsidR="008F72E8">
        <w:t>liquidity is normally linked to</w:t>
      </w:r>
      <w:r w:rsidR="00FF43CC">
        <w:t xml:space="preserve"> bringing business to have</w:t>
      </w:r>
      <w:r w:rsidR="008F72E8">
        <w:t xml:space="preserve"> good profitability, </w:t>
      </w:r>
      <w:r w:rsidR="00FF43CC">
        <w:t>which is the</w:t>
      </w:r>
      <w:r w:rsidR="008F72E8">
        <w:t xml:space="preserve"> desired factor for investors to see in a business</w:t>
      </w:r>
      <w:r w:rsidR="00FF43CC">
        <w:t xml:space="preserve"> </w:t>
      </w:r>
      <w:sdt>
        <w:sdtPr>
          <w:id w:val="-2007512277"/>
          <w:citation/>
        </w:sdtPr>
        <w:sdtEndPr/>
        <w:sdtContent>
          <w:r w:rsidR="00F81190">
            <w:fldChar w:fldCharType="begin"/>
          </w:r>
          <w:r w:rsidR="00F81190">
            <w:instrText xml:space="preserve"> CITATION Chn18 \l 1033 </w:instrText>
          </w:r>
          <w:r w:rsidR="00F81190">
            <w:fldChar w:fldCharType="separate"/>
          </w:r>
          <w:r w:rsidR="00D55B0E">
            <w:rPr>
              <w:noProof/>
            </w:rPr>
            <w:t>(Rashid, 2018)</w:t>
          </w:r>
          <w:r w:rsidR="00F81190">
            <w:fldChar w:fldCharType="end"/>
          </w:r>
        </w:sdtContent>
      </w:sdt>
      <w:r w:rsidR="00F81190">
        <w:t xml:space="preserve">. </w:t>
      </w:r>
    </w:p>
    <w:p w14:paraId="3411321A" w14:textId="429FD6DF" w:rsidR="00AE7097" w:rsidRDefault="00F81190" w:rsidP="00E67D77">
      <w:pPr>
        <w:spacing w:line="480" w:lineRule="auto"/>
        <w:jc w:val="both"/>
      </w:pPr>
      <w:r>
        <w:t xml:space="preserve">      Moreover, </w:t>
      </w:r>
      <w:r w:rsidR="004A031D">
        <w:t xml:space="preserve">ratio analysis is </w:t>
      </w:r>
      <w:r>
        <w:t xml:space="preserve">also a useful tool for companies to use </w:t>
      </w:r>
      <w:r w:rsidR="00837164">
        <w:t>in p</w:t>
      </w:r>
      <w:r w:rsidR="00D75AAC">
        <w:t>redict</w:t>
      </w:r>
      <w:r w:rsidR="00837164">
        <w:t>ing</w:t>
      </w:r>
      <w:r w:rsidR="007D43AA">
        <w:t xml:space="preserve"> their</w:t>
      </w:r>
      <w:r w:rsidR="0016629A">
        <w:t xml:space="preserve"> </w:t>
      </w:r>
      <w:r w:rsidR="00837164">
        <w:t xml:space="preserve">future </w:t>
      </w:r>
      <w:r w:rsidR="0016629A">
        <w:t>financial performance</w:t>
      </w:r>
      <w:r w:rsidR="00837164">
        <w:t xml:space="preserve"> </w:t>
      </w:r>
      <w:r w:rsidR="00265C28">
        <w:t>where</w:t>
      </w:r>
      <w:r w:rsidR="00837164">
        <w:t xml:space="preserve"> </w:t>
      </w:r>
      <w:r w:rsidR="0016629A">
        <w:t xml:space="preserve">effective decisions </w:t>
      </w:r>
      <w:r w:rsidR="00265C28">
        <w:t>can</w:t>
      </w:r>
      <w:r w:rsidR="00D75AAC">
        <w:t xml:space="preserve"> </w:t>
      </w:r>
      <w:r w:rsidR="0016629A">
        <w:t xml:space="preserve">be made to assure that the objectives of the business will </w:t>
      </w:r>
      <w:r w:rsidR="008F72E8">
        <w:t xml:space="preserve">still </w:t>
      </w:r>
      <w:r w:rsidR="0016629A">
        <w:t>be met</w:t>
      </w:r>
      <w:r w:rsidR="008F72E8">
        <w:t>,</w:t>
      </w:r>
      <w:r w:rsidR="00265C28">
        <w:t xml:space="preserve"> and overall ensures the stability of the business </w:t>
      </w:r>
      <w:sdt>
        <w:sdtPr>
          <w:id w:val="-2011513520"/>
          <w:citation/>
        </w:sdtPr>
        <w:sdtEndPr/>
        <w:sdtContent>
          <w:r w:rsidR="0016629A">
            <w:fldChar w:fldCharType="begin"/>
          </w:r>
          <w:r w:rsidR="0016629A">
            <w:instrText xml:space="preserve"> CITATION Ren17 \l 1033 </w:instrText>
          </w:r>
          <w:r w:rsidR="0016629A">
            <w:fldChar w:fldCharType="separate"/>
          </w:r>
          <w:r w:rsidR="00D55B0E">
            <w:rPr>
              <w:noProof/>
            </w:rPr>
            <w:t>(Myšková &amp; Hájek, 2017)</w:t>
          </w:r>
          <w:r w:rsidR="0016629A">
            <w:fldChar w:fldCharType="end"/>
          </w:r>
        </w:sdtContent>
      </w:sdt>
      <w:r>
        <w:t xml:space="preserve">. </w:t>
      </w:r>
      <w:r w:rsidR="00265C28">
        <w:t>SEC can find this helpful as the assessments of their current situation and predictions of their future performances can improve their financial management</w:t>
      </w:r>
      <w:r w:rsidR="004A3BF5">
        <w:t xml:space="preserve">. </w:t>
      </w:r>
      <w:r w:rsidR="00FF43CC">
        <w:t>Effective</w:t>
      </w:r>
      <w:r w:rsidR="00265C28">
        <w:t xml:space="preserve"> management of finance is </w:t>
      </w:r>
      <w:r w:rsidR="004A3BF5">
        <w:t>crucial</w:t>
      </w:r>
      <w:r w:rsidR="00265C28">
        <w:t>,</w:t>
      </w:r>
      <w:r w:rsidR="004A3BF5">
        <w:t xml:space="preserve"> as any potential corporate failure would be prevented </w:t>
      </w:r>
      <w:r w:rsidR="007D43AA">
        <w:t>if</w:t>
      </w:r>
      <w:r w:rsidR="004A3BF5">
        <w:t xml:space="preserve"> </w:t>
      </w:r>
      <w:r w:rsidR="00A433BC">
        <w:t>effective</w:t>
      </w:r>
      <w:r w:rsidR="004A3BF5">
        <w:t xml:space="preserve"> strategies and financial management </w:t>
      </w:r>
      <w:r w:rsidR="00A433BC">
        <w:t>would be developed</w:t>
      </w:r>
      <w:r w:rsidR="00265C28">
        <w:t xml:space="preserve"> earlier</w:t>
      </w:r>
      <w:r w:rsidR="00A433BC">
        <w:t xml:space="preserve"> </w:t>
      </w:r>
      <w:r w:rsidR="004A3BF5">
        <w:t>to counter</w:t>
      </w:r>
      <w:r w:rsidR="00265C28">
        <w:t xml:space="preserve"> these</w:t>
      </w:r>
      <w:r w:rsidR="004A3BF5">
        <w:t xml:space="preserve"> </w:t>
      </w:r>
      <w:r w:rsidR="00A433BC">
        <w:t>failures from rising</w:t>
      </w:r>
      <w:r w:rsidR="004A3BF5">
        <w:t xml:space="preserve"> </w:t>
      </w:r>
      <w:sdt>
        <w:sdtPr>
          <w:id w:val="2040006493"/>
          <w:citation/>
        </w:sdtPr>
        <w:sdtEndPr/>
        <w:sdtContent>
          <w:r w:rsidR="004A3BF5">
            <w:fldChar w:fldCharType="begin"/>
          </w:r>
          <w:r w:rsidR="004A3BF5">
            <w:instrText xml:space="preserve"> CITATION Mar19 \l 1033 </w:instrText>
          </w:r>
          <w:r w:rsidR="004A3BF5">
            <w:fldChar w:fldCharType="separate"/>
          </w:r>
          <w:r w:rsidR="00D55B0E">
            <w:rPr>
              <w:noProof/>
            </w:rPr>
            <w:t>(Muhairi &amp; Nobanee, 2019)</w:t>
          </w:r>
          <w:r w:rsidR="004A3BF5">
            <w:fldChar w:fldCharType="end"/>
          </w:r>
        </w:sdtContent>
      </w:sdt>
      <w:r w:rsidR="004A3BF5">
        <w:t xml:space="preserve">. Therefore, effective financial management </w:t>
      </w:r>
      <w:r w:rsidR="00A433BC">
        <w:t>supplements</w:t>
      </w:r>
      <w:r w:rsidR="004A3BF5">
        <w:t xml:space="preserve"> the reduction </w:t>
      </w:r>
      <w:r w:rsidR="00FF43CC">
        <w:t>in</w:t>
      </w:r>
      <w:r w:rsidR="004A3BF5">
        <w:t xml:space="preserve"> risks </w:t>
      </w:r>
      <w:r w:rsidR="00FF43CC">
        <w:t>of</w:t>
      </w:r>
      <w:r w:rsidR="004A3BF5">
        <w:t xml:space="preserve"> failing </w:t>
      </w:r>
      <w:r w:rsidR="00A433BC">
        <w:t xml:space="preserve">to reach the </w:t>
      </w:r>
      <w:r w:rsidR="004A3BF5">
        <w:t>achieve</w:t>
      </w:r>
      <w:r w:rsidR="00A433BC">
        <w:t>ment of</w:t>
      </w:r>
      <w:r w:rsidR="004A3BF5">
        <w:t xml:space="preserve"> their objectives, </w:t>
      </w:r>
      <w:r w:rsidR="00A433BC">
        <w:t>and</w:t>
      </w:r>
      <w:r w:rsidR="004A3BF5">
        <w:t xml:space="preserve"> can ultimately promote more opportunities for both the growth of the business and its financial performance </w:t>
      </w:r>
      <w:sdt>
        <w:sdtPr>
          <w:id w:val="-897208460"/>
          <w:citation/>
        </w:sdtPr>
        <w:sdtEndPr/>
        <w:sdtContent>
          <w:r w:rsidR="004A3BF5">
            <w:fldChar w:fldCharType="begin"/>
          </w:r>
          <w:r w:rsidR="00066485">
            <w:instrText xml:space="preserve">CITATION AlR191 \l 1033 </w:instrText>
          </w:r>
          <w:r w:rsidR="004A3BF5">
            <w:fldChar w:fldCharType="separate"/>
          </w:r>
          <w:r w:rsidR="00066485">
            <w:rPr>
              <w:noProof/>
            </w:rPr>
            <w:t>(Al Ahbabi &amp; Nobanee, 2019)</w:t>
          </w:r>
          <w:r w:rsidR="004A3BF5">
            <w:fldChar w:fldCharType="end"/>
          </w:r>
        </w:sdtContent>
      </w:sdt>
      <w:r w:rsidR="004A3BF5">
        <w:t xml:space="preserve">. </w:t>
      </w:r>
      <w:r w:rsidR="00E67D77">
        <w:t xml:space="preserve"> </w:t>
      </w:r>
    </w:p>
    <w:p w14:paraId="3E6EE0C2" w14:textId="3CCA59AD" w:rsidR="00E67D77" w:rsidRDefault="00E67D77" w:rsidP="00E67D77">
      <w:pPr>
        <w:spacing w:line="480" w:lineRule="auto"/>
        <w:jc w:val="both"/>
      </w:pPr>
      <w:r>
        <w:t xml:space="preserve">    Overall, performing a ratio analysis of SEC </w:t>
      </w:r>
      <w:r w:rsidR="00FF43CC">
        <w:t>does</w:t>
      </w:r>
      <w:r>
        <w:t xml:space="preserve"> not only advise investors on their decision-making </w:t>
      </w:r>
      <w:r w:rsidR="00FF43CC">
        <w:t>on choosing whether to invest or not,</w:t>
      </w:r>
      <w:r>
        <w:t xml:space="preserve"> but it can also </w:t>
      </w:r>
      <w:r w:rsidR="00265C28">
        <w:t xml:space="preserve">improve </w:t>
      </w:r>
      <w:r w:rsidR="00FF43CC">
        <w:t>the company’s</w:t>
      </w:r>
      <w:r w:rsidR="00265C28">
        <w:t xml:space="preserve"> </w:t>
      </w:r>
      <w:r>
        <w:t xml:space="preserve">financial management through the consistent assessment of their financial performances that is determined by the analysis of their financial ratios, </w:t>
      </w:r>
      <w:r w:rsidR="00265C28">
        <w:t xml:space="preserve">which is currently substantial for the company </w:t>
      </w:r>
      <w:r>
        <w:t xml:space="preserve">since they are recently </w:t>
      </w:r>
      <w:r w:rsidR="00265C28">
        <w:t>operating</w:t>
      </w:r>
      <w:r>
        <w:t xml:space="preserve"> </w:t>
      </w:r>
      <w:r w:rsidR="00265C28">
        <w:t xml:space="preserve">under </w:t>
      </w:r>
      <w:r>
        <w:t>an unstable economic environment.</w:t>
      </w:r>
    </w:p>
    <w:p w14:paraId="06B1FBE5" w14:textId="77777777" w:rsidR="00AE7097" w:rsidRPr="007561FC" w:rsidRDefault="00AE7097" w:rsidP="00AE7097">
      <w:pPr>
        <w:spacing w:line="480" w:lineRule="auto"/>
        <w:jc w:val="both"/>
      </w:pPr>
    </w:p>
    <w:p w14:paraId="4D242895" w14:textId="04F3C8F4" w:rsidR="009D4450" w:rsidRPr="005938AD" w:rsidRDefault="007561FC" w:rsidP="00513C7F">
      <w:pPr>
        <w:spacing w:line="480" w:lineRule="auto"/>
        <w:jc w:val="both"/>
        <w:rPr>
          <w:b/>
          <w:bCs/>
          <w:color w:val="0C2188"/>
          <w:sz w:val="28"/>
          <w:szCs w:val="28"/>
        </w:rPr>
      </w:pPr>
      <w:r w:rsidRPr="005938AD">
        <w:rPr>
          <w:b/>
          <w:bCs/>
          <w:color w:val="0C2188"/>
          <w:sz w:val="28"/>
          <w:szCs w:val="28"/>
        </w:rPr>
        <w:t>Data and Methodology</w:t>
      </w:r>
    </w:p>
    <w:p w14:paraId="7731F65F" w14:textId="200611ED" w:rsidR="00E67D77" w:rsidRDefault="007561FC" w:rsidP="006A01EA">
      <w:pPr>
        <w:spacing w:line="480" w:lineRule="auto"/>
        <w:jc w:val="both"/>
      </w:pPr>
      <w:r>
        <w:t xml:space="preserve">Yahoo Finance was used to collect data from </w:t>
      </w:r>
      <w:r w:rsidR="00FF43CC">
        <w:t xml:space="preserve">the </w:t>
      </w:r>
      <w:r w:rsidR="008B2618">
        <w:t>SEC’s</w:t>
      </w:r>
      <w:r>
        <w:t xml:space="preserve"> Income Statement and Balance Sheet. Data were selected </w:t>
      </w:r>
      <w:r w:rsidR="00AE7097">
        <w:t>based on</w:t>
      </w:r>
      <w:r>
        <w:t xml:space="preserve"> </w:t>
      </w:r>
      <w:r w:rsidR="00AE7097">
        <w:t xml:space="preserve">the requirements needed for the calculations of </w:t>
      </w:r>
      <w:r>
        <w:t>liquidity, activity, debt</w:t>
      </w:r>
      <w:r w:rsidR="00FF43CC">
        <w:t>,</w:t>
      </w:r>
      <w:r>
        <w:t xml:space="preserve"> and profitability</w:t>
      </w:r>
      <w:r w:rsidR="00FF43CC">
        <w:t xml:space="preserve"> ratios</w:t>
      </w:r>
      <w:r>
        <w:t>. The values entered are from the years 2016 to 2019</w:t>
      </w:r>
      <w:r w:rsidR="006A01EA">
        <w:t xml:space="preserve"> and is in the </w:t>
      </w:r>
      <w:r>
        <w:t xml:space="preserve">currency of Korean Won (KRW). </w:t>
      </w:r>
    </w:p>
    <w:p w14:paraId="006D1315" w14:textId="63F2DDC0" w:rsidR="00732F9E" w:rsidRPr="005938AD" w:rsidRDefault="00732F9E" w:rsidP="00513C7F">
      <w:pPr>
        <w:spacing w:line="480" w:lineRule="auto"/>
        <w:jc w:val="both"/>
        <w:rPr>
          <w:b/>
          <w:bCs/>
          <w:color w:val="0C2188"/>
        </w:rPr>
      </w:pPr>
      <w:r w:rsidRPr="005938AD">
        <w:rPr>
          <w:b/>
          <w:bCs/>
          <w:color w:val="0C2188"/>
        </w:rPr>
        <w:t>Table 1: Financial Data (</w:t>
      </w:r>
      <w:r w:rsidR="008B2618" w:rsidRPr="005938AD">
        <w:rPr>
          <w:b/>
          <w:bCs/>
          <w:color w:val="0C2188"/>
        </w:rPr>
        <w:t>SEC</w:t>
      </w:r>
      <w:r w:rsidR="0071786D" w:rsidRPr="005938AD">
        <w:rPr>
          <w:b/>
          <w:bCs/>
          <w:color w:val="0C2188"/>
        </w:rPr>
        <w:t>)</w:t>
      </w:r>
    </w:p>
    <w:tbl>
      <w:tblPr>
        <w:tblStyle w:val="GridTable4-Accent1"/>
        <w:tblW w:w="9634" w:type="dxa"/>
        <w:tblLayout w:type="fixed"/>
        <w:tblLook w:val="04A0" w:firstRow="1" w:lastRow="0" w:firstColumn="1" w:lastColumn="0" w:noHBand="0" w:noVBand="1"/>
      </w:tblPr>
      <w:tblGrid>
        <w:gridCol w:w="2263"/>
        <w:gridCol w:w="1843"/>
        <w:gridCol w:w="1843"/>
        <w:gridCol w:w="1843"/>
        <w:gridCol w:w="1842"/>
      </w:tblGrid>
      <w:tr w:rsidR="005C5381" w:rsidRPr="002279EF" w14:paraId="307A9015" w14:textId="77777777" w:rsidTr="005C5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7381B769" w14:textId="77777777" w:rsidR="00732F9E" w:rsidRPr="002279EF" w:rsidRDefault="00732F9E" w:rsidP="00513C7F">
            <w:pPr>
              <w:spacing w:line="480" w:lineRule="auto"/>
              <w:jc w:val="both"/>
            </w:pPr>
            <w:r w:rsidRPr="002279EF">
              <w:t>Item/Year</w:t>
            </w:r>
          </w:p>
        </w:tc>
        <w:tc>
          <w:tcPr>
            <w:tcW w:w="1843" w:type="dxa"/>
            <w:shd w:val="clear" w:color="auto" w:fill="0C2188"/>
          </w:tcPr>
          <w:p w14:paraId="52662C7C" w14:textId="77777777" w:rsidR="00732F9E" w:rsidRPr="002279EF" w:rsidRDefault="00732F9E" w:rsidP="00513C7F">
            <w:pPr>
              <w:spacing w:line="480" w:lineRule="auto"/>
              <w:jc w:val="both"/>
              <w:cnfStyle w:val="100000000000" w:firstRow="1" w:lastRow="0" w:firstColumn="0" w:lastColumn="0" w:oddVBand="0" w:evenVBand="0" w:oddHBand="0" w:evenHBand="0" w:firstRowFirstColumn="0" w:firstRowLastColumn="0" w:lastRowFirstColumn="0" w:lastRowLastColumn="0"/>
            </w:pPr>
            <w:r w:rsidRPr="002279EF">
              <w:t>2019</w:t>
            </w:r>
          </w:p>
        </w:tc>
        <w:tc>
          <w:tcPr>
            <w:tcW w:w="1843" w:type="dxa"/>
            <w:shd w:val="clear" w:color="auto" w:fill="0C2188"/>
          </w:tcPr>
          <w:p w14:paraId="34C5614C" w14:textId="77777777" w:rsidR="00732F9E" w:rsidRPr="002279EF" w:rsidRDefault="00732F9E" w:rsidP="00513C7F">
            <w:pPr>
              <w:spacing w:line="480" w:lineRule="auto"/>
              <w:jc w:val="both"/>
              <w:cnfStyle w:val="100000000000" w:firstRow="1" w:lastRow="0" w:firstColumn="0" w:lastColumn="0" w:oddVBand="0" w:evenVBand="0" w:oddHBand="0" w:evenHBand="0" w:firstRowFirstColumn="0" w:firstRowLastColumn="0" w:lastRowFirstColumn="0" w:lastRowLastColumn="0"/>
            </w:pPr>
            <w:r w:rsidRPr="002279EF">
              <w:t>2018</w:t>
            </w:r>
          </w:p>
        </w:tc>
        <w:tc>
          <w:tcPr>
            <w:tcW w:w="1843" w:type="dxa"/>
            <w:shd w:val="clear" w:color="auto" w:fill="0C2188"/>
          </w:tcPr>
          <w:p w14:paraId="133268B2" w14:textId="77777777" w:rsidR="00732F9E" w:rsidRPr="002279EF" w:rsidRDefault="00732F9E" w:rsidP="00513C7F">
            <w:pPr>
              <w:spacing w:line="480" w:lineRule="auto"/>
              <w:jc w:val="both"/>
              <w:cnfStyle w:val="100000000000" w:firstRow="1" w:lastRow="0" w:firstColumn="0" w:lastColumn="0" w:oddVBand="0" w:evenVBand="0" w:oddHBand="0" w:evenHBand="0" w:firstRowFirstColumn="0" w:firstRowLastColumn="0" w:lastRowFirstColumn="0" w:lastRowLastColumn="0"/>
            </w:pPr>
            <w:r w:rsidRPr="002279EF">
              <w:t>2017</w:t>
            </w:r>
          </w:p>
        </w:tc>
        <w:tc>
          <w:tcPr>
            <w:tcW w:w="1842" w:type="dxa"/>
            <w:shd w:val="clear" w:color="auto" w:fill="0C2188"/>
          </w:tcPr>
          <w:p w14:paraId="0FE71E1A" w14:textId="77777777" w:rsidR="00732F9E" w:rsidRPr="002279EF" w:rsidRDefault="00732F9E" w:rsidP="00513C7F">
            <w:pPr>
              <w:spacing w:line="480" w:lineRule="auto"/>
              <w:jc w:val="both"/>
              <w:cnfStyle w:val="100000000000" w:firstRow="1" w:lastRow="0" w:firstColumn="0" w:lastColumn="0" w:oddVBand="0" w:evenVBand="0" w:oddHBand="0" w:evenHBand="0" w:firstRowFirstColumn="0" w:firstRowLastColumn="0" w:lastRowFirstColumn="0" w:lastRowLastColumn="0"/>
            </w:pPr>
            <w:r w:rsidRPr="002279EF">
              <w:t>2016</w:t>
            </w:r>
          </w:p>
        </w:tc>
      </w:tr>
      <w:tr w:rsidR="005938AD" w:rsidRPr="002279EF" w14:paraId="091510AB" w14:textId="77777777" w:rsidTr="00B91EF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68F637CA" w14:textId="77C9C16D" w:rsidR="00732F9E" w:rsidRPr="002279EF" w:rsidRDefault="0071786D" w:rsidP="00513C7F">
            <w:pPr>
              <w:spacing w:line="480" w:lineRule="auto"/>
              <w:jc w:val="both"/>
            </w:pPr>
            <w:r w:rsidRPr="002279EF">
              <w:t>Current Assets</w:t>
            </w:r>
          </w:p>
        </w:tc>
        <w:tc>
          <w:tcPr>
            <w:tcW w:w="1843" w:type="dxa"/>
          </w:tcPr>
          <w:p w14:paraId="48C72922" w14:textId="410A43B7" w:rsidR="0071786D" w:rsidRPr="002279EF" w:rsidRDefault="00807233"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181,385,260,000</w:t>
            </w:r>
          </w:p>
        </w:tc>
        <w:tc>
          <w:tcPr>
            <w:tcW w:w="1843" w:type="dxa"/>
          </w:tcPr>
          <w:p w14:paraId="1B81D4A5" w14:textId="63CDDA92"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174,697,424,000</w:t>
            </w:r>
          </w:p>
        </w:tc>
        <w:tc>
          <w:tcPr>
            <w:tcW w:w="1843" w:type="dxa"/>
          </w:tcPr>
          <w:p w14:paraId="5EC788DE" w14:textId="6B470AFD"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146,982,464,000</w:t>
            </w:r>
          </w:p>
        </w:tc>
        <w:tc>
          <w:tcPr>
            <w:tcW w:w="1842" w:type="dxa"/>
          </w:tcPr>
          <w:p w14:paraId="27DA9F11" w14:textId="52B63188"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141,429,704,000</w:t>
            </w:r>
          </w:p>
        </w:tc>
      </w:tr>
      <w:tr w:rsidR="00F139C0" w:rsidRPr="002279EF" w14:paraId="7DF3576F" w14:textId="77777777" w:rsidTr="00B91EF4">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082D1A29" w14:textId="77777777" w:rsidR="00732F9E" w:rsidRPr="002279EF" w:rsidRDefault="00732F9E" w:rsidP="00513C7F">
            <w:pPr>
              <w:spacing w:line="480" w:lineRule="auto"/>
              <w:jc w:val="both"/>
            </w:pPr>
            <w:r w:rsidRPr="002279EF">
              <w:t>Current Liabilities</w:t>
            </w:r>
          </w:p>
        </w:tc>
        <w:tc>
          <w:tcPr>
            <w:tcW w:w="1843" w:type="dxa"/>
          </w:tcPr>
          <w:p w14:paraId="4551468D" w14:textId="51111866"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63,782,764,00</w:t>
            </w:r>
            <w:r w:rsidR="0071786D" w:rsidRPr="002279EF">
              <w:t>0</w:t>
            </w:r>
          </w:p>
        </w:tc>
        <w:tc>
          <w:tcPr>
            <w:tcW w:w="1843" w:type="dxa"/>
          </w:tcPr>
          <w:p w14:paraId="5A0C56C7" w14:textId="17E1DC18"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69,081,510,000</w:t>
            </w:r>
          </w:p>
        </w:tc>
        <w:tc>
          <w:tcPr>
            <w:tcW w:w="1843" w:type="dxa"/>
          </w:tcPr>
          <w:p w14:paraId="2669FC0B" w14:textId="4EC552CB"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67,175,114,000</w:t>
            </w:r>
          </w:p>
        </w:tc>
        <w:tc>
          <w:tcPr>
            <w:tcW w:w="1842" w:type="dxa"/>
          </w:tcPr>
          <w:p w14:paraId="4AF6ED1D" w14:textId="030619EE"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54,704,095,000</w:t>
            </w:r>
          </w:p>
        </w:tc>
      </w:tr>
      <w:tr w:rsidR="005938AD" w:rsidRPr="002279EF" w14:paraId="40AD650F" w14:textId="77777777" w:rsidTr="00B91EF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7B6E3EB9" w14:textId="77777777" w:rsidR="00732F9E" w:rsidRPr="002279EF" w:rsidRDefault="00732F9E" w:rsidP="00513C7F">
            <w:pPr>
              <w:spacing w:line="480" w:lineRule="auto"/>
              <w:jc w:val="both"/>
            </w:pPr>
            <w:r w:rsidRPr="002279EF">
              <w:t>Inventories</w:t>
            </w:r>
          </w:p>
        </w:tc>
        <w:tc>
          <w:tcPr>
            <w:tcW w:w="1843" w:type="dxa"/>
          </w:tcPr>
          <w:p w14:paraId="4F6933B8" w14:textId="48778010"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26,766,464,000</w:t>
            </w:r>
          </w:p>
        </w:tc>
        <w:tc>
          <w:tcPr>
            <w:tcW w:w="1843" w:type="dxa"/>
          </w:tcPr>
          <w:p w14:paraId="11F20512" w14:textId="2B78B636"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28,984,704,000</w:t>
            </w:r>
          </w:p>
        </w:tc>
        <w:tc>
          <w:tcPr>
            <w:tcW w:w="1843" w:type="dxa"/>
          </w:tcPr>
          <w:p w14:paraId="0CB9343F" w14:textId="50F30BA2"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24,983,355,000</w:t>
            </w:r>
          </w:p>
        </w:tc>
        <w:tc>
          <w:tcPr>
            <w:tcW w:w="1842" w:type="dxa"/>
          </w:tcPr>
          <w:p w14:paraId="38160AE9" w14:textId="171233C6"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18,353,503,000</w:t>
            </w:r>
          </w:p>
        </w:tc>
      </w:tr>
      <w:tr w:rsidR="00F139C0" w:rsidRPr="002279EF" w14:paraId="4BE8876B" w14:textId="77777777" w:rsidTr="00B91EF4">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570AD72D" w14:textId="77777777" w:rsidR="00732F9E" w:rsidRPr="002279EF" w:rsidRDefault="00732F9E" w:rsidP="00513C7F">
            <w:pPr>
              <w:spacing w:line="480" w:lineRule="auto"/>
              <w:jc w:val="both"/>
            </w:pPr>
            <w:r w:rsidRPr="002279EF">
              <w:t>Cash</w:t>
            </w:r>
          </w:p>
        </w:tc>
        <w:tc>
          <w:tcPr>
            <w:tcW w:w="1843" w:type="dxa"/>
          </w:tcPr>
          <w:p w14:paraId="55EDB44F" w14:textId="68F17B9A"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108,779,703,000</w:t>
            </w:r>
          </w:p>
        </w:tc>
        <w:tc>
          <w:tcPr>
            <w:tcW w:w="1843" w:type="dxa"/>
          </w:tcPr>
          <w:p w14:paraId="1B2B282C" w14:textId="440FC1A8"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100,939,943,000</w:t>
            </w:r>
          </w:p>
        </w:tc>
        <w:tc>
          <w:tcPr>
            <w:tcW w:w="1843" w:type="dxa"/>
          </w:tcPr>
          <w:p w14:paraId="61B0E1EB" w14:textId="2B852153"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83,184,201,000</w:t>
            </w:r>
          </w:p>
        </w:tc>
        <w:tc>
          <w:tcPr>
            <w:tcW w:w="1842" w:type="dxa"/>
          </w:tcPr>
          <w:p w14:paraId="59D7EE94" w14:textId="45E049AE"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88,182,313,000</w:t>
            </w:r>
          </w:p>
        </w:tc>
      </w:tr>
      <w:tr w:rsidR="005938AD" w:rsidRPr="002279EF" w14:paraId="3CC0505C" w14:textId="77777777" w:rsidTr="00B9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32A0040A" w14:textId="77777777" w:rsidR="00732F9E" w:rsidRPr="002279EF" w:rsidRDefault="00732F9E" w:rsidP="00513C7F">
            <w:pPr>
              <w:spacing w:line="480" w:lineRule="auto"/>
              <w:jc w:val="both"/>
            </w:pPr>
            <w:r w:rsidRPr="002279EF">
              <w:t>Receivables</w:t>
            </w:r>
          </w:p>
        </w:tc>
        <w:tc>
          <w:tcPr>
            <w:tcW w:w="1843" w:type="dxa"/>
          </w:tcPr>
          <w:p w14:paraId="3FC7CA40" w14:textId="142777D3"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35,131,343,00</w:t>
            </w:r>
            <w:r w:rsidR="0071786D" w:rsidRPr="002279EF">
              <w:t>0</w:t>
            </w:r>
          </w:p>
        </w:tc>
        <w:tc>
          <w:tcPr>
            <w:tcW w:w="1843" w:type="dxa"/>
          </w:tcPr>
          <w:p w14:paraId="6EA6D230" w14:textId="181140D9"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33,867,733,000</w:t>
            </w:r>
          </w:p>
        </w:tc>
        <w:tc>
          <w:tcPr>
            <w:tcW w:w="1843" w:type="dxa"/>
          </w:tcPr>
          <w:p w14:paraId="10DA6C95" w14:textId="492CA721"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27,695,995,000</w:t>
            </w:r>
          </w:p>
        </w:tc>
        <w:tc>
          <w:tcPr>
            <w:tcW w:w="1842" w:type="dxa"/>
          </w:tcPr>
          <w:p w14:paraId="26844E65" w14:textId="51146FC9"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24,279,211,000</w:t>
            </w:r>
          </w:p>
        </w:tc>
      </w:tr>
      <w:tr w:rsidR="00F139C0" w:rsidRPr="002279EF" w14:paraId="2CF7D30D" w14:textId="77777777" w:rsidTr="00B91EF4">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38D7A0D4" w14:textId="77777777" w:rsidR="00732F9E" w:rsidRPr="002279EF" w:rsidRDefault="00732F9E" w:rsidP="00513C7F">
            <w:pPr>
              <w:spacing w:line="480" w:lineRule="auto"/>
              <w:jc w:val="both"/>
            </w:pPr>
            <w:r w:rsidRPr="002279EF">
              <w:t>Total Assets</w:t>
            </w:r>
          </w:p>
        </w:tc>
        <w:tc>
          <w:tcPr>
            <w:tcW w:w="1843" w:type="dxa"/>
          </w:tcPr>
          <w:p w14:paraId="4341C2D3" w14:textId="32971C41"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352,564,497,000</w:t>
            </w:r>
          </w:p>
        </w:tc>
        <w:tc>
          <w:tcPr>
            <w:tcW w:w="1843" w:type="dxa"/>
          </w:tcPr>
          <w:p w14:paraId="4CDC0260" w14:textId="6A23A807"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339,357,244,000</w:t>
            </w:r>
          </w:p>
        </w:tc>
        <w:tc>
          <w:tcPr>
            <w:tcW w:w="1843" w:type="dxa"/>
          </w:tcPr>
          <w:p w14:paraId="2F540208" w14:textId="74F1FA25"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301,752,090,000</w:t>
            </w:r>
          </w:p>
        </w:tc>
        <w:tc>
          <w:tcPr>
            <w:tcW w:w="1842" w:type="dxa"/>
          </w:tcPr>
          <w:p w14:paraId="44DEA8A0" w14:textId="2B1402BB"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262,174,324,000</w:t>
            </w:r>
          </w:p>
        </w:tc>
      </w:tr>
      <w:tr w:rsidR="005938AD" w:rsidRPr="002279EF" w14:paraId="576DE0FC" w14:textId="77777777" w:rsidTr="00B9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3A6853CB" w14:textId="77777777" w:rsidR="00732F9E" w:rsidRPr="002279EF" w:rsidRDefault="00732F9E" w:rsidP="00513C7F">
            <w:pPr>
              <w:spacing w:line="480" w:lineRule="auto"/>
              <w:jc w:val="both"/>
            </w:pPr>
            <w:r w:rsidRPr="002279EF">
              <w:t>Total Liabilities</w:t>
            </w:r>
          </w:p>
        </w:tc>
        <w:tc>
          <w:tcPr>
            <w:tcW w:w="1843" w:type="dxa"/>
          </w:tcPr>
          <w:p w14:paraId="4F6363D1" w14:textId="39B98339"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89,684,076,000</w:t>
            </w:r>
          </w:p>
        </w:tc>
        <w:tc>
          <w:tcPr>
            <w:tcW w:w="1843" w:type="dxa"/>
          </w:tcPr>
          <w:p w14:paraId="32F9374C" w14:textId="1CEBF089"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91,604,067,000</w:t>
            </w:r>
          </w:p>
        </w:tc>
        <w:tc>
          <w:tcPr>
            <w:tcW w:w="1843" w:type="dxa"/>
          </w:tcPr>
          <w:p w14:paraId="1DCB2771" w14:textId="22776E8B"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87,260,662,000</w:t>
            </w:r>
          </w:p>
        </w:tc>
        <w:tc>
          <w:tcPr>
            <w:tcW w:w="1842" w:type="dxa"/>
          </w:tcPr>
          <w:p w14:paraId="15B4E2CF" w14:textId="5AD89BDE"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69,211,291,000</w:t>
            </w:r>
          </w:p>
        </w:tc>
      </w:tr>
      <w:tr w:rsidR="00F139C0" w:rsidRPr="002279EF" w14:paraId="151588A5" w14:textId="77777777" w:rsidTr="00B91EF4">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2D5D0FD2" w14:textId="77777777" w:rsidR="00732F9E" w:rsidRPr="002279EF" w:rsidRDefault="00732F9E" w:rsidP="00513C7F">
            <w:pPr>
              <w:spacing w:line="480" w:lineRule="auto"/>
              <w:jc w:val="both"/>
            </w:pPr>
            <w:r w:rsidRPr="002279EF">
              <w:t>Total Equity</w:t>
            </w:r>
          </w:p>
        </w:tc>
        <w:tc>
          <w:tcPr>
            <w:tcW w:w="1843" w:type="dxa"/>
          </w:tcPr>
          <w:p w14:paraId="6634B0D2" w14:textId="42E07787"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254,915,472,000</w:t>
            </w:r>
          </w:p>
        </w:tc>
        <w:tc>
          <w:tcPr>
            <w:tcW w:w="1843" w:type="dxa"/>
          </w:tcPr>
          <w:p w14:paraId="0E7057B6" w14:textId="385654C1"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240,068,993,000</w:t>
            </w:r>
          </w:p>
        </w:tc>
        <w:tc>
          <w:tcPr>
            <w:tcW w:w="1843" w:type="dxa"/>
          </w:tcPr>
          <w:p w14:paraId="06E1986B" w14:textId="62FE3A5E"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207,213,416,000</w:t>
            </w:r>
          </w:p>
        </w:tc>
        <w:tc>
          <w:tcPr>
            <w:tcW w:w="1842" w:type="dxa"/>
          </w:tcPr>
          <w:p w14:paraId="17A0F64C" w14:textId="4E120236"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186,424,328,000</w:t>
            </w:r>
          </w:p>
        </w:tc>
      </w:tr>
      <w:tr w:rsidR="005938AD" w:rsidRPr="002279EF" w14:paraId="77824A26" w14:textId="77777777" w:rsidTr="00B9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7627DCE8" w14:textId="77777777" w:rsidR="00732F9E" w:rsidRPr="002279EF" w:rsidRDefault="00732F9E" w:rsidP="00513C7F">
            <w:pPr>
              <w:spacing w:line="480" w:lineRule="auto"/>
              <w:jc w:val="both"/>
            </w:pPr>
            <w:r w:rsidRPr="002279EF">
              <w:t>Sales</w:t>
            </w:r>
          </w:p>
        </w:tc>
        <w:tc>
          <w:tcPr>
            <w:tcW w:w="1843" w:type="dxa"/>
          </w:tcPr>
          <w:p w14:paraId="7252AE9C" w14:textId="23EBB832"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230,400,881,000</w:t>
            </w:r>
          </w:p>
        </w:tc>
        <w:tc>
          <w:tcPr>
            <w:tcW w:w="1843" w:type="dxa"/>
          </w:tcPr>
          <w:p w14:paraId="69017A19" w14:textId="25062331"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243,771,415,000</w:t>
            </w:r>
          </w:p>
        </w:tc>
        <w:tc>
          <w:tcPr>
            <w:tcW w:w="1843" w:type="dxa"/>
          </w:tcPr>
          <w:p w14:paraId="78B612C8" w14:textId="7780DE26"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239,575,376,000</w:t>
            </w:r>
          </w:p>
        </w:tc>
        <w:tc>
          <w:tcPr>
            <w:tcW w:w="1842" w:type="dxa"/>
          </w:tcPr>
          <w:p w14:paraId="7BFB6C9A" w14:textId="5CAFCE56" w:rsidR="00732F9E" w:rsidRPr="002279EF" w:rsidRDefault="003A52A5"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201,866,745,000</w:t>
            </w:r>
          </w:p>
        </w:tc>
      </w:tr>
      <w:tr w:rsidR="00F139C0" w:rsidRPr="002279EF" w14:paraId="59819DA8" w14:textId="77777777" w:rsidTr="00B91EF4">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5C639DE5" w14:textId="77777777" w:rsidR="00732F9E" w:rsidRPr="002279EF" w:rsidRDefault="00732F9E" w:rsidP="00513C7F">
            <w:pPr>
              <w:spacing w:line="480" w:lineRule="auto"/>
              <w:jc w:val="both"/>
            </w:pPr>
            <w:r w:rsidRPr="002279EF">
              <w:t>Cost of Goods Sold</w:t>
            </w:r>
          </w:p>
        </w:tc>
        <w:tc>
          <w:tcPr>
            <w:tcW w:w="1843" w:type="dxa"/>
          </w:tcPr>
          <w:p w14:paraId="74AD5166" w14:textId="5F8BB060" w:rsidR="00732F9E" w:rsidRPr="002279EF" w:rsidRDefault="003A52A5"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147,239,549,000</w:t>
            </w:r>
          </w:p>
        </w:tc>
        <w:tc>
          <w:tcPr>
            <w:tcW w:w="1843" w:type="dxa"/>
          </w:tcPr>
          <w:p w14:paraId="3818B5E2" w14:textId="0CFA4BBD" w:rsidR="00732F9E" w:rsidRPr="002279EF" w:rsidRDefault="0052366C"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132,394,411,000</w:t>
            </w:r>
          </w:p>
        </w:tc>
        <w:tc>
          <w:tcPr>
            <w:tcW w:w="1843" w:type="dxa"/>
          </w:tcPr>
          <w:p w14:paraId="27067472" w14:textId="7938449C" w:rsidR="00732F9E" w:rsidRPr="002279EF" w:rsidRDefault="0052366C"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129,290,661,000</w:t>
            </w:r>
          </w:p>
        </w:tc>
        <w:tc>
          <w:tcPr>
            <w:tcW w:w="1842" w:type="dxa"/>
          </w:tcPr>
          <w:p w14:paraId="3DAE0EFC" w14:textId="7EAD024A" w:rsidR="00732F9E" w:rsidRPr="002279EF" w:rsidRDefault="0052366C"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120,277,715,000</w:t>
            </w:r>
          </w:p>
        </w:tc>
      </w:tr>
      <w:tr w:rsidR="005938AD" w:rsidRPr="002279EF" w14:paraId="742B501E" w14:textId="77777777" w:rsidTr="00B9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5C8A1424" w14:textId="77777777" w:rsidR="00732F9E" w:rsidRPr="002279EF" w:rsidRDefault="00732F9E" w:rsidP="00513C7F">
            <w:pPr>
              <w:spacing w:line="480" w:lineRule="auto"/>
              <w:jc w:val="both"/>
            </w:pPr>
            <w:r w:rsidRPr="002279EF">
              <w:t>EBIT</w:t>
            </w:r>
          </w:p>
        </w:tc>
        <w:tc>
          <w:tcPr>
            <w:tcW w:w="1843" w:type="dxa"/>
          </w:tcPr>
          <w:p w14:paraId="38338850" w14:textId="4E3DC732" w:rsidR="00732F9E" w:rsidRPr="002279EF" w:rsidRDefault="0052366C"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27,768,509,000</w:t>
            </w:r>
          </w:p>
        </w:tc>
        <w:tc>
          <w:tcPr>
            <w:tcW w:w="1843" w:type="dxa"/>
          </w:tcPr>
          <w:p w14:paraId="2C0139BC" w14:textId="78D93B72" w:rsidR="00732F9E" w:rsidRPr="002279EF" w:rsidRDefault="0052366C"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58,886,669,000</w:t>
            </w:r>
          </w:p>
        </w:tc>
        <w:tc>
          <w:tcPr>
            <w:tcW w:w="1843" w:type="dxa"/>
          </w:tcPr>
          <w:p w14:paraId="46109E83" w14:textId="40CA9028" w:rsidR="00732F9E" w:rsidRPr="002279EF" w:rsidRDefault="0052366C"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53,645,038,000</w:t>
            </w:r>
          </w:p>
        </w:tc>
        <w:tc>
          <w:tcPr>
            <w:tcW w:w="1842" w:type="dxa"/>
          </w:tcPr>
          <w:p w14:paraId="069DF0CB" w14:textId="36091F3B" w:rsidR="00732F9E" w:rsidRPr="002279EF" w:rsidRDefault="0052366C"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29,240,672,000</w:t>
            </w:r>
          </w:p>
        </w:tc>
      </w:tr>
      <w:tr w:rsidR="00F139C0" w:rsidRPr="002279EF" w14:paraId="1B43C568" w14:textId="77777777" w:rsidTr="00B91EF4">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3CAD8DD4" w14:textId="77777777" w:rsidR="00732F9E" w:rsidRPr="002279EF" w:rsidRDefault="00732F9E" w:rsidP="00513C7F">
            <w:pPr>
              <w:spacing w:line="480" w:lineRule="auto"/>
              <w:jc w:val="both"/>
            </w:pPr>
            <w:r w:rsidRPr="002279EF">
              <w:t>Interest</w:t>
            </w:r>
          </w:p>
        </w:tc>
        <w:tc>
          <w:tcPr>
            <w:tcW w:w="1843" w:type="dxa"/>
          </w:tcPr>
          <w:p w14:paraId="6926CC77" w14:textId="16FFE5F7" w:rsidR="00732F9E" w:rsidRPr="002279EF" w:rsidRDefault="0052366C"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686,356,000</w:t>
            </w:r>
          </w:p>
        </w:tc>
        <w:tc>
          <w:tcPr>
            <w:tcW w:w="1843" w:type="dxa"/>
          </w:tcPr>
          <w:p w14:paraId="107ED1E4" w14:textId="7225EBCD" w:rsidR="00732F9E" w:rsidRPr="002279EF" w:rsidRDefault="0052366C"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674,617,000</w:t>
            </w:r>
          </w:p>
        </w:tc>
        <w:tc>
          <w:tcPr>
            <w:tcW w:w="1843" w:type="dxa"/>
          </w:tcPr>
          <w:p w14:paraId="6C46D771" w14:textId="33D404B8" w:rsidR="00732F9E" w:rsidRPr="002279EF" w:rsidRDefault="0052366C"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655,402,000</w:t>
            </w:r>
          </w:p>
        </w:tc>
        <w:tc>
          <w:tcPr>
            <w:tcW w:w="1842" w:type="dxa"/>
          </w:tcPr>
          <w:p w14:paraId="74C3EC0E" w14:textId="67C5DA63" w:rsidR="00732F9E" w:rsidRPr="002279EF" w:rsidRDefault="0052366C" w:rsidP="00513C7F">
            <w:pPr>
              <w:spacing w:line="480" w:lineRule="auto"/>
              <w:jc w:val="both"/>
              <w:cnfStyle w:val="000000000000" w:firstRow="0" w:lastRow="0" w:firstColumn="0" w:lastColumn="0" w:oddVBand="0" w:evenVBand="0" w:oddHBand="0" w:evenHBand="0" w:firstRowFirstColumn="0" w:firstRowLastColumn="0" w:lastRowFirstColumn="0" w:lastRowLastColumn="0"/>
            </w:pPr>
            <w:r w:rsidRPr="002279EF">
              <w:t>587,831,000</w:t>
            </w:r>
          </w:p>
        </w:tc>
      </w:tr>
      <w:tr w:rsidR="005938AD" w:rsidRPr="002279EF" w14:paraId="15681EB6" w14:textId="77777777" w:rsidTr="00B91EF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63" w:type="dxa"/>
            <w:shd w:val="clear" w:color="auto" w:fill="0C2188"/>
          </w:tcPr>
          <w:p w14:paraId="11F8E50D" w14:textId="77777777" w:rsidR="00732F9E" w:rsidRPr="002279EF" w:rsidRDefault="00732F9E" w:rsidP="00513C7F">
            <w:pPr>
              <w:spacing w:line="480" w:lineRule="auto"/>
              <w:jc w:val="both"/>
            </w:pPr>
            <w:r w:rsidRPr="002279EF">
              <w:t>Net Income</w:t>
            </w:r>
          </w:p>
        </w:tc>
        <w:tc>
          <w:tcPr>
            <w:tcW w:w="1843" w:type="dxa"/>
          </w:tcPr>
          <w:p w14:paraId="1477D507" w14:textId="2C57F61C" w:rsidR="00732F9E" w:rsidRPr="002279EF" w:rsidRDefault="0052366C"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21,505,054,000</w:t>
            </w:r>
          </w:p>
        </w:tc>
        <w:tc>
          <w:tcPr>
            <w:tcW w:w="1843" w:type="dxa"/>
          </w:tcPr>
          <w:p w14:paraId="543434F3" w14:textId="45896A76" w:rsidR="00732F9E" w:rsidRPr="002279EF" w:rsidRDefault="0052366C"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43,890,877,000</w:t>
            </w:r>
          </w:p>
        </w:tc>
        <w:tc>
          <w:tcPr>
            <w:tcW w:w="1843" w:type="dxa"/>
          </w:tcPr>
          <w:p w14:paraId="71E02C16" w14:textId="43C605FC" w:rsidR="00732F9E" w:rsidRPr="002279EF" w:rsidRDefault="0052366C"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41,344,569,000</w:t>
            </w:r>
          </w:p>
        </w:tc>
        <w:tc>
          <w:tcPr>
            <w:tcW w:w="1842" w:type="dxa"/>
          </w:tcPr>
          <w:p w14:paraId="400831B7" w14:textId="1EE07B93" w:rsidR="00732F9E" w:rsidRPr="002279EF" w:rsidRDefault="0052366C" w:rsidP="00513C7F">
            <w:pPr>
              <w:spacing w:line="480" w:lineRule="auto"/>
              <w:jc w:val="both"/>
              <w:cnfStyle w:val="000000100000" w:firstRow="0" w:lastRow="0" w:firstColumn="0" w:lastColumn="0" w:oddVBand="0" w:evenVBand="0" w:oddHBand="1" w:evenHBand="0" w:firstRowFirstColumn="0" w:firstRowLastColumn="0" w:lastRowFirstColumn="0" w:lastRowLastColumn="0"/>
            </w:pPr>
            <w:r w:rsidRPr="002279EF">
              <w:t>22,415,655,000</w:t>
            </w:r>
          </w:p>
        </w:tc>
      </w:tr>
    </w:tbl>
    <w:p w14:paraId="30940BB2" w14:textId="0300C278" w:rsidR="00E67D77" w:rsidRPr="00E67D77" w:rsidRDefault="00E67D77" w:rsidP="00E67D77">
      <w:pPr>
        <w:spacing w:line="480" w:lineRule="auto"/>
        <w:jc w:val="both"/>
        <w:rPr>
          <w:i/>
          <w:iCs/>
          <w:sz w:val="21"/>
          <w:szCs w:val="21"/>
        </w:rPr>
      </w:pPr>
      <w:r w:rsidRPr="00E67D77">
        <w:rPr>
          <w:i/>
          <w:iCs/>
          <w:sz w:val="21"/>
          <w:szCs w:val="21"/>
        </w:rPr>
        <w:t>All numbers are in thousands, Source: Yahoo Finance</w:t>
      </w:r>
    </w:p>
    <w:p w14:paraId="1DEDC6F2" w14:textId="30E4033B" w:rsidR="007677DC" w:rsidRDefault="007677DC" w:rsidP="00374C33">
      <w:pPr>
        <w:spacing w:line="480" w:lineRule="auto"/>
        <w:jc w:val="both"/>
      </w:pPr>
      <w:r>
        <w:t xml:space="preserve"> </w:t>
      </w:r>
      <w:r w:rsidR="006A01EA">
        <w:t xml:space="preserve">   </w:t>
      </w:r>
      <w:r>
        <w:t>T</w:t>
      </w:r>
      <w:r w:rsidR="00E67D77">
        <w:t xml:space="preserve">he ratios </w:t>
      </w:r>
      <w:r>
        <w:t>that would be used</w:t>
      </w:r>
      <w:r w:rsidR="008F72E8">
        <w:t xml:space="preserve"> in the</w:t>
      </w:r>
      <w:r>
        <w:t xml:space="preserve"> financial analysis of </w:t>
      </w:r>
      <w:r w:rsidR="002570CF">
        <w:t xml:space="preserve">the </w:t>
      </w:r>
      <w:r>
        <w:t>SEC</w:t>
      </w:r>
      <w:r w:rsidR="00E67D77">
        <w:t xml:space="preserve"> are the Liquidity, Activity, Debt</w:t>
      </w:r>
      <w:r w:rsidR="00FF43CC">
        <w:t>,</w:t>
      </w:r>
      <w:r w:rsidR="00E67D77">
        <w:t xml:space="preserve"> and Profitability Ratios. </w:t>
      </w:r>
    </w:p>
    <w:p w14:paraId="27FFEF27" w14:textId="49D8CF07" w:rsidR="00E67D77" w:rsidRDefault="007677DC" w:rsidP="00217978">
      <w:pPr>
        <w:spacing w:line="480" w:lineRule="auto"/>
        <w:jc w:val="both"/>
      </w:pPr>
      <w:r>
        <w:t xml:space="preserve">    </w:t>
      </w:r>
      <w:r w:rsidR="00374C33">
        <w:t xml:space="preserve">Liquidity ratios </w:t>
      </w:r>
      <w:r w:rsidR="002570CF">
        <w:t>measure</w:t>
      </w:r>
      <w:r w:rsidR="00374C33">
        <w:t xml:space="preserve"> the liquidity of a company, which is their capability of transforming their assets into cash</w:t>
      </w:r>
      <w:r w:rsidR="008F72E8">
        <w:t>. T</w:t>
      </w:r>
      <w:r w:rsidR="00374C33">
        <w:t xml:space="preserve">hrough this measurement, </w:t>
      </w:r>
      <w:r w:rsidR="00217978">
        <w:t>it is possible to determine</w:t>
      </w:r>
      <w:r w:rsidR="00374C33">
        <w:t xml:space="preserve"> how well a company can meet its short-term debts without </w:t>
      </w:r>
      <w:r w:rsidR="002570CF">
        <w:t>needing</w:t>
      </w:r>
      <w:r w:rsidR="00374C33">
        <w:t xml:space="preserve"> </w:t>
      </w:r>
      <w:r w:rsidR="002570CF">
        <w:t xml:space="preserve">to </w:t>
      </w:r>
      <w:r w:rsidR="00374C33">
        <w:t>rais</w:t>
      </w:r>
      <w:r w:rsidR="002570CF">
        <w:t>e</w:t>
      </w:r>
      <w:r w:rsidR="00374C33">
        <w:t xml:space="preserve"> further capital</w:t>
      </w:r>
      <w:r w:rsidR="008F72E8">
        <w:t xml:space="preserve"> </w:t>
      </w:r>
      <w:sdt>
        <w:sdtPr>
          <w:id w:val="-1577969027"/>
          <w:citation/>
        </w:sdtPr>
        <w:sdtEndPr/>
        <w:sdtContent>
          <w:r>
            <w:fldChar w:fldCharType="begin"/>
          </w:r>
          <w:r w:rsidR="00F45C80">
            <w:instrText xml:space="preserve">CITATION Ada19 \l 1033 </w:instrText>
          </w:r>
          <w:r>
            <w:fldChar w:fldCharType="separate"/>
          </w:r>
          <w:r w:rsidR="00D55B0E">
            <w:rPr>
              <w:noProof/>
            </w:rPr>
            <w:t>(Hayes, 2019)</w:t>
          </w:r>
          <w:r>
            <w:fldChar w:fldCharType="end"/>
          </w:r>
        </w:sdtContent>
      </w:sdt>
      <w:r>
        <w:t>.</w:t>
      </w:r>
      <w:r w:rsidR="00374C33">
        <w:t xml:space="preserve"> </w:t>
      </w:r>
      <w:r>
        <w:t>Alt</w:t>
      </w:r>
      <w:r w:rsidR="00374C33">
        <w:t xml:space="preserve">hough many investors consider the profitability of a company </w:t>
      </w:r>
      <w:r w:rsidR="002570CF">
        <w:t>to be</w:t>
      </w:r>
      <w:r w:rsidR="00374C33">
        <w:t xml:space="preserve"> a</w:t>
      </w:r>
      <w:r w:rsidR="008F72E8">
        <w:t>n important</w:t>
      </w:r>
      <w:r w:rsidR="00374C33">
        <w:t xml:space="preserve"> factor for their decision-making, </w:t>
      </w:r>
      <w:r>
        <w:t>l</w:t>
      </w:r>
      <w:r w:rsidR="00374C33">
        <w:t xml:space="preserve">iquidity </w:t>
      </w:r>
      <w:r>
        <w:t>is mentioned to be</w:t>
      </w:r>
      <w:r w:rsidR="00374C33">
        <w:t xml:space="preserve"> an equally </w:t>
      </w:r>
      <w:r w:rsidR="00217978">
        <w:t>significant</w:t>
      </w:r>
      <w:r w:rsidR="00374C33">
        <w:t xml:space="preserve"> evaluator of a firm’s financial position</w:t>
      </w:r>
      <w:r>
        <w:t xml:space="preserve"> as well</w:t>
      </w:r>
      <w:r w:rsidR="00374C33">
        <w:t xml:space="preserve">, since it shows whether the company has chances of entering bankruptcy, which </w:t>
      </w:r>
      <w:r w:rsidR="00217978">
        <w:t xml:space="preserve">most </w:t>
      </w:r>
      <w:r w:rsidR="00374C33">
        <w:t xml:space="preserve">investors </w:t>
      </w:r>
      <w:r w:rsidR="00217978">
        <w:t>would</w:t>
      </w:r>
      <w:r w:rsidR="008F72E8">
        <w:t xml:space="preserve"> consider</w:t>
      </w:r>
      <w:r w:rsidR="00374C33">
        <w:t xml:space="preserve"> </w:t>
      </w:r>
      <w:r w:rsidR="008F72E8">
        <w:t xml:space="preserve">the company as a risky choice </w:t>
      </w:r>
      <w:sdt>
        <w:sdtPr>
          <w:id w:val="553278815"/>
          <w:citation/>
        </w:sdtPr>
        <w:sdtEndPr/>
        <w:sdtContent>
          <w:r w:rsidR="00374C33">
            <w:fldChar w:fldCharType="begin"/>
          </w:r>
          <w:r w:rsidR="00374C33">
            <w:instrText xml:space="preserve"> CITATION Chn18 \l 1033 </w:instrText>
          </w:r>
          <w:r w:rsidR="00374C33">
            <w:fldChar w:fldCharType="separate"/>
          </w:r>
          <w:r w:rsidR="00D55B0E">
            <w:rPr>
              <w:noProof/>
            </w:rPr>
            <w:t>(Rashid, 2018)</w:t>
          </w:r>
          <w:r w:rsidR="00374C33">
            <w:fldChar w:fldCharType="end"/>
          </w:r>
        </w:sdtContent>
      </w:sdt>
      <w:r w:rsidR="00374C33">
        <w:t xml:space="preserve">. Finally, </w:t>
      </w:r>
      <w:r>
        <w:t xml:space="preserve">this paper will explore the liquidity position of </w:t>
      </w:r>
      <w:r w:rsidR="002570CF">
        <w:t xml:space="preserve">the </w:t>
      </w:r>
      <w:r>
        <w:t>SEC through the use of current, quick</w:t>
      </w:r>
      <w:r w:rsidR="002570CF">
        <w:t>,</w:t>
      </w:r>
      <w:r>
        <w:t xml:space="preserve"> and cash ratios. </w:t>
      </w:r>
    </w:p>
    <w:p w14:paraId="1D2FB57A" w14:textId="7AD2A7DC" w:rsidR="007677DC" w:rsidRPr="00E67D77" w:rsidRDefault="007677DC" w:rsidP="00627749">
      <w:pPr>
        <w:spacing w:line="480" w:lineRule="auto"/>
        <w:jc w:val="both"/>
      </w:pPr>
      <w:r>
        <w:t xml:space="preserve">     Activity ratios, on the other hand, are used to measure the firm’s efficiency in utilizing their assets in producing sales or cash</w:t>
      </w:r>
      <w:r w:rsidR="00627749">
        <w:t xml:space="preserve"> an</w:t>
      </w:r>
      <w:r w:rsidR="00CF075D">
        <w:t xml:space="preserve">d </w:t>
      </w:r>
      <w:r w:rsidR="008F72E8">
        <w:t xml:space="preserve">how efficient they are </w:t>
      </w:r>
      <w:r w:rsidR="00CF075D">
        <w:t>in collecting their receivables</w:t>
      </w:r>
      <w:r w:rsidR="00627749">
        <w:t>.</w:t>
      </w:r>
      <w:r w:rsidR="00217978">
        <w:t xml:space="preserve"> Measuring a company’s efficiency</w:t>
      </w:r>
      <w:r w:rsidR="00627749">
        <w:t xml:space="preserve"> can involve assessing their</w:t>
      </w:r>
      <w:r w:rsidR="00CF075D">
        <w:t xml:space="preserve"> asset and </w:t>
      </w:r>
      <w:r w:rsidR="00627749">
        <w:t>inventory managemen</w:t>
      </w:r>
      <w:r w:rsidR="00CF075D">
        <w:t xml:space="preserve">t, as well as </w:t>
      </w:r>
      <w:r w:rsidR="00627749">
        <w:t>operational efficiency</w:t>
      </w:r>
      <w:r w:rsidR="00CF075D">
        <w:t xml:space="preserve"> since </w:t>
      </w:r>
      <w:r w:rsidR="00627749">
        <w:t xml:space="preserve">it can monitor how well the company can distribute or produce their outputs in a manner that generates profits efficiently </w:t>
      </w:r>
      <w:r w:rsidR="0053296F">
        <w:t>(Kenton, 2020a).</w:t>
      </w:r>
      <w:r w:rsidR="00627749">
        <w:t xml:space="preserve"> In the case of SEC, this paper will be using the Inventory, Receivable</w:t>
      </w:r>
      <w:r w:rsidR="002570CF">
        <w:t>,</w:t>
      </w:r>
      <w:r w:rsidR="00627749">
        <w:t xml:space="preserve"> and Total Asset Turnover as a measurement to determine their efficiency. </w:t>
      </w:r>
    </w:p>
    <w:p w14:paraId="462923C5" w14:textId="6EB25A66" w:rsidR="00AC0ED4" w:rsidRDefault="00627749" w:rsidP="00D2178C">
      <w:pPr>
        <w:spacing w:line="480" w:lineRule="auto"/>
      </w:pPr>
      <w:r>
        <w:rPr>
          <w:lang w:val="fr-CA"/>
        </w:rPr>
        <w:t xml:space="preserve">    </w:t>
      </w:r>
      <w:r w:rsidRPr="00627749">
        <w:t xml:space="preserve">Debt ratios </w:t>
      </w:r>
      <w:r w:rsidR="00CB1D17">
        <w:t>will also be used to identify how reliant SEC is in funding their assets through liabilities. This measurement will be helpful for investors and creditors to know</w:t>
      </w:r>
      <w:r w:rsidR="00217978">
        <w:t>,</w:t>
      </w:r>
      <w:r w:rsidR="00CB1D17">
        <w:t xml:space="preserve"> as the degree of risk will be identified. If the company is found to have</w:t>
      </w:r>
      <w:r w:rsidR="008F72E8">
        <w:t xml:space="preserve"> debt ratios at a high number</w:t>
      </w:r>
      <w:r w:rsidR="00CB1D17">
        <w:t xml:space="preserve">, </w:t>
      </w:r>
      <w:r w:rsidR="00BF5150">
        <w:t>it</w:t>
      </w:r>
      <w:r w:rsidR="00CB1D17">
        <w:t xml:space="preserve"> indicates that they are </w:t>
      </w:r>
      <w:r w:rsidR="00217978">
        <w:t>greatly</w:t>
      </w:r>
      <w:r w:rsidR="00CB1D17">
        <w:t xml:space="preserve"> dependent on debts to fund their operations, </w:t>
      </w:r>
      <w:r w:rsidR="00BF5150">
        <w:t xml:space="preserve">which </w:t>
      </w:r>
      <w:r w:rsidR="00CB1D17">
        <w:t xml:space="preserve">can be risky </w:t>
      </w:r>
      <w:r w:rsidR="00BF5150">
        <w:t>if it is found that</w:t>
      </w:r>
      <w:r w:rsidR="00CB1D17">
        <w:t xml:space="preserve"> the company </w:t>
      </w:r>
      <w:r w:rsidR="00BF5150">
        <w:t>is troubled</w:t>
      </w:r>
      <w:r w:rsidR="00CB1D17">
        <w:t xml:space="preserve"> with </w:t>
      </w:r>
      <w:r w:rsidR="00BF5150">
        <w:t>repayments</w:t>
      </w:r>
      <w:r w:rsidR="00F45C80">
        <w:t xml:space="preserve">, </w:t>
      </w:r>
      <w:r w:rsidR="00BF5150">
        <w:t>and it can result to discouraging creditors from lending to the company</w:t>
      </w:r>
      <w:r w:rsidR="00CB1D17">
        <w:t xml:space="preserve">. </w:t>
      </w:r>
      <w:r w:rsidR="00F45C80">
        <w:t xml:space="preserve">Moreover, </w:t>
      </w:r>
      <w:r w:rsidR="00BF5150">
        <w:t xml:space="preserve">with the use of ratios, </w:t>
      </w:r>
      <w:r w:rsidR="00D2178C">
        <w:t>it is also plausible to measure</w:t>
      </w:r>
      <w:r w:rsidR="00F45C80">
        <w:t xml:space="preserve"> how </w:t>
      </w:r>
      <w:r w:rsidR="00D2178C">
        <w:t>a</w:t>
      </w:r>
      <w:r w:rsidR="00F45C80">
        <w:t xml:space="preserve"> company is capable of </w:t>
      </w:r>
      <w:r w:rsidR="00D2178C">
        <w:t xml:space="preserve">repayments </w:t>
      </w:r>
      <w:r w:rsidR="00F45C80">
        <w:t>and the duration it would take th</w:t>
      </w:r>
      <w:r w:rsidR="00D2178C">
        <w:t xml:space="preserve">em to do so </w:t>
      </w:r>
      <w:sdt>
        <w:sdtPr>
          <w:id w:val="-1436275418"/>
          <w:citation/>
        </w:sdtPr>
        <w:sdtEndPr/>
        <w:sdtContent>
          <w:r w:rsidR="00F45C80">
            <w:fldChar w:fldCharType="begin"/>
          </w:r>
          <w:r w:rsidR="00D2178C">
            <w:instrText xml:space="preserve">CITATION Cha19 \l 1033 </w:instrText>
          </w:r>
          <w:r w:rsidR="00F45C80">
            <w:fldChar w:fldCharType="separate"/>
          </w:r>
          <w:r w:rsidR="00D55B0E">
            <w:rPr>
              <w:noProof/>
            </w:rPr>
            <w:t>(Zutter &amp; Smart, 2019)</w:t>
          </w:r>
          <w:r w:rsidR="00F45C80">
            <w:fldChar w:fldCharType="end"/>
          </w:r>
        </w:sdtContent>
      </w:sdt>
      <w:r w:rsidR="00F45C80">
        <w:t xml:space="preserve">. </w:t>
      </w:r>
      <w:r w:rsidR="000F526A">
        <w:t>Debt ratios</w:t>
      </w:r>
      <w:r w:rsidR="00F45C80">
        <w:t xml:space="preserve"> will be useful for creditors and investors </w:t>
      </w:r>
      <w:r w:rsidR="00BF5150">
        <w:t xml:space="preserve">in determining </w:t>
      </w:r>
      <w:r w:rsidR="00F45C80">
        <w:t xml:space="preserve">the level of risk in </w:t>
      </w:r>
      <w:r w:rsidR="00BF5150">
        <w:t>selecting</w:t>
      </w:r>
      <w:r w:rsidR="00F45C80">
        <w:t xml:space="preserve"> SEC </w:t>
      </w:r>
      <w:r w:rsidR="002B5512">
        <w:t>as a choice for</w:t>
      </w:r>
      <w:r w:rsidR="00F45C80">
        <w:t xml:space="preserve"> invest</w:t>
      </w:r>
      <w:r w:rsidR="002B5512">
        <w:t>ing</w:t>
      </w:r>
      <w:r w:rsidR="00F45C80">
        <w:t xml:space="preserve"> or lend</w:t>
      </w:r>
      <w:r w:rsidR="002B5512">
        <w:t>ing</w:t>
      </w:r>
      <w:r w:rsidR="00BF5150">
        <w:t>, as</w:t>
      </w:r>
      <w:r w:rsidR="00D2178C">
        <w:t xml:space="preserve"> the</w:t>
      </w:r>
      <w:r w:rsidR="00BF5150">
        <w:t xml:space="preserve"> factors of the</w:t>
      </w:r>
      <w:r w:rsidR="00D2178C">
        <w:t xml:space="preserve"> company’s capabilities on repayments</w:t>
      </w:r>
      <w:r w:rsidR="000F526A">
        <w:t xml:space="preserve"> and </w:t>
      </w:r>
      <w:r w:rsidR="00BF5150">
        <w:t>the duration it normally takes for them to pay them back will be assessed</w:t>
      </w:r>
      <w:r w:rsidR="00D2178C">
        <w:t xml:space="preserve">. Hence, </w:t>
      </w:r>
      <w:r w:rsidR="00BF5150">
        <w:t>to measure these factors, t</w:t>
      </w:r>
      <w:r w:rsidR="00D2178C">
        <w:t xml:space="preserve">he ratios used will be Debt ratio and Times Interest Earned Ratio. </w:t>
      </w:r>
    </w:p>
    <w:p w14:paraId="2906CD64" w14:textId="49CEB5D3" w:rsidR="00D2178C" w:rsidRDefault="00D2178C" w:rsidP="00677534">
      <w:pPr>
        <w:spacing w:line="480" w:lineRule="auto"/>
      </w:pPr>
      <w:r>
        <w:t xml:space="preserve">   Lastly, profitability ratios </w:t>
      </w:r>
      <w:r w:rsidR="007123A1">
        <w:t>can depict a firm’s ability to produce profits through their sales, costs, assets</w:t>
      </w:r>
      <w:r w:rsidR="002570CF">
        <w:t>,</w:t>
      </w:r>
      <w:r w:rsidR="007123A1">
        <w:t xml:space="preserve"> and</w:t>
      </w:r>
      <w:r w:rsidR="002B5512">
        <w:t xml:space="preserve"> the</w:t>
      </w:r>
      <w:r w:rsidR="007123A1">
        <w:t xml:space="preserve"> equity of </w:t>
      </w:r>
      <w:r w:rsidR="002570CF">
        <w:t>its</w:t>
      </w:r>
      <w:r w:rsidR="007123A1">
        <w:t xml:space="preserve"> shareholders</w:t>
      </w:r>
      <w:r w:rsidR="002B5512">
        <w:t xml:space="preserve"> as well</w:t>
      </w:r>
      <w:r w:rsidR="00677534">
        <w:t xml:space="preserve"> (Kenton, 2020</w:t>
      </w:r>
      <w:r w:rsidR="0053296F">
        <w:t>b</w:t>
      </w:r>
      <w:r w:rsidR="00677534">
        <w:t>)</w:t>
      </w:r>
      <w:r w:rsidR="007123A1">
        <w:t xml:space="preserve">. This is what most </w:t>
      </w:r>
      <w:r w:rsidR="00217978">
        <w:t>investors</w:t>
      </w:r>
      <w:r w:rsidR="007123A1">
        <w:t xml:space="preserve"> would seek</w:t>
      </w:r>
      <w:r w:rsidR="00677534">
        <w:t xml:space="preserve"> to know</w:t>
      </w:r>
      <w:r w:rsidR="007123A1">
        <w:t xml:space="preserve"> as it </w:t>
      </w:r>
      <w:r w:rsidR="002570CF">
        <w:t>is shown</w:t>
      </w:r>
      <w:r w:rsidR="007123A1">
        <w:t xml:space="preserve"> how </w:t>
      </w:r>
      <w:r w:rsidR="002B5512">
        <w:t>capable</w:t>
      </w:r>
      <w:r w:rsidR="007123A1">
        <w:t xml:space="preserve"> the company is </w:t>
      </w:r>
      <w:r w:rsidR="002B5512">
        <w:t>in producing</w:t>
      </w:r>
      <w:r w:rsidR="007123A1">
        <w:t xml:space="preserve"> high returns from their </w:t>
      </w:r>
      <w:r w:rsidR="00677534">
        <w:t xml:space="preserve">shareholder’s </w:t>
      </w:r>
      <w:r w:rsidR="007123A1">
        <w:t>investments. Moreover, it is also used as a tool to asses</w:t>
      </w:r>
      <w:r w:rsidR="00677534">
        <w:t>s</w:t>
      </w:r>
      <w:r w:rsidR="007123A1">
        <w:t xml:space="preserve"> how successful the company has been</w:t>
      </w:r>
      <w:r w:rsidR="002B5512">
        <w:t>,</w:t>
      </w:r>
      <w:r w:rsidR="007123A1">
        <w:t xml:space="preserve"> as </w:t>
      </w:r>
      <w:r w:rsidR="00677534">
        <w:t>most business</w:t>
      </w:r>
      <w:r w:rsidR="002B5512">
        <w:t xml:space="preserve">es </w:t>
      </w:r>
      <w:r w:rsidR="00677534">
        <w:t>have</w:t>
      </w:r>
      <w:r w:rsidR="007123A1">
        <w:t xml:space="preserve"> the primary goal of maximizing profits.</w:t>
      </w:r>
      <w:r w:rsidR="00677534">
        <w:t xml:space="preserve"> Monitoring their performance will allow effective decision-making if it is noticed that they have not been effective in generating earnings, which will be useful in the case of SEC as their profits have been reported to decline in 2019.</w:t>
      </w:r>
      <w:r w:rsidR="007123A1">
        <w:t xml:space="preserve"> </w:t>
      </w:r>
      <w:r w:rsidR="00677534">
        <w:t xml:space="preserve">Therefore, to examine the profitability of </w:t>
      </w:r>
      <w:r w:rsidR="002570CF">
        <w:t xml:space="preserve">the </w:t>
      </w:r>
      <w:r w:rsidR="00677534">
        <w:t xml:space="preserve">SEC, </w:t>
      </w:r>
      <w:r w:rsidR="002B5512">
        <w:t>the financial ratios of R</w:t>
      </w:r>
      <w:r w:rsidR="00677534">
        <w:t xml:space="preserve">eturn on equity, </w:t>
      </w:r>
      <w:r w:rsidR="00217978">
        <w:t>return</w:t>
      </w:r>
      <w:r w:rsidR="00677534">
        <w:t xml:space="preserve"> on assets</w:t>
      </w:r>
      <w:r w:rsidR="002570CF">
        <w:t>,</w:t>
      </w:r>
      <w:r w:rsidR="00677534">
        <w:t xml:space="preserve"> and </w:t>
      </w:r>
      <w:r w:rsidR="002B5512">
        <w:t>P</w:t>
      </w:r>
      <w:r w:rsidR="00677534">
        <w:t>rofit margins will be used.</w:t>
      </w:r>
    </w:p>
    <w:p w14:paraId="2FC9B952" w14:textId="6526839F" w:rsidR="00677534" w:rsidRDefault="00677534" w:rsidP="002B5512">
      <w:pPr>
        <w:spacing w:line="480" w:lineRule="auto"/>
      </w:pPr>
      <w:r>
        <w:t xml:space="preserve">    Overall, the usefulness of the results from the ratio analysis of SEC’s financial statements can be gained with comparisons of its ratios from previous years and its competitors. However, in this paper, </w:t>
      </w:r>
      <w:r w:rsidR="002570CF">
        <w:t xml:space="preserve">the </w:t>
      </w:r>
      <w:r>
        <w:t xml:space="preserve">analysis will only consider its financial performance across the years 2016 to 2019. </w:t>
      </w:r>
    </w:p>
    <w:p w14:paraId="119463C6" w14:textId="77777777" w:rsidR="002570CF" w:rsidRPr="00627749" w:rsidRDefault="002570CF" w:rsidP="002B5512">
      <w:pPr>
        <w:spacing w:line="480" w:lineRule="auto"/>
      </w:pPr>
    </w:p>
    <w:p w14:paraId="2CD1F2BB" w14:textId="36BA69AB" w:rsidR="00732F9E" w:rsidRPr="005938AD" w:rsidRDefault="00732F9E" w:rsidP="00513C7F">
      <w:pPr>
        <w:spacing w:line="480" w:lineRule="auto"/>
        <w:jc w:val="both"/>
        <w:rPr>
          <w:b/>
          <w:bCs/>
          <w:color w:val="0C2188"/>
          <w:sz w:val="28"/>
          <w:szCs w:val="28"/>
        </w:rPr>
      </w:pPr>
      <w:r w:rsidRPr="005938AD">
        <w:rPr>
          <w:b/>
          <w:bCs/>
          <w:color w:val="0C2188"/>
          <w:sz w:val="28"/>
          <w:szCs w:val="28"/>
        </w:rPr>
        <w:t>Results and Discussion</w:t>
      </w:r>
    </w:p>
    <w:p w14:paraId="199941DC" w14:textId="6DA26AB1" w:rsidR="00732F9E" w:rsidRPr="005C5381" w:rsidRDefault="00D55B0E" w:rsidP="00513C7F">
      <w:pPr>
        <w:spacing w:line="480" w:lineRule="auto"/>
        <w:jc w:val="both"/>
        <w:rPr>
          <w:b/>
          <w:bCs/>
          <w:color w:val="0C2188"/>
        </w:rPr>
      </w:pPr>
      <w:r w:rsidRPr="005C5381">
        <w:rPr>
          <w:b/>
          <w:bCs/>
          <w:i/>
          <w:iCs/>
          <w:noProof/>
          <w:color w:val="0C2188"/>
        </w:rPr>
        <w:drawing>
          <wp:anchor distT="0" distB="0" distL="114300" distR="114300" simplePos="0" relativeHeight="251652096" behindDoc="1" locked="0" layoutInCell="1" allowOverlap="1" wp14:anchorId="583F7C87" wp14:editId="00D0E254">
            <wp:simplePos x="0" y="0"/>
            <wp:positionH relativeFrom="column">
              <wp:posOffset>64135</wp:posOffset>
            </wp:positionH>
            <wp:positionV relativeFrom="paragraph">
              <wp:posOffset>1210818</wp:posOffset>
            </wp:positionV>
            <wp:extent cx="5872480" cy="2498090"/>
            <wp:effectExtent l="0" t="0" r="7620" b="16510"/>
            <wp:wrapTight wrapText="bothSides">
              <wp:wrapPolygon edited="0">
                <wp:start x="0" y="0"/>
                <wp:lineTo x="0" y="21633"/>
                <wp:lineTo x="21581" y="21633"/>
                <wp:lineTo x="21581" y="0"/>
                <wp:lineTo x="0" y="0"/>
              </wp:wrapPolygon>
            </wp:wrapTight>
            <wp:docPr id="1" name="Chart 1">
              <a:extLst xmlns:a="http://schemas.openxmlformats.org/drawingml/2006/main">
                <a:ext uri="{FF2B5EF4-FFF2-40B4-BE49-F238E27FC236}">
                  <a16:creationId xmlns:a16="http://schemas.microsoft.com/office/drawing/2014/main" id="{4234EC1A-C292-0F4C-9BF9-263D084B7F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732F9E" w:rsidRPr="005C5381">
        <w:rPr>
          <w:b/>
          <w:bCs/>
          <w:color w:val="0C2188"/>
        </w:rPr>
        <w:t xml:space="preserve">Table 2: Liquidity Ratios of </w:t>
      </w:r>
      <w:r w:rsidR="008B2618" w:rsidRPr="005C5381">
        <w:rPr>
          <w:b/>
          <w:bCs/>
          <w:color w:val="0C2188"/>
        </w:rPr>
        <w:t>SEC</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F139C0" w:rsidRPr="002279EF" w14:paraId="0A455B67" w14:textId="77777777" w:rsidTr="005C538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70" w:type="dxa"/>
            <w:shd w:val="clear" w:color="auto" w:fill="0C2188"/>
          </w:tcPr>
          <w:p w14:paraId="6A4770DC" w14:textId="68C67E8D" w:rsidR="00F139C0" w:rsidRPr="004752A0" w:rsidRDefault="00F139C0" w:rsidP="004752A0">
            <w:pPr>
              <w:jc w:val="both"/>
            </w:pPr>
            <w:r w:rsidRPr="004752A0">
              <w:t>Ratio/Year</w:t>
            </w:r>
          </w:p>
        </w:tc>
        <w:tc>
          <w:tcPr>
            <w:tcW w:w="1870" w:type="dxa"/>
            <w:shd w:val="clear" w:color="auto" w:fill="0C2188"/>
          </w:tcPr>
          <w:p w14:paraId="51C192EB" w14:textId="3C882F33" w:rsidR="00F139C0" w:rsidRPr="004752A0" w:rsidRDefault="00F139C0" w:rsidP="004752A0">
            <w:pPr>
              <w:jc w:val="both"/>
              <w:cnfStyle w:val="100000000000" w:firstRow="1" w:lastRow="0" w:firstColumn="0" w:lastColumn="0" w:oddVBand="0" w:evenVBand="0" w:oddHBand="0" w:evenHBand="0" w:firstRowFirstColumn="0" w:firstRowLastColumn="0" w:lastRowFirstColumn="0" w:lastRowLastColumn="0"/>
            </w:pPr>
            <w:r w:rsidRPr="004752A0">
              <w:t>2019</w:t>
            </w:r>
          </w:p>
        </w:tc>
        <w:tc>
          <w:tcPr>
            <w:tcW w:w="1870" w:type="dxa"/>
            <w:shd w:val="clear" w:color="auto" w:fill="0C2188"/>
          </w:tcPr>
          <w:p w14:paraId="0A2E29E6" w14:textId="2CD20CF6" w:rsidR="00F139C0" w:rsidRPr="004752A0" w:rsidRDefault="00F139C0" w:rsidP="004752A0">
            <w:pPr>
              <w:jc w:val="both"/>
              <w:cnfStyle w:val="100000000000" w:firstRow="1" w:lastRow="0" w:firstColumn="0" w:lastColumn="0" w:oddVBand="0" w:evenVBand="0" w:oddHBand="0" w:evenHBand="0" w:firstRowFirstColumn="0" w:firstRowLastColumn="0" w:lastRowFirstColumn="0" w:lastRowLastColumn="0"/>
            </w:pPr>
            <w:r w:rsidRPr="004752A0">
              <w:t>2018</w:t>
            </w:r>
          </w:p>
        </w:tc>
        <w:tc>
          <w:tcPr>
            <w:tcW w:w="1870" w:type="dxa"/>
            <w:shd w:val="clear" w:color="auto" w:fill="0C2188"/>
          </w:tcPr>
          <w:p w14:paraId="280A1EF1" w14:textId="0843DF32" w:rsidR="00F139C0" w:rsidRPr="004752A0" w:rsidRDefault="00F139C0" w:rsidP="004752A0">
            <w:pPr>
              <w:jc w:val="both"/>
              <w:cnfStyle w:val="100000000000" w:firstRow="1" w:lastRow="0" w:firstColumn="0" w:lastColumn="0" w:oddVBand="0" w:evenVBand="0" w:oddHBand="0" w:evenHBand="0" w:firstRowFirstColumn="0" w:firstRowLastColumn="0" w:lastRowFirstColumn="0" w:lastRowLastColumn="0"/>
            </w:pPr>
            <w:r w:rsidRPr="004752A0">
              <w:t>2017</w:t>
            </w:r>
          </w:p>
        </w:tc>
        <w:tc>
          <w:tcPr>
            <w:tcW w:w="1870" w:type="dxa"/>
            <w:shd w:val="clear" w:color="auto" w:fill="0C2188"/>
          </w:tcPr>
          <w:p w14:paraId="2751DAD8" w14:textId="50C49C85" w:rsidR="00F139C0" w:rsidRPr="004752A0" w:rsidRDefault="00F139C0" w:rsidP="004752A0">
            <w:pPr>
              <w:jc w:val="both"/>
              <w:cnfStyle w:val="100000000000" w:firstRow="1" w:lastRow="0" w:firstColumn="0" w:lastColumn="0" w:oddVBand="0" w:evenVBand="0" w:oddHBand="0" w:evenHBand="0" w:firstRowFirstColumn="0" w:firstRowLastColumn="0" w:lastRowFirstColumn="0" w:lastRowLastColumn="0"/>
            </w:pPr>
            <w:r w:rsidRPr="004752A0">
              <w:t>2016</w:t>
            </w:r>
          </w:p>
        </w:tc>
      </w:tr>
      <w:tr w:rsidR="00F139C0" w:rsidRPr="002279EF" w14:paraId="14E43B3A" w14:textId="77777777" w:rsidTr="005C538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70" w:type="dxa"/>
            <w:shd w:val="clear" w:color="auto" w:fill="0C2188"/>
          </w:tcPr>
          <w:p w14:paraId="21D0241C" w14:textId="6596A3CE" w:rsidR="00F139C0" w:rsidRPr="004752A0" w:rsidRDefault="00F139C0" w:rsidP="004752A0">
            <w:pPr>
              <w:jc w:val="both"/>
            </w:pPr>
            <w:r w:rsidRPr="004752A0">
              <w:t>Current Ratio</w:t>
            </w:r>
          </w:p>
        </w:tc>
        <w:tc>
          <w:tcPr>
            <w:tcW w:w="1870" w:type="dxa"/>
          </w:tcPr>
          <w:p w14:paraId="490607A9" w14:textId="29D24389" w:rsidR="00F139C0" w:rsidRPr="002279EF" w:rsidRDefault="00F139C0" w:rsidP="004752A0">
            <w:pPr>
              <w:jc w:val="both"/>
              <w:cnfStyle w:val="000000100000" w:firstRow="0" w:lastRow="0" w:firstColumn="0" w:lastColumn="0" w:oddVBand="0" w:evenVBand="0" w:oddHBand="1" w:evenHBand="0" w:firstRowFirstColumn="0" w:firstRowLastColumn="0" w:lastRowFirstColumn="0" w:lastRowLastColumn="0"/>
            </w:pPr>
            <w:r w:rsidRPr="002279EF">
              <w:t>2.84</w:t>
            </w:r>
          </w:p>
        </w:tc>
        <w:tc>
          <w:tcPr>
            <w:tcW w:w="1870" w:type="dxa"/>
          </w:tcPr>
          <w:p w14:paraId="0760AECC" w14:textId="7FBEC180" w:rsidR="00F139C0" w:rsidRPr="002279EF" w:rsidRDefault="00F139C0" w:rsidP="004752A0">
            <w:pPr>
              <w:jc w:val="both"/>
              <w:cnfStyle w:val="000000100000" w:firstRow="0" w:lastRow="0" w:firstColumn="0" w:lastColumn="0" w:oddVBand="0" w:evenVBand="0" w:oddHBand="1" w:evenHBand="0" w:firstRowFirstColumn="0" w:firstRowLastColumn="0" w:lastRowFirstColumn="0" w:lastRowLastColumn="0"/>
            </w:pPr>
            <w:r w:rsidRPr="002279EF">
              <w:t>2.53</w:t>
            </w:r>
          </w:p>
        </w:tc>
        <w:tc>
          <w:tcPr>
            <w:tcW w:w="1870" w:type="dxa"/>
          </w:tcPr>
          <w:p w14:paraId="231E77C4" w14:textId="6C70C978" w:rsidR="00F139C0" w:rsidRPr="002279EF" w:rsidRDefault="00F139C0" w:rsidP="004752A0">
            <w:pPr>
              <w:jc w:val="both"/>
              <w:cnfStyle w:val="000000100000" w:firstRow="0" w:lastRow="0" w:firstColumn="0" w:lastColumn="0" w:oddVBand="0" w:evenVBand="0" w:oddHBand="1" w:evenHBand="0" w:firstRowFirstColumn="0" w:firstRowLastColumn="0" w:lastRowFirstColumn="0" w:lastRowLastColumn="0"/>
            </w:pPr>
            <w:r w:rsidRPr="002279EF">
              <w:t>2.19</w:t>
            </w:r>
          </w:p>
        </w:tc>
        <w:tc>
          <w:tcPr>
            <w:tcW w:w="1870" w:type="dxa"/>
          </w:tcPr>
          <w:p w14:paraId="62E561C2" w14:textId="3A9372CE" w:rsidR="00F139C0" w:rsidRPr="002279EF" w:rsidRDefault="00F139C0" w:rsidP="004752A0">
            <w:pPr>
              <w:jc w:val="both"/>
              <w:cnfStyle w:val="000000100000" w:firstRow="0" w:lastRow="0" w:firstColumn="0" w:lastColumn="0" w:oddVBand="0" w:evenVBand="0" w:oddHBand="1" w:evenHBand="0" w:firstRowFirstColumn="0" w:firstRowLastColumn="0" w:lastRowFirstColumn="0" w:lastRowLastColumn="0"/>
            </w:pPr>
            <w:r w:rsidRPr="002279EF">
              <w:t>2.59</w:t>
            </w:r>
          </w:p>
        </w:tc>
      </w:tr>
      <w:tr w:rsidR="00F139C0" w:rsidRPr="002279EF" w14:paraId="032705D1" w14:textId="77777777" w:rsidTr="005C5381">
        <w:trPr>
          <w:trHeight w:val="283"/>
        </w:trPr>
        <w:tc>
          <w:tcPr>
            <w:cnfStyle w:val="001000000000" w:firstRow="0" w:lastRow="0" w:firstColumn="1" w:lastColumn="0" w:oddVBand="0" w:evenVBand="0" w:oddHBand="0" w:evenHBand="0" w:firstRowFirstColumn="0" w:firstRowLastColumn="0" w:lastRowFirstColumn="0" w:lastRowLastColumn="0"/>
            <w:tcW w:w="1870" w:type="dxa"/>
            <w:shd w:val="clear" w:color="auto" w:fill="0C2188"/>
          </w:tcPr>
          <w:p w14:paraId="12C0DB31" w14:textId="37591036" w:rsidR="00F139C0" w:rsidRPr="004752A0" w:rsidRDefault="00F139C0" w:rsidP="004752A0">
            <w:pPr>
              <w:jc w:val="both"/>
            </w:pPr>
            <w:r w:rsidRPr="004752A0">
              <w:t>Quick Ratio</w:t>
            </w:r>
          </w:p>
        </w:tc>
        <w:tc>
          <w:tcPr>
            <w:tcW w:w="1870" w:type="dxa"/>
          </w:tcPr>
          <w:p w14:paraId="0BA5A658" w14:textId="6A9B04C1" w:rsidR="00F139C0" w:rsidRPr="002279EF" w:rsidRDefault="00F139C0" w:rsidP="004752A0">
            <w:pPr>
              <w:jc w:val="both"/>
              <w:cnfStyle w:val="000000000000" w:firstRow="0" w:lastRow="0" w:firstColumn="0" w:lastColumn="0" w:oddVBand="0" w:evenVBand="0" w:oddHBand="0" w:evenHBand="0" w:firstRowFirstColumn="0" w:firstRowLastColumn="0" w:lastRowFirstColumn="0" w:lastRowLastColumn="0"/>
            </w:pPr>
            <w:r w:rsidRPr="002279EF">
              <w:t>2.42</w:t>
            </w:r>
          </w:p>
        </w:tc>
        <w:tc>
          <w:tcPr>
            <w:tcW w:w="1870" w:type="dxa"/>
          </w:tcPr>
          <w:p w14:paraId="6CEB32A4" w14:textId="6D0B1AA3" w:rsidR="00F139C0" w:rsidRPr="002279EF" w:rsidRDefault="00F139C0" w:rsidP="004752A0">
            <w:pPr>
              <w:jc w:val="both"/>
              <w:cnfStyle w:val="000000000000" w:firstRow="0" w:lastRow="0" w:firstColumn="0" w:lastColumn="0" w:oddVBand="0" w:evenVBand="0" w:oddHBand="0" w:evenHBand="0" w:firstRowFirstColumn="0" w:firstRowLastColumn="0" w:lastRowFirstColumn="0" w:lastRowLastColumn="0"/>
            </w:pPr>
            <w:r w:rsidRPr="002279EF">
              <w:t>2.11</w:t>
            </w:r>
          </w:p>
        </w:tc>
        <w:tc>
          <w:tcPr>
            <w:tcW w:w="1870" w:type="dxa"/>
          </w:tcPr>
          <w:p w14:paraId="1602B205" w14:textId="3F7DC2E0" w:rsidR="00F139C0" w:rsidRPr="002279EF" w:rsidRDefault="00F139C0" w:rsidP="004752A0">
            <w:pPr>
              <w:jc w:val="both"/>
              <w:cnfStyle w:val="000000000000" w:firstRow="0" w:lastRow="0" w:firstColumn="0" w:lastColumn="0" w:oddVBand="0" w:evenVBand="0" w:oddHBand="0" w:evenHBand="0" w:firstRowFirstColumn="0" w:firstRowLastColumn="0" w:lastRowFirstColumn="0" w:lastRowLastColumn="0"/>
            </w:pPr>
            <w:r w:rsidRPr="002279EF">
              <w:t>1.82</w:t>
            </w:r>
          </w:p>
        </w:tc>
        <w:tc>
          <w:tcPr>
            <w:tcW w:w="1870" w:type="dxa"/>
          </w:tcPr>
          <w:p w14:paraId="007427C9" w14:textId="75CB0931" w:rsidR="00F139C0" w:rsidRPr="002279EF" w:rsidRDefault="00F139C0" w:rsidP="004752A0">
            <w:pPr>
              <w:jc w:val="both"/>
              <w:cnfStyle w:val="000000000000" w:firstRow="0" w:lastRow="0" w:firstColumn="0" w:lastColumn="0" w:oddVBand="0" w:evenVBand="0" w:oddHBand="0" w:evenHBand="0" w:firstRowFirstColumn="0" w:firstRowLastColumn="0" w:lastRowFirstColumn="0" w:lastRowLastColumn="0"/>
            </w:pPr>
            <w:r w:rsidRPr="002279EF">
              <w:t>2.25</w:t>
            </w:r>
          </w:p>
        </w:tc>
      </w:tr>
      <w:tr w:rsidR="00F139C0" w:rsidRPr="002279EF" w14:paraId="42E96DC3" w14:textId="77777777" w:rsidTr="005C538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70" w:type="dxa"/>
            <w:shd w:val="clear" w:color="auto" w:fill="0C2188"/>
          </w:tcPr>
          <w:p w14:paraId="0B16D475" w14:textId="67DCD933" w:rsidR="00F139C0" w:rsidRPr="004752A0" w:rsidRDefault="00F139C0" w:rsidP="004752A0">
            <w:pPr>
              <w:jc w:val="both"/>
            </w:pPr>
            <w:r w:rsidRPr="004752A0">
              <w:t>Cash Ratio</w:t>
            </w:r>
          </w:p>
        </w:tc>
        <w:tc>
          <w:tcPr>
            <w:tcW w:w="1870" w:type="dxa"/>
          </w:tcPr>
          <w:p w14:paraId="05E14DF5" w14:textId="0D798E78" w:rsidR="00F139C0" w:rsidRPr="002279EF" w:rsidRDefault="00F139C0" w:rsidP="004752A0">
            <w:pPr>
              <w:jc w:val="both"/>
              <w:cnfStyle w:val="000000100000" w:firstRow="0" w:lastRow="0" w:firstColumn="0" w:lastColumn="0" w:oddVBand="0" w:evenVBand="0" w:oddHBand="1" w:evenHBand="0" w:firstRowFirstColumn="0" w:firstRowLastColumn="0" w:lastRowFirstColumn="0" w:lastRowLastColumn="0"/>
            </w:pPr>
            <w:r w:rsidRPr="002279EF">
              <w:t>1.71</w:t>
            </w:r>
          </w:p>
        </w:tc>
        <w:tc>
          <w:tcPr>
            <w:tcW w:w="1870" w:type="dxa"/>
          </w:tcPr>
          <w:p w14:paraId="2F7852BE" w14:textId="20B5C491" w:rsidR="00F139C0" w:rsidRPr="002279EF" w:rsidRDefault="00F139C0" w:rsidP="004752A0">
            <w:pPr>
              <w:jc w:val="both"/>
              <w:cnfStyle w:val="000000100000" w:firstRow="0" w:lastRow="0" w:firstColumn="0" w:lastColumn="0" w:oddVBand="0" w:evenVBand="0" w:oddHBand="1" w:evenHBand="0" w:firstRowFirstColumn="0" w:firstRowLastColumn="0" w:lastRowFirstColumn="0" w:lastRowLastColumn="0"/>
            </w:pPr>
            <w:r w:rsidRPr="002279EF">
              <w:t>1.46</w:t>
            </w:r>
          </w:p>
        </w:tc>
        <w:tc>
          <w:tcPr>
            <w:tcW w:w="1870" w:type="dxa"/>
          </w:tcPr>
          <w:p w14:paraId="360B203F" w14:textId="7E608F58" w:rsidR="00F139C0" w:rsidRPr="002279EF" w:rsidRDefault="00F139C0" w:rsidP="004752A0">
            <w:pPr>
              <w:jc w:val="both"/>
              <w:cnfStyle w:val="000000100000" w:firstRow="0" w:lastRow="0" w:firstColumn="0" w:lastColumn="0" w:oddVBand="0" w:evenVBand="0" w:oddHBand="1" w:evenHBand="0" w:firstRowFirstColumn="0" w:firstRowLastColumn="0" w:lastRowFirstColumn="0" w:lastRowLastColumn="0"/>
            </w:pPr>
            <w:r w:rsidRPr="002279EF">
              <w:t>1.24</w:t>
            </w:r>
          </w:p>
        </w:tc>
        <w:tc>
          <w:tcPr>
            <w:tcW w:w="1870" w:type="dxa"/>
          </w:tcPr>
          <w:p w14:paraId="63E0D21C" w14:textId="07AE0369" w:rsidR="00F139C0" w:rsidRPr="002279EF" w:rsidRDefault="00F139C0" w:rsidP="004752A0">
            <w:pPr>
              <w:jc w:val="both"/>
              <w:cnfStyle w:val="000000100000" w:firstRow="0" w:lastRow="0" w:firstColumn="0" w:lastColumn="0" w:oddVBand="0" w:evenVBand="0" w:oddHBand="1" w:evenHBand="0" w:firstRowFirstColumn="0" w:firstRowLastColumn="0" w:lastRowFirstColumn="0" w:lastRowLastColumn="0"/>
            </w:pPr>
            <w:r w:rsidRPr="002279EF">
              <w:t>1.61</w:t>
            </w:r>
          </w:p>
        </w:tc>
      </w:tr>
    </w:tbl>
    <w:p w14:paraId="021B4751" w14:textId="0AE40309" w:rsidR="004752A0" w:rsidRPr="00B456A6" w:rsidRDefault="00D55B0E" w:rsidP="001D02B2">
      <w:pPr>
        <w:spacing w:line="480" w:lineRule="auto"/>
        <w:jc w:val="both"/>
        <w:rPr>
          <w:b/>
          <w:bCs/>
          <w:i/>
          <w:iCs/>
        </w:rPr>
      </w:pPr>
      <w:r>
        <w:rPr>
          <w:noProof/>
        </w:rPr>
        <mc:AlternateContent>
          <mc:Choice Requires="wps">
            <w:drawing>
              <wp:anchor distT="0" distB="0" distL="114300" distR="114300" simplePos="0" relativeHeight="251687936" behindDoc="1" locked="0" layoutInCell="1" allowOverlap="1" wp14:anchorId="07375CE6" wp14:editId="7AB4E4AD">
                <wp:simplePos x="0" y="0"/>
                <wp:positionH relativeFrom="column">
                  <wp:posOffset>1856105</wp:posOffset>
                </wp:positionH>
                <wp:positionV relativeFrom="paragraph">
                  <wp:posOffset>2668778</wp:posOffset>
                </wp:positionV>
                <wp:extent cx="2258060" cy="304800"/>
                <wp:effectExtent l="0" t="0" r="2540" b="0"/>
                <wp:wrapTight wrapText="bothSides">
                  <wp:wrapPolygon edited="0">
                    <wp:start x="0" y="0"/>
                    <wp:lineTo x="0" y="20700"/>
                    <wp:lineTo x="21503" y="20700"/>
                    <wp:lineTo x="21503"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258060" cy="304800"/>
                        </a:xfrm>
                        <a:prstGeom prst="rect">
                          <a:avLst/>
                        </a:prstGeom>
                        <a:solidFill>
                          <a:schemeClr val="lt1"/>
                        </a:solidFill>
                        <a:ln w="6350">
                          <a:noFill/>
                        </a:ln>
                      </wps:spPr>
                      <wps:txbx>
                        <w:txbxContent>
                          <w:p w14:paraId="2A257B60" w14:textId="048D2772" w:rsidR="00265C28" w:rsidRPr="00FD2285" w:rsidRDefault="00265C28" w:rsidP="001D02B2">
                            <w:pPr>
                              <w:rPr>
                                <w:b/>
                                <w:bCs/>
                                <w:i/>
                                <w:iCs/>
                              </w:rPr>
                            </w:pPr>
                            <w:r>
                              <w:rPr>
                                <w:b/>
                                <w:bCs/>
                                <w:i/>
                                <w:iCs/>
                              </w:rPr>
                              <w:t>Figure 1: Current Ratio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75CE6" id="_x0000_t202" coordsize="21600,21600" o:spt="202" path="m,l,21600r21600,l21600,xe">
                <v:stroke joinstyle="miter"/>
                <v:path gradientshapeok="t" o:connecttype="rect"/>
              </v:shapetype>
              <v:shape id="Text Box 24" o:spid="_x0000_s1026" type="#_x0000_t202" style="position:absolute;left:0;text-align:left;margin-left:146.15pt;margin-top:210.15pt;width:177.8pt;height:2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" fillcolor="white [3201]" stroked="f" strokeweight=".5pt">
                <v:textbox>
                  <w:txbxContent>
                    <w:p w14:paraId="2A257B60" w14:textId="048D2772" w:rsidR="00265C28" w:rsidRPr="00FD2285" w:rsidRDefault="00265C28" w:rsidP="001D02B2">
                      <w:pPr>
                        <w:rPr>
                          <w:b/>
                          <w:bCs/>
                          <w:i/>
                          <w:iCs/>
                        </w:rPr>
                      </w:pPr>
                      <w:r>
                        <w:rPr>
                          <w:b/>
                          <w:bCs/>
                          <w:i/>
                          <w:iCs/>
                        </w:rPr>
                        <w:t>Figure 1: Current Ratio of SEC</w:t>
                      </w:r>
                    </w:p>
                  </w:txbxContent>
                </v:textbox>
                <w10:wrap type="tight"/>
              </v:shape>
            </w:pict>
          </mc:Fallback>
        </mc:AlternateContent>
      </w:r>
    </w:p>
    <w:p w14:paraId="4C83589F" w14:textId="7B277128" w:rsidR="00F03675" w:rsidRPr="002279EF" w:rsidRDefault="00F03675" w:rsidP="00AE7097">
      <w:pPr>
        <w:spacing w:line="480" w:lineRule="auto"/>
        <w:jc w:val="both"/>
      </w:pPr>
      <w:r w:rsidRPr="002279EF">
        <w:t>Current Ratio reveals how a company’s current assets can pay for its current liabilities, otherwise known as a measure of how well it can meet its short-term debts. The optimal ratio must be between 1.5 and 2.0,</w:t>
      </w:r>
      <w:r w:rsidR="00217978">
        <w:t xml:space="preserve"> and</w:t>
      </w:r>
      <w:r w:rsidRPr="002279EF">
        <w:t xml:space="preserve"> anything below 1.0 indicates that they are insufficient in meeting their current liabilities, while above 2.0 shows that they have enough to be solvent in the short-run. </w:t>
      </w:r>
      <w:r w:rsidR="008B2618">
        <w:t>SEC</w:t>
      </w:r>
      <w:r w:rsidRPr="002279EF">
        <w:t xml:space="preserve"> shows </w:t>
      </w:r>
      <w:r w:rsidR="00AE446F">
        <w:t xml:space="preserve">consistently high ratios over 4 years as they are all above 2.0, </w:t>
      </w:r>
      <w:r w:rsidRPr="002279EF">
        <w:t xml:space="preserve">and it has begun to increase even more from 2017. </w:t>
      </w:r>
      <w:r w:rsidR="001D02B2">
        <w:t>It</w:t>
      </w:r>
      <w:r w:rsidRPr="002279EF">
        <w:t xml:space="preserve"> </w:t>
      </w:r>
      <w:r w:rsidR="001D02B2">
        <w:t>signifies</w:t>
      </w:r>
      <w:r w:rsidRPr="002279EF">
        <w:t xml:space="preserve"> that they are capable of meeting their short-term obligations</w:t>
      </w:r>
      <w:r w:rsidR="00AE7097">
        <w:t xml:space="preserve">. </w:t>
      </w:r>
      <w:r w:rsidR="00AE446F">
        <w:t>Their capability</w:t>
      </w:r>
      <w:r w:rsidR="00AE7097">
        <w:t xml:space="preserve"> can be explained through </w:t>
      </w:r>
      <w:r w:rsidR="00AE446F">
        <w:t>the prioritization of</w:t>
      </w:r>
      <w:r w:rsidR="00AE7097">
        <w:t xml:space="preserve"> </w:t>
      </w:r>
      <w:r w:rsidR="008B2618">
        <w:t>SEC</w:t>
      </w:r>
      <w:r w:rsidR="00AE7097">
        <w:t xml:space="preserve"> </w:t>
      </w:r>
      <w:r w:rsidR="00AE446F">
        <w:t>in</w:t>
      </w:r>
      <w:r w:rsidR="00AE7097">
        <w:t xml:space="preserve"> liquidity</w:t>
      </w:r>
      <w:r w:rsidR="00AE446F">
        <w:t>,</w:t>
      </w:r>
      <w:r w:rsidR="00AE7097">
        <w:t xml:space="preserve"> as they have created strict management to prevent any worse situations</w:t>
      </w:r>
      <w:r w:rsidR="00AE446F">
        <w:t xml:space="preserve"> that can lead them to </w:t>
      </w:r>
      <w:r w:rsidR="002570CF">
        <w:t>be</w:t>
      </w:r>
      <w:r w:rsidR="00AE446F">
        <w:t xml:space="preserve"> illiquid</w:t>
      </w:r>
      <w:r w:rsidR="00BB2B48">
        <w:t xml:space="preserve"> </w:t>
      </w:r>
      <w:sdt>
        <w:sdtPr>
          <w:id w:val="596218601"/>
          <w:citation/>
        </w:sdtPr>
        <w:sdtEndPr/>
        <w:sdtContent>
          <w:r w:rsidR="00AE7097">
            <w:fldChar w:fldCharType="begin"/>
          </w:r>
          <w:r w:rsidR="00AE7097">
            <w:instrText xml:space="preserve"> CITATION SAM \l 1033 </w:instrText>
          </w:r>
          <w:r w:rsidR="00AE7097">
            <w:fldChar w:fldCharType="separate"/>
          </w:r>
          <w:r w:rsidR="00D55B0E">
            <w:rPr>
              <w:noProof/>
            </w:rPr>
            <w:t>(SAMSUNG, 2019)</w:t>
          </w:r>
          <w:r w:rsidR="00AE7097">
            <w:fldChar w:fldCharType="end"/>
          </w:r>
        </w:sdtContent>
      </w:sdt>
      <w:r w:rsidR="00AE7097">
        <w:t xml:space="preserve">. </w:t>
      </w:r>
    </w:p>
    <w:p w14:paraId="142E0E48" w14:textId="5F2B7399" w:rsidR="005B5B55" w:rsidRDefault="0087559F" w:rsidP="001D5A67">
      <w:pPr>
        <w:spacing w:line="480" w:lineRule="auto"/>
      </w:pPr>
      <w:r>
        <w:rPr>
          <w:noProof/>
        </w:rPr>
        <mc:AlternateContent>
          <mc:Choice Requires="wps">
            <w:drawing>
              <wp:anchor distT="0" distB="0" distL="114300" distR="114300" simplePos="0" relativeHeight="251689984" behindDoc="0" locked="0" layoutInCell="1" allowOverlap="1" wp14:anchorId="3C11A495" wp14:editId="4BFBD56E">
                <wp:simplePos x="0" y="0"/>
                <wp:positionH relativeFrom="column">
                  <wp:posOffset>1801495</wp:posOffset>
                </wp:positionH>
                <wp:positionV relativeFrom="paragraph">
                  <wp:posOffset>2871470</wp:posOffset>
                </wp:positionV>
                <wp:extent cx="2287270" cy="313690"/>
                <wp:effectExtent l="0" t="0" r="0" b="3810"/>
                <wp:wrapTight wrapText="bothSides">
                  <wp:wrapPolygon edited="0">
                    <wp:start x="0" y="0"/>
                    <wp:lineTo x="0" y="20988"/>
                    <wp:lineTo x="21468" y="20988"/>
                    <wp:lineTo x="2146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287270" cy="313690"/>
                        </a:xfrm>
                        <a:prstGeom prst="rect">
                          <a:avLst/>
                        </a:prstGeom>
                        <a:solidFill>
                          <a:schemeClr val="lt1"/>
                        </a:solidFill>
                        <a:ln w="6350">
                          <a:noFill/>
                        </a:ln>
                      </wps:spPr>
                      <wps:txbx>
                        <w:txbxContent>
                          <w:p w14:paraId="2FA2261D" w14:textId="202C3353" w:rsidR="00AE446F" w:rsidRPr="00FD2285" w:rsidRDefault="00AE446F" w:rsidP="00AE446F">
                            <w:pPr>
                              <w:rPr>
                                <w:b/>
                                <w:bCs/>
                                <w:i/>
                                <w:iCs/>
                              </w:rPr>
                            </w:pPr>
                            <w:r>
                              <w:rPr>
                                <w:b/>
                                <w:bCs/>
                                <w:i/>
                                <w:iCs/>
                              </w:rPr>
                              <w:t>Figure 2: Quick Ratio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1A495" id="Text Box 13" o:spid="_x0000_s1027" type="#_x0000_t202" style="position:absolute;margin-left:141.85pt;margin-top:226.1pt;width:180.1pt;height:2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" fillcolor="white [3201]" stroked="f" strokeweight=".5pt">
                <v:textbox>
                  <w:txbxContent>
                    <w:p w14:paraId="2FA2261D" w14:textId="202C3353" w:rsidR="00AE446F" w:rsidRPr="00FD2285" w:rsidRDefault="00AE446F" w:rsidP="00AE446F">
                      <w:pPr>
                        <w:rPr>
                          <w:b/>
                          <w:bCs/>
                          <w:i/>
                          <w:iCs/>
                        </w:rPr>
                      </w:pPr>
                      <w:r>
                        <w:rPr>
                          <w:b/>
                          <w:bCs/>
                          <w:i/>
                          <w:iCs/>
                        </w:rPr>
                        <w:t>Figure 2: Quick Ratio of SEC</w:t>
                      </w:r>
                    </w:p>
                  </w:txbxContent>
                </v:textbox>
                <w10:wrap type="tight"/>
              </v:shape>
            </w:pict>
          </mc:Fallback>
        </mc:AlternateContent>
      </w:r>
      <w:r>
        <w:rPr>
          <w:noProof/>
        </w:rPr>
        <w:drawing>
          <wp:anchor distT="0" distB="0" distL="114300" distR="114300" simplePos="0" relativeHeight="251665408" behindDoc="0" locked="0" layoutInCell="1" allowOverlap="1" wp14:anchorId="0D4B12C6" wp14:editId="3A646E5B">
            <wp:simplePos x="0" y="0"/>
            <wp:positionH relativeFrom="column">
              <wp:posOffset>88900</wp:posOffset>
            </wp:positionH>
            <wp:positionV relativeFrom="paragraph">
              <wp:posOffset>99060</wp:posOffset>
            </wp:positionV>
            <wp:extent cx="5666105" cy="2772410"/>
            <wp:effectExtent l="0" t="0" r="10795" b="8890"/>
            <wp:wrapTight wrapText="bothSides">
              <wp:wrapPolygon edited="0">
                <wp:start x="0" y="0"/>
                <wp:lineTo x="0" y="21570"/>
                <wp:lineTo x="21593" y="21570"/>
                <wp:lineTo x="21593" y="0"/>
                <wp:lineTo x="0" y="0"/>
              </wp:wrapPolygon>
            </wp:wrapTight>
            <wp:docPr id="2" name="Chart 2">
              <a:extLst xmlns:a="http://schemas.openxmlformats.org/drawingml/2006/main">
                <a:ext uri="{FF2B5EF4-FFF2-40B4-BE49-F238E27FC236}">
                  <a16:creationId xmlns:a16="http://schemas.microsoft.com/office/drawing/2014/main" id="{22B76087-D191-DA41-A8E0-F874F60A9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652CEBB8" w14:textId="58BB8812" w:rsidR="00BB2B48" w:rsidRDefault="0087559F" w:rsidP="00AE446F">
      <w:pPr>
        <w:spacing w:line="480" w:lineRule="auto"/>
      </w:pPr>
      <w:r>
        <w:rPr>
          <w:noProof/>
        </w:rPr>
        <w:drawing>
          <wp:anchor distT="0" distB="0" distL="114300" distR="114300" simplePos="0" relativeHeight="251669504" behindDoc="0" locked="0" layoutInCell="1" allowOverlap="1" wp14:anchorId="3E0957FA" wp14:editId="209A9CC5">
            <wp:simplePos x="0" y="0"/>
            <wp:positionH relativeFrom="column">
              <wp:posOffset>39370</wp:posOffset>
            </wp:positionH>
            <wp:positionV relativeFrom="paragraph">
              <wp:posOffset>2146300</wp:posOffset>
            </wp:positionV>
            <wp:extent cx="5833745" cy="2404745"/>
            <wp:effectExtent l="0" t="0" r="8255" b="8255"/>
            <wp:wrapTight wrapText="bothSides">
              <wp:wrapPolygon edited="0">
                <wp:start x="0" y="0"/>
                <wp:lineTo x="0" y="21560"/>
                <wp:lineTo x="21584" y="21560"/>
                <wp:lineTo x="21584" y="0"/>
                <wp:lineTo x="0" y="0"/>
              </wp:wrapPolygon>
            </wp:wrapTight>
            <wp:docPr id="3" name="Chart 3">
              <a:extLst xmlns:a="http://schemas.openxmlformats.org/drawingml/2006/main">
                <a:ext uri="{FF2B5EF4-FFF2-40B4-BE49-F238E27FC236}">
                  <a16:creationId xmlns:a16="http://schemas.microsoft.com/office/drawing/2014/main" id="{B8DD8C7A-A8A0-DB49-83FF-4E481A44C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sidR="005B5B55">
        <w:rPr>
          <w:noProof/>
        </w:rPr>
        <mc:AlternateContent>
          <mc:Choice Requires="wps">
            <w:drawing>
              <wp:anchor distT="0" distB="0" distL="114300" distR="114300" simplePos="0" relativeHeight="251666432" behindDoc="0" locked="0" layoutInCell="1" allowOverlap="1" wp14:anchorId="59516D73" wp14:editId="02C538F1">
                <wp:simplePos x="0" y="0"/>
                <wp:positionH relativeFrom="column">
                  <wp:posOffset>1957070</wp:posOffset>
                </wp:positionH>
                <wp:positionV relativeFrom="paragraph">
                  <wp:posOffset>2673609</wp:posOffset>
                </wp:positionV>
                <wp:extent cx="2137410" cy="321945"/>
                <wp:effectExtent l="0" t="0" r="0" b="0"/>
                <wp:wrapTight wrapText="bothSides">
                  <wp:wrapPolygon edited="0">
                    <wp:start x="0" y="0"/>
                    <wp:lineTo x="0" y="20450"/>
                    <wp:lineTo x="21433" y="20450"/>
                    <wp:lineTo x="2143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137410" cy="321945"/>
                        </a:xfrm>
                        <a:prstGeom prst="rect">
                          <a:avLst/>
                        </a:prstGeom>
                        <a:solidFill>
                          <a:schemeClr val="lt1"/>
                        </a:solidFill>
                        <a:ln w="6350">
                          <a:noFill/>
                        </a:ln>
                      </wps:spPr>
                      <wps:txbx>
                        <w:txbxContent>
                          <w:p w14:paraId="529E689D" w14:textId="722ABC9E" w:rsidR="00265C28" w:rsidRPr="00BB2B48" w:rsidRDefault="00265C28">
                            <w:pPr>
                              <w:rPr>
                                <w:b/>
                                <w:bCs/>
                                <w:i/>
                                <w:iCs/>
                              </w:rPr>
                            </w:pPr>
                            <w:r w:rsidRPr="00BB2B48">
                              <w:rPr>
                                <w:b/>
                                <w:bCs/>
                                <w:i/>
                                <w:iCs/>
                              </w:rPr>
                              <w:t xml:space="preserve">Figure 2: Quick Ratio of </w:t>
                            </w:r>
                            <w:r>
                              <w:rPr>
                                <w:b/>
                                <w:bCs/>
                                <w:i/>
                                <w:iCs/>
                              </w:rPr>
                              <w:t>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16D73" id="Text Box 7" o:spid="_x0000_s1028" type="#_x0000_t202" style="position:absolute;margin-left:154.1pt;margin-top:210.5pt;width:168.3pt;height:2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" fillcolor="white [3201]" stroked="f" strokeweight=".5pt">
                <v:textbox>
                  <w:txbxContent>
                    <w:p w14:paraId="529E689D" w14:textId="722ABC9E" w:rsidR="00265C28" w:rsidRPr="00BB2B48" w:rsidRDefault="00265C28">
                      <w:pPr>
                        <w:rPr>
                          <w:b/>
                          <w:bCs/>
                          <w:i/>
                          <w:iCs/>
                        </w:rPr>
                      </w:pPr>
                      <w:r w:rsidRPr="00BB2B48">
                        <w:rPr>
                          <w:b/>
                          <w:bCs/>
                          <w:i/>
                          <w:iCs/>
                        </w:rPr>
                        <w:t xml:space="preserve">Figure 2: Quick Ratio of </w:t>
                      </w:r>
                      <w:r>
                        <w:rPr>
                          <w:b/>
                          <w:bCs/>
                          <w:i/>
                          <w:iCs/>
                        </w:rPr>
                        <w:t>SEC</w:t>
                      </w:r>
                    </w:p>
                  </w:txbxContent>
                </v:textbox>
                <w10:wrap type="tight"/>
              </v:shape>
            </w:pict>
          </mc:Fallback>
        </mc:AlternateContent>
      </w:r>
      <w:r w:rsidR="00F03675" w:rsidRPr="002279EF">
        <w:t xml:space="preserve">Quick Ratio shows a clearer insight </w:t>
      </w:r>
      <w:r w:rsidR="002570CF">
        <w:t>into</w:t>
      </w:r>
      <w:r w:rsidR="00F03675" w:rsidRPr="002279EF">
        <w:t xml:space="preserve"> how </w:t>
      </w:r>
      <w:r w:rsidR="008E6788" w:rsidRPr="002279EF">
        <w:t xml:space="preserve">liquid a </w:t>
      </w:r>
      <w:r w:rsidR="00F03675" w:rsidRPr="002279EF">
        <w:t xml:space="preserve">company </w:t>
      </w:r>
      <w:r w:rsidR="008E6788" w:rsidRPr="002279EF">
        <w:t xml:space="preserve">is </w:t>
      </w:r>
      <w:r w:rsidR="00AE446F">
        <w:t>when</w:t>
      </w:r>
      <w:r w:rsidR="00F03675" w:rsidRPr="002279EF">
        <w:t xml:space="preserve"> meet</w:t>
      </w:r>
      <w:r w:rsidR="008E6788" w:rsidRPr="002279EF">
        <w:t>ing</w:t>
      </w:r>
      <w:r w:rsidR="00F03675" w:rsidRPr="002279EF">
        <w:t xml:space="preserve"> its current liabilities </w:t>
      </w:r>
      <w:r w:rsidR="00AE446F">
        <w:t xml:space="preserve">as only </w:t>
      </w:r>
      <w:r w:rsidR="008E6788" w:rsidRPr="002279EF">
        <w:t>its trade receivables and cash</w:t>
      </w:r>
      <w:r w:rsidR="00AE446F">
        <w:t xml:space="preserve"> are considered</w:t>
      </w:r>
      <w:r w:rsidR="008E6788" w:rsidRPr="002279EF">
        <w:t xml:space="preserve">, </w:t>
      </w:r>
      <w:r w:rsidR="00AE446F">
        <w:t xml:space="preserve">as it </w:t>
      </w:r>
      <w:r w:rsidR="008E6788" w:rsidRPr="002279EF">
        <w:t>exclud</w:t>
      </w:r>
      <w:r w:rsidR="00AE446F">
        <w:t>es</w:t>
      </w:r>
      <w:r w:rsidR="008E6788" w:rsidRPr="002279EF">
        <w:t xml:space="preserve"> inventory</w:t>
      </w:r>
      <w:r w:rsidR="001D02B2">
        <w:t xml:space="preserve">. </w:t>
      </w:r>
      <w:r w:rsidR="008B2618">
        <w:t>SEC</w:t>
      </w:r>
      <w:r w:rsidR="008E6788" w:rsidRPr="002279EF">
        <w:t xml:space="preserve"> doesn’t appear to struggle in meeting </w:t>
      </w:r>
      <w:r w:rsidR="002570CF">
        <w:t>its</w:t>
      </w:r>
      <w:r w:rsidR="008E6788" w:rsidRPr="002279EF">
        <w:t xml:space="preserve"> short-term debts within 4 years</w:t>
      </w:r>
      <w:r w:rsidR="00AE446F">
        <w:t xml:space="preserve"> from 2016 to 2019</w:t>
      </w:r>
      <w:r w:rsidR="008E6788" w:rsidRPr="002279EF">
        <w:t xml:space="preserve">, </w:t>
      </w:r>
      <w:r w:rsidR="001D02B2">
        <w:t xml:space="preserve">as </w:t>
      </w:r>
      <w:r w:rsidR="008E6788" w:rsidRPr="002279EF">
        <w:t>the ratio has not fallen below 1</w:t>
      </w:r>
      <w:r w:rsidR="00AE446F">
        <w:t xml:space="preserve"> ever since</w:t>
      </w:r>
      <w:r w:rsidR="008E6788" w:rsidRPr="002279EF">
        <w:t xml:space="preserve">. </w:t>
      </w:r>
      <w:r w:rsidR="00AE446F">
        <w:t xml:space="preserve">Not only does it show that SEC has good liquidity management but it also shows how effective they are in improving their liquidity position due to the rise of the ratio 1.87 in 2017 to 2.42 in 2019. </w:t>
      </w:r>
    </w:p>
    <w:p w14:paraId="074F3B13" w14:textId="3F018C4F" w:rsidR="005B5B55" w:rsidRDefault="00AE446F" w:rsidP="001D02B2">
      <w:pPr>
        <w:spacing w:line="480" w:lineRule="auto"/>
        <w:jc w:val="both"/>
      </w:pPr>
      <w:r>
        <w:rPr>
          <w:noProof/>
        </w:rPr>
        <mc:AlternateContent>
          <mc:Choice Requires="wps">
            <w:drawing>
              <wp:anchor distT="0" distB="0" distL="114300" distR="114300" simplePos="0" relativeHeight="251670528" behindDoc="0" locked="0" layoutInCell="1" allowOverlap="1" wp14:anchorId="3A44E28B" wp14:editId="6FED3D3D">
                <wp:simplePos x="0" y="0"/>
                <wp:positionH relativeFrom="column">
                  <wp:posOffset>1828800</wp:posOffset>
                </wp:positionH>
                <wp:positionV relativeFrom="paragraph">
                  <wp:posOffset>2511425</wp:posOffset>
                </wp:positionV>
                <wp:extent cx="2047240" cy="244475"/>
                <wp:effectExtent l="0" t="0" r="0" b="0"/>
                <wp:wrapTight wrapText="bothSides">
                  <wp:wrapPolygon edited="0">
                    <wp:start x="0" y="0"/>
                    <wp:lineTo x="0" y="20197"/>
                    <wp:lineTo x="21439" y="20197"/>
                    <wp:lineTo x="21439"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047240" cy="244475"/>
                        </a:xfrm>
                        <a:prstGeom prst="rect">
                          <a:avLst/>
                        </a:prstGeom>
                        <a:solidFill>
                          <a:schemeClr val="lt1"/>
                        </a:solidFill>
                        <a:ln w="6350">
                          <a:noFill/>
                        </a:ln>
                      </wps:spPr>
                      <wps:txbx>
                        <w:txbxContent>
                          <w:p w14:paraId="406548C3" w14:textId="238DC92E" w:rsidR="00265C28" w:rsidRPr="00FD2285" w:rsidRDefault="00265C28">
                            <w:pPr>
                              <w:rPr>
                                <w:b/>
                                <w:bCs/>
                                <w:i/>
                                <w:iCs/>
                              </w:rPr>
                            </w:pPr>
                            <w:r>
                              <w:rPr>
                                <w:b/>
                                <w:bCs/>
                                <w:i/>
                                <w:iCs/>
                              </w:rPr>
                              <w:t>Figure 3: Cash Ratio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4E28B" id="Text Box 14" o:spid="_x0000_s1029" type="#_x0000_t202" style="position:absolute;left:0;text-align:left;margin-left:2in;margin-top:197.75pt;width:161.2pt;height:1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" fillcolor="white [3201]" stroked="f" strokeweight=".5pt">
                <v:textbox>
                  <w:txbxContent>
                    <w:p w14:paraId="406548C3" w14:textId="238DC92E" w:rsidR="00265C28" w:rsidRPr="00FD2285" w:rsidRDefault="00265C28">
                      <w:pPr>
                        <w:rPr>
                          <w:b/>
                          <w:bCs/>
                          <w:i/>
                          <w:iCs/>
                        </w:rPr>
                      </w:pPr>
                      <w:r>
                        <w:rPr>
                          <w:b/>
                          <w:bCs/>
                          <w:i/>
                          <w:iCs/>
                        </w:rPr>
                        <w:t>Figure 3: Cash Ratio of SEC</w:t>
                      </w:r>
                    </w:p>
                  </w:txbxContent>
                </v:textbox>
                <w10:wrap type="tight"/>
              </v:shape>
            </w:pict>
          </mc:Fallback>
        </mc:AlternateContent>
      </w:r>
    </w:p>
    <w:p w14:paraId="4C597B76" w14:textId="5773A4C9" w:rsidR="004B4661" w:rsidRDefault="008E6788" w:rsidP="001D02B2">
      <w:pPr>
        <w:spacing w:line="480" w:lineRule="auto"/>
        <w:jc w:val="both"/>
      </w:pPr>
      <w:r w:rsidRPr="002279EF">
        <w:t>The cash ratio measures the liquidity of a company through how its cash and cash equivalents can meet its current liabilities.</w:t>
      </w:r>
      <w:r w:rsidR="004B4661">
        <w:t xml:space="preserve"> I</w:t>
      </w:r>
      <w:r w:rsidRPr="002279EF">
        <w:t>t considers a company’s most liquid assets</w:t>
      </w:r>
      <w:r w:rsidR="004B4661">
        <w:t xml:space="preserve"> on how it can</w:t>
      </w:r>
      <w:r w:rsidRPr="002279EF">
        <w:t xml:space="preserve"> meet </w:t>
      </w:r>
      <w:r w:rsidR="002570CF">
        <w:t>its</w:t>
      </w:r>
      <w:r w:rsidRPr="002279EF">
        <w:t xml:space="preserve"> short-term debts. </w:t>
      </w:r>
      <w:r w:rsidR="001D02B2">
        <w:t xml:space="preserve">Although the ratio had dropped from 1.61 in 2016 to 1.24 in 2017, it quickly recovered as it had risen to 1.71 in 2019. </w:t>
      </w:r>
    </w:p>
    <w:p w14:paraId="49AFE3A1" w14:textId="77777777" w:rsidR="0023037A" w:rsidRDefault="0023037A" w:rsidP="001D02B2">
      <w:pPr>
        <w:spacing w:line="480" w:lineRule="auto"/>
        <w:jc w:val="both"/>
      </w:pPr>
    </w:p>
    <w:p w14:paraId="173CEE18" w14:textId="718554EA" w:rsidR="00224938" w:rsidRPr="008B2618" w:rsidRDefault="001D02B2" w:rsidP="00224938">
      <w:pPr>
        <w:spacing w:line="480" w:lineRule="auto"/>
        <w:jc w:val="both"/>
      </w:pPr>
      <w:r>
        <w:t xml:space="preserve">The Liquidity ratios of </w:t>
      </w:r>
      <w:r w:rsidR="008B2618">
        <w:t>SEC</w:t>
      </w:r>
      <w:r>
        <w:t xml:space="preserve"> shows that they have managed their working capital effectively as </w:t>
      </w:r>
      <w:r w:rsidR="008B2618">
        <w:t xml:space="preserve">it has suggested that their current assets always exceed their current liabilities. Moreover, the ratios had not fallen under 1 since 2016, which indicates that they have effective liquidity management. </w:t>
      </w:r>
      <w:r w:rsidR="00AE446F">
        <w:t xml:space="preserve">Through their management, the chances of being bankrupt </w:t>
      </w:r>
      <w:r w:rsidR="002570CF">
        <w:t>are</w:t>
      </w:r>
      <w:r w:rsidR="00AE446F">
        <w:t xml:space="preserve"> extremely low for the company, which can be attractive for investors to know. </w:t>
      </w:r>
      <w:r w:rsidR="008B2618">
        <w:t>Finally, SEC appeared to be at its best liquidity position in 2019</w:t>
      </w:r>
      <w:r w:rsidR="00AE446F">
        <w:t xml:space="preserve">, </w:t>
      </w:r>
      <w:r w:rsidR="00224938">
        <w:t>with the ratios of 2.84, 2.42</w:t>
      </w:r>
      <w:r w:rsidR="002570CF">
        <w:t>,</w:t>
      </w:r>
      <w:r w:rsidR="00224938">
        <w:t xml:space="preserve"> and 1.71 in their current, quick</w:t>
      </w:r>
      <w:r w:rsidR="002570CF">
        <w:t>,</w:t>
      </w:r>
      <w:r w:rsidR="00224938">
        <w:t xml:space="preserve"> and cash ratios respectively, which are the highest as compared to the previous 3 years of the company. </w:t>
      </w:r>
    </w:p>
    <w:p w14:paraId="2A91B199" w14:textId="741858D4" w:rsidR="00B456A6" w:rsidRPr="005C5381" w:rsidRDefault="00224938" w:rsidP="00B456A6">
      <w:pPr>
        <w:spacing w:line="480" w:lineRule="auto"/>
        <w:jc w:val="both"/>
        <w:rPr>
          <w:b/>
          <w:bCs/>
          <w:color w:val="0C2188"/>
        </w:rPr>
      </w:pPr>
      <w:r w:rsidRPr="004B4661">
        <w:rPr>
          <w:rFonts w:asciiTheme="majorBidi" w:hAnsiTheme="majorBidi" w:cstheme="majorBidi"/>
          <w:noProof/>
        </w:rPr>
        <w:drawing>
          <wp:anchor distT="0" distB="0" distL="114300" distR="114300" simplePos="0" relativeHeight="251655168" behindDoc="1" locked="0" layoutInCell="1" allowOverlap="1" wp14:anchorId="4A72417D" wp14:editId="027A1595">
            <wp:simplePos x="0" y="0"/>
            <wp:positionH relativeFrom="column">
              <wp:posOffset>-13335</wp:posOffset>
            </wp:positionH>
            <wp:positionV relativeFrom="paragraph">
              <wp:posOffset>1177290</wp:posOffset>
            </wp:positionV>
            <wp:extent cx="5859780" cy="2529840"/>
            <wp:effectExtent l="0" t="0" r="7620" b="10160"/>
            <wp:wrapTight wrapText="bothSides">
              <wp:wrapPolygon edited="0">
                <wp:start x="0" y="0"/>
                <wp:lineTo x="0" y="21578"/>
                <wp:lineTo x="21581" y="21578"/>
                <wp:lineTo x="21581" y="0"/>
                <wp:lineTo x="0" y="0"/>
              </wp:wrapPolygon>
            </wp:wrapTight>
            <wp:docPr id="4" name="Chart 4">
              <a:extLst xmlns:a="http://schemas.openxmlformats.org/drawingml/2006/main">
                <a:ext uri="{FF2B5EF4-FFF2-40B4-BE49-F238E27FC236}">
                  <a16:creationId xmlns:a16="http://schemas.microsoft.com/office/drawing/2014/main" id="{363CEC81-5A74-164E-BBF9-B911819159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732F9E" w:rsidRPr="005C5381">
        <w:rPr>
          <w:b/>
          <w:bCs/>
          <w:color w:val="0C2188"/>
        </w:rPr>
        <w:t xml:space="preserve">Table 3: Activity Ratios </w:t>
      </w:r>
      <w:proofErr w:type="spellStart"/>
      <w:r w:rsidR="00732F9E" w:rsidRPr="005C5381">
        <w:rPr>
          <w:b/>
          <w:bCs/>
          <w:color w:val="0C2188"/>
        </w:rPr>
        <w:t>Ratios</w:t>
      </w:r>
      <w:proofErr w:type="spellEnd"/>
      <w:r w:rsidR="00732F9E" w:rsidRPr="005C5381">
        <w:rPr>
          <w:b/>
          <w:bCs/>
          <w:color w:val="0C2188"/>
        </w:rPr>
        <w:t xml:space="preserve"> of </w:t>
      </w:r>
      <w:r w:rsidR="008B2618" w:rsidRPr="005C5381">
        <w:rPr>
          <w:b/>
          <w:bCs/>
          <w:color w:val="0C2188"/>
        </w:rPr>
        <w:t>SEC</w:t>
      </w:r>
    </w:p>
    <w:tbl>
      <w:tblPr>
        <w:tblStyle w:val="GridTable5Dark-Accent1"/>
        <w:tblW w:w="0" w:type="auto"/>
        <w:tblLook w:val="04A0" w:firstRow="1" w:lastRow="0" w:firstColumn="1" w:lastColumn="0" w:noHBand="0" w:noVBand="1"/>
      </w:tblPr>
      <w:tblGrid>
        <w:gridCol w:w="2405"/>
        <w:gridCol w:w="1701"/>
        <w:gridCol w:w="1843"/>
        <w:gridCol w:w="1701"/>
        <w:gridCol w:w="1700"/>
      </w:tblGrid>
      <w:tr w:rsidR="00B456A6" w:rsidRPr="00B456A6" w14:paraId="0D519C61" w14:textId="77777777" w:rsidTr="005C5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0C2188"/>
          </w:tcPr>
          <w:p w14:paraId="7AD761A7" w14:textId="6AC8C3A0" w:rsidR="00B456A6" w:rsidRPr="00B456A6" w:rsidRDefault="00B456A6" w:rsidP="00B456A6">
            <w:pPr>
              <w:jc w:val="both"/>
            </w:pPr>
            <w:r>
              <w:t>Ratio/Year</w:t>
            </w:r>
          </w:p>
        </w:tc>
        <w:tc>
          <w:tcPr>
            <w:tcW w:w="1701" w:type="dxa"/>
            <w:shd w:val="clear" w:color="auto" w:fill="0C2188"/>
          </w:tcPr>
          <w:p w14:paraId="33CA352F" w14:textId="2A47C238" w:rsidR="00B456A6" w:rsidRPr="00B456A6" w:rsidRDefault="00B456A6" w:rsidP="00B456A6">
            <w:pPr>
              <w:jc w:val="both"/>
              <w:cnfStyle w:val="100000000000" w:firstRow="1" w:lastRow="0" w:firstColumn="0" w:lastColumn="0" w:oddVBand="0" w:evenVBand="0" w:oddHBand="0" w:evenHBand="0" w:firstRowFirstColumn="0" w:firstRowLastColumn="0" w:lastRowFirstColumn="0" w:lastRowLastColumn="0"/>
            </w:pPr>
            <w:r>
              <w:t>2019</w:t>
            </w:r>
          </w:p>
        </w:tc>
        <w:tc>
          <w:tcPr>
            <w:tcW w:w="1843" w:type="dxa"/>
            <w:shd w:val="clear" w:color="auto" w:fill="0C2188"/>
          </w:tcPr>
          <w:p w14:paraId="6F672D1B" w14:textId="7776FB76" w:rsidR="00B456A6" w:rsidRPr="00B456A6" w:rsidRDefault="00B456A6" w:rsidP="00B456A6">
            <w:pPr>
              <w:jc w:val="both"/>
              <w:cnfStyle w:val="100000000000" w:firstRow="1" w:lastRow="0" w:firstColumn="0" w:lastColumn="0" w:oddVBand="0" w:evenVBand="0" w:oddHBand="0" w:evenHBand="0" w:firstRowFirstColumn="0" w:firstRowLastColumn="0" w:lastRowFirstColumn="0" w:lastRowLastColumn="0"/>
            </w:pPr>
            <w:r>
              <w:t>2018</w:t>
            </w:r>
          </w:p>
        </w:tc>
        <w:tc>
          <w:tcPr>
            <w:tcW w:w="1701" w:type="dxa"/>
            <w:shd w:val="clear" w:color="auto" w:fill="0C2188"/>
          </w:tcPr>
          <w:p w14:paraId="643A4743" w14:textId="3CFEB786" w:rsidR="00B456A6" w:rsidRPr="00B456A6" w:rsidRDefault="00B456A6" w:rsidP="00B456A6">
            <w:pPr>
              <w:jc w:val="both"/>
              <w:cnfStyle w:val="100000000000" w:firstRow="1" w:lastRow="0" w:firstColumn="0" w:lastColumn="0" w:oddVBand="0" w:evenVBand="0" w:oddHBand="0" w:evenHBand="0" w:firstRowFirstColumn="0" w:firstRowLastColumn="0" w:lastRowFirstColumn="0" w:lastRowLastColumn="0"/>
            </w:pPr>
            <w:r>
              <w:t>2017</w:t>
            </w:r>
          </w:p>
        </w:tc>
        <w:tc>
          <w:tcPr>
            <w:tcW w:w="1700" w:type="dxa"/>
            <w:shd w:val="clear" w:color="auto" w:fill="0C2188"/>
          </w:tcPr>
          <w:p w14:paraId="2ACCC941" w14:textId="44D5E63D" w:rsidR="00B456A6" w:rsidRPr="00B456A6" w:rsidRDefault="00B456A6" w:rsidP="00B456A6">
            <w:pPr>
              <w:jc w:val="both"/>
              <w:cnfStyle w:val="100000000000" w:firstRow="1" w:lastRow="0" w:firstColumn="0" w:lastColumn="0" w:oddVBand="0" w:evenVBand="0" w:oddHBand="0" w:evenHBand="0" w:firstRowFirstColumn="0" w:firstRowLastColumn="0" w:lastRowFirstColumn="0" w:lastRowLastColumn="0"/>
            </w:pPr>
            <w:r>
              <w:t>2016</w:t>
            </w:r>
          </w:p>
        </w:tc>
      </w:tr>
      <w:tr w:rsidR="00B456A6" w:rsidRPr="00B456A6" w14:paraId="0518CF80" w14:textId="77777777" w:rsidTr="005C5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0C2188"/>
          </w:tcPr>
          <w:p w14:paraId="0EE8FFF2" w14:textId="12E1A2DE" w:rsidR="00B456A6" w:rsidRPr="00B456A6" w:rsidRDefault="00B456A6" w:rsidP="00B456A6">
            <w:pPr>
              <w:jc w:val="both"/>
            </w:pPr>
            <w:r>
              <w:t>Inventory Turnover</w:t>
            </w:r>
          </w:p>
        </w:tc>
        <w:tc>
          <w:tcPr>
            <w:tcW w:w="1701" w:type="dxa"/>
          </w:tcPr>
          <w:p w14:paraId="1BAF9E10" w14:textId="43ADD397" w:rsidR="00B456A6" w:rsidRPr="00B456A6" w:rsidRDefault="00B456A6" w:rsidP="00B456A6">
            <w:pPr>
              <w:jc w:val="both"/>
              <w:cnfStyle w:val="000000100000" w:firstRow="0" w:lastRow="0" w:firstColumn="0" w:lastColumn="0" w:oddVBand="0" w:evenVBand="0" w:oddHBand="1" w:evenHBand="0" w:firstRowFirstColumn="0" w:firstRowLastColumn="0" w:lastRowFirstColumn="0" w:lastRowLastColumn="0"/>
            </w:pPr>
            <w:r>
              <w:t>5.50</w:t>
            </w:r>
          </w:p>
        </w:tc>
        <w:tc>
          <w:tcPr>
            <w:tcW w:w="1843" w:type="dxa"/>
          </w:tcPr>
          <w:p w14:paraId="3B4F99AA" w14:textId="42EAEE24" w:rsidR="00B456A6" w:rsidRPr="00B456A6" w:rsidRDefault="00B456A6" w:rsidP="00B456A6">
            <w:pPr>
              <w:jc w:val="both"/>
              <w:cnfStyle w:val="000000100000" w:firstRow="0" w:lastRow="0" w:firstColumn="0" w:lastColumn="0" w:oddVBand="0" w:evenVBand="0" w:oddHBand="1" w:evenHBand="0" w:firstRowFirstColumn="0" w:firstRowLastColumn="0" w:lastRowFirstColumn="0" w:lastRowLastColumn="0"/>
            </w:pPr>
            <w:r>
              <w:t>4.57</w:t>
            </w:r>
          </w:p>
        </w:tc>
        <w:tc>
          <w:tcPr>
            <w:tcW w:w="1701" w:type="dxa"/>
          </w:tcPr>
          <w:p w14:paraId="77C6DE07" w14:textId="52257AF9" w:rsidR="00B456A6" w:rsidRPr="00B456A6" w:rsidRDefault="00B456A6" w:rsidP="00B456A6">
            <w:pPr>
              <w:jc w:val="both"/>
              <w:cnfStyle w:val="000000100000" w:firstRow="0" w:lastRow="0" w:firstColumn="0" w:lastColumn="0" w:oddVBand="0" w:evenVBand="0" w:oddHBand="1" w:evenHBand="0" w:firstRowFirstColumn="0" w:firstRowLastColumn="0" w:lastRowFirstColumn="0" w:lastRowLastColumn="0"/>
            </w:pPr>
            <w:r>
              <w:t>5.18</w:t>
            </w:r>
          </w:p>
        </w:tc>
        <w:tc>
          <w:tcPr>
            <w:tcW w:w="1700" w:type="dxa"/>
          </w:tcPr>
          <w:p w14:paraId="2340B97E" w14:textId="168B9327" w:rsidR="00B456A6" w:rsidRPr="00B456A6" w:rsidRDefault="00B456A6" w:rsidP="00B456A6">
            <w:pPr>
              <w:jc w:val="both"/>
              <w:cnfStyle w:val="000000100000" w:firstRow="0" w:lastRow="0" w:firstColumn="0" w:lastColumn="0" w:oddVBand="0" w:evenVBand="0" w:oddHBand="1" w:evenHBand="0" w:firstRowFirstColumn="0" w:firstRowLastColumn="0" w:lastRowFirstColumn="0" w:lastRowLastColumn="0"/>
            </w:pPr>
            <w:r>
              <w:t>6.55</w:t>
            </w:r>
          </w:p>
        </w:tc>
      </w:tr>
      <w:tr w:rsidR="00B456A6" w:rsidRPr="00B456A6" w14:paraId="670C273D" w14:textId="77777777" w:rsidTr="005C5381">
        <w:tc>
          <w:tcPr>
            <w:cnfStyle w:val="001000000000" w:firstRow="0" w:lastRow="0" w:firstColumn="1" w:lastColumn="0" w:oddVBand="0" w:evenVBand="0" w:oddHBand="0" w:evenHBand="0" w:firstRowFirstColumn="0" w:firstRowLastColumn="0" w:lastRowFirstColumn="0" w:lastRowLastColumn="0"/>
            <w:tcW w:w="2405" w:type="dxa"/>
            <w:shd w:val="clear" w:color="auto" w:fill="0C2188"/>
          </w:tcPr>
          <w:p w14:paraId="23DD01DF" w14:textId="5CDCA1D3" w:rsidR="00B456A6" w:rsidRPr="00B456A6" w:rsidRDefault="00B456A6" w:rsidP="00B456A6">
            <w:pPr>
              <w:jc w:val="both"/>
            </w:pPr>
            <w:bookmarkStart w:id="0" w:name="OLE_LINK2"/>
            <w:r>
              <w:t>Receivable Turnover</w:t>
            </w:r>
          </w:p>
        </w:tc>
        <w:tc>
          <w:tcPr>
            <w:tcW w:w="1701" w:type="dxa"/>
            <w:shd w:val="clear" w:color="auto" w:fill="FFFFFF" w:themeFill="background1"/>
          </w:tcPr>
          <w:p w14:paraId="709D8D78" w14:textId="27AB952D" w:rsidR="00B456A6" w:rsidRPr="00B456A6" w:rsidRDefault="00B456A6" w:rsidP="00B456A6">
            <w:pPr>
              <w:jc w:val="both"/>
              <w:cnfStyle w:val="000000000000" w:firstRow="0" w:lastRow="0" w:firstColumn="0" w:lastColumn="0" w:oddVBand="0" w:evenVBand="0" w:oddHBand="0" w:evenHBand="0" w:firstRowFirstColumn="0" w:firstRowLastColumn="0" w:lastRowFirstColumn="0" w:lastRowLastColumn="0"/>
            </w:pPr>
            <w:r>
              <w:t>6.56</w:t>
            </w:r>
          </w:p>
        </w:tc>
        <w:tc>
          <w:tcPr>
            <w:tcW w:w="1843" w:type="dxa"/>
            <w:shd w:val="clear" w:color="auto" w:fill="FFFFFF" w:themeFill="background1"/>
          </w:tcPr>
          <w:p w14:paraId="67491D0B" w14:textId="159B6458" w:rsidR="00B456A6" w:rsidRPr="00B456A6" w:rsidRDefault="00B456A6" w:rsidP="00B456A6">
            <w:pPr>
              <w:jc w:val="both"/>
              <w:cnfStyle w:val="000000000000" w:firstRow="0" w:lastRow="0" w:firstColumn="0" w:lastColumn="0" w:oddVBand="0" w:evenVBand="0" w:oddHBand="0" w:evenHBand="0" w:firstRowFirstColumn="0" w:firstRowLastColumn="0" w:lastRowFirstColumn="0" w:lastRowLastColumn="0"/>
            </w:pPr>
            <w:r>
              <w:t>7.20</w:t>
            </w:r>
          </w:p>
        </w:tc>
        <w:tc>
          <w:tcPr>
            <w:tcW w:w="1701" w:type="dxa"/>
            <w:shd w:val="clear" w:color="auto" w:fill="FFFFFF" w:themeFill="background1"/>
          </w:tcPr>
          <w:p w14:paraId="7AEC10ED" w14:textId="60018E2C" w:rsidR="00B456A6" w:rsidRPr="00B456A6" w:rsidRDefault="00B456A6" w:rsidP="00B456A6">
            <w:pPr>
              <w:jc w:val="both"/>
              <w:cnfStyle w:val="000000000000" w:firstRow="0" w:lastRow="0" w:firstColumn="0" w:lastColumn="0" w:oddVBand="0" w:evenVBand="0" w:oddHBand="0" w:evenHBand="0" w:firstRowFirstColumn="0" w:firstRowLastColumn="0" w:lastRowFirstColumn="0" w:lastRowLastColumn="0"/>
            </w:pPr>
            <w:r>
              <w:t>8.56</w:t>
            </w:r>
          </w:p>
        </w:tc>
        <w:tc>
          <w:tcPr>
            <w:tcW w:w="1700" w:type="dxa"/>
            <w:shd w:val="clear" w:color="auto" w:fill="FFFFFF" w:themeFill="background1"/>
          </w:tcPr>
          <w:p w14:paraId="4D523D72" w14:textId="08B7C2D6" w:rsidR="00B456A6" w:rsidRPr="00B456A6" w:rsidRDefault="00B456A6" w:rsidP="00B456A6">
            <w:pPr>
              <w:jc w:val="both"/>
              <w:cnfStyle w:val="000000000000" w:firstRow="0" w:lastRow="0" w:firstColumn="0" w:lastColumn="0" w:oddVBand="0" w:evenVBand="0" w:oddHBand="0" w:evenHBand="0" w:firstRowFirstColumn="0" w:firstRowLastColumn="0" w:lastRowFirstColumn="0" w:lastRowLastColumn="0"/>
            </w:pPr>
            <w:r>
              <w:t>8.31</w:t>
            </w:r>
          </w:p>
        </w:tc>
      </w:tr>
      <w:bookmarkEnd w:id="0"/>
      <w:tr w:rsidR="00B456A6" w:rsidRPr="00B456A6" w14:paraId="1DB1557D" w14:textId="77777777" w:rsidTr="005C5381">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2405" w:type="dxa"/>
            <w:shd w:val="clear" w:color="auto" w:fill="0C2188"/>
          </w:tcPr>
          <w:p w14:paraId="584A2D6B" w14:textId="721FF739" w:rsidR="00B456A6" w:rsidRPr="00B456A6" w:rsidRDefault="00B456A6" w:rsidP="00B456A6">
            <w:pPr>
              <w:jc w:val="both"/>
            </w:pPr>
            <w:r>
              <w:t>Total Asset Turnover</w:t>
            </w:r>
          </w:p>
        </w:tc>
        <w:tc>
          <w:tcPr>
            <w:tcW w:w="1701" w:type="dxa"/>
          </w:tcPr>
          <w:p w14:paraId="30BD4F0B" w14:textId="118F861B" w:rsidR="00B456A6" w:rsidRPr="00B456A6" w:rsidRDefault="00B456A6" w:rsidP="00B456A6">
            <w:pPr>
              <w:jc w:val="both"/>
              <w:cnfStyle w:val="000000100000" w:firstRow="0" w:lastRow="0" w:firstColumn="0" w:lastColumn="0" w:oddVBand="0" w:evenVBand="0" w:oddHBand="1" w:evenHBand="0" w:firstRowFirstColumn="0" w:firstRowLastColumn="0" w:lastRowFirstColumn="0" w:lastRowLastColumn="0"/>
            </w:pPr>
            <w:r>
              <w:t>0.65</w:t>
            </w:r>
          </w:p>
        </w:tc>
        <w:tc>
          <w:tcPr>
            <w:tcW w:w="1843" w:type="dxa"/>
          </w:tcPr>
          <w:p w14:paraId="698E256C" w14:textId="65D7E6D1" w:rsidR="00B456A6" w:rsidRPr="00B456A6" w:rsidRDefault="00B456A6" w:rsidP="00B456A6">
            <w:pPr>
              <w:jc w:val="both"/>
              <w:cnfStyle w:val="000000100000" w:firstRow="0" w:lastRow="0" w:firstColumn="0" w:lastColumn="0" w:oddVBand="0" w:evenVBand="0" w:oddHBand="1" w:evenHBand="0" w:firstRowFirstColumn="0" w:firstRowLastColumn="0" w:lastRowFirstColumn="0" w:lastRowLastColumn="0"/>
            </w:pPr>
            <w:r>
              <w:t>0.72</w:t>
            </w:r>
          </w:p>
        </w:tc>
        <w:tc>
          <w:tcPr>
            <w:tcW w:w="1701" w:type="dxa"/>
          </w:tcPr>
          <w:p w14:paraId="0D3E8491" w14:textId="4F930229" w:rsidR="00B456A6" w:rsidRPr="00B456A6" w:rsidRDefault="00B456A6" w:rsidP="00B456A6">
            <w:pPr>
              <w:jc w:val="both"/>
              <w:cnfStyle w:val="000000100000" w:firstRow="0" w:lastRow="0" w:firstColumn="0" w:lastColumn="0" w:oddVBand="0" w:evenVBand="0" w:oddHBand="1" w:evenHBand="0" w:firstRowFirstColumn="0" w:firstRowLastColumn="0" w:lastRowFirstColumn="0" w:lastRowLastColumn="0"/>
            </w:pPr>
            <w:r>
              <w:t>0.79</w:t>
            </w:r>
          </w:p>
        </w:tc>
        <w:tc>
          <w:tcPr>
            <w:tcW w:w="1700" w:type="dxa"/>
          </w:tcPr>
          <w:p w14:paraId="32706A78" w14:textId="5F41C949" w:rsidR="00B456A6" w:rsidRPr="00B456A6" w:rsidRDefault="00B456A6" w:rsidP="00B456A6">
            <w:pPr>
              <w:jc w:val="both"/>
              <w:cnfStyle w:val="000000100000" w:firstRow="0" w:lastRow="0" w:firstColumn="0" w:lastColumn="0" w:oddVBand="0" w:evenVBand="0" w:oddHBand="1" w:evenHBand="0" w:firstRowFirstColumn="0" w:firstRowLastColumn="0" w:lastRowFirstColumn="0" w:lastRowLastColumn="0"/>
            </w:pPr>
            <w:r>
              <w:t>0.77</w:t>
            </w:r>
          </w:p>
        </w:tc>
      </w:tr>
    </w:tbl>
    <w:p w14:paraId="6966D798" w14:textId="44A4748F" w:rsidR="005B5B55" w:rsidRDefault="00224938" w:rsidP="005B5B55">
      <w:pPr>
        <w:spacing w:line="480" w:lineRule="auto"/>
      </w:pPr>
      <w:r>
        <w:rPr>
          <w:noProof/>
        </w:rPr>
        <mc:AlternateContent>
          <mc:Choice Requires="wps">
            <w:drawing>
              <wp:anchor distT="0" distB="0" distL="114300" distR="114300" simplePos="0" relativeHeight="251671552" behindDoc="1" locked="0" layoutInCell="1" allowOverlap="1" wp14:anchorId="728A0BBA" wp14:editId="1A31E219">
                <wp:simplePos x="0" y="0"/>
                <wp:positionH relativeFrom="column">
                  <wp:posOffset>1630680</wp:posOffset>
                </wp:positionH>
                <wp:positionV relativeFrom="paragraph">
                  <wp:posOffset>2658110</wp:posOffset>
                </wp:positionV>
                <wp:extent cx="2921000" cy="278130"/>
                <wp:effectExtent l="0" t="0" r="0" b="1270"/>
                <wp:wrapTight wrapText="bothSides">
                  <wp:wrapPolygon edited="0">
                    <wp:start x="0" y="0"/>
                    <wp:lineTo x="0" y="20712"/>
                    <wp:lineTo x="21506" y="20712"/>
                    <wp:lineTo x="2150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921000" cy="278130"/>
                        </a:xfrm>
                        <a:prstGeom prst="rect">
                          <a:avLst/>
                        </a:prstGeom>
                        <a:solidFill>
                          <a:schemeClr val="lt1"/>
                        </a:solidFill>
                        <a:ln w="6350">
                          <a:noFill/>
                        </a:ln>
                      </wps:spPr>
                      <wps:txbx>
                        <w:txbxContent>
                          <w:p w14:paraId="7E817D3B" w14:textId="3F1A2C99" w:rsidR="00265C28" w:rsidRPr="007760E7" w:rsidRDefault="00265C28">
                            <w:pPr>
                              <w:rPr>
                                <w:b/>
                                <w:bCs/>
                                <w:i/>
                                <w:iCs/>
                                <w:sz w:val="22"/>
                                <w:szCs w:val="22"/>
                              </w:rPr>
                            </w:pPr>
                            <w:r w:rsidRPr="007760E7">
                              <w:rPr>
                                <w:b/>
                                <w:bCs/>
                                <w:i/>
                                <w:iCs/>
                                <w:sz w:val="22"/>
                                <w:szCs w:val="22"/>
                              </w:rPr>
                              <w:t>Figure 4: Inventory Turnover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A0BBA" id="Text Box 16" o:spid="_x0000_s1030" type="#_x0000_t202" style="position:absolute;margin-left:128.4pt;margin-top:209.3pt;width:230pt;height:21.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" fillcolor="white [3201]" stroked="f" strokeweight=".5pt">
                <v:textbox>
                  <w:txbxContent>
                    <w:p w14:paraId="7E817D3B" w14:textId="3F1A2C99" w:rsidR="00265C28" w:rsidRPr="007760E7" w:rsidRDefault="00265C28">
                      <w:pPr>
                        <w:rPr>
                          <w:b/>
                          <w:bCs/>
                          <w:i/>
                          <w:iCs/>
                          <w:sz w:val="22"/>
                          <w:szCs w:val="22"/>
                        </w:rPr>
                      </w:pPr>
                      <w:r w:rsidRPr="007760E7">
                        <w:rPr>
                          <w:b/>
                          <w:bCs/>
                          <w:i/>
                          <w:iCs/>
                          <w:sz w:val="22"/>
                          <w:szCs w:val="22"/>
                        </w:rPr>
                        <w:t>Figure 4: Inventory Turnover of SEC</w:t>
                      </w:r>
                    </w:p>
                  </w:txbxContent>
                </v:textbox>
                <w10:wrap type="tight"/>
              </v:shape>
            </w:pict>
          </mc:Fallback>
        </mc:AlternateContent>
      </w:r>
    </w:p>
    <w:p w14:paraId="3FEE5E6D" w14:textId="23179AD5" w:rsidR="00066952" w:rsidRPr="005B5B55" w:rsidRDefault="00066952" w:rsidP="005B5B55">
      <w:pPr>
        <w:spacing w:line="480" w:lineRule="auto"/>
      </w:pPr>
      <w:r w:rsidRPr="002279EF">
        <w:t xml:space="preserve">Inventory turnover indicates the frequency </w:t>
      </w:r>
      <w:r w:rsidR="00224938">
        <w:t xml:space="preserve">of </w:t>
      </w:r>
      <w:r w:rsidR="002B6E4C" w:rsidRPr="002279EF">
        <w:t xml:space="preserve">a company </w:t>
      </w:r>
      <w:r w:rsidR="00224938">
        <w:t>selling</w:t>
      </w:r>
      <w:r w:rsidR="002B6E4C" w:rsidRPr="002279EF">
        <w:t xml:space="preserve"> and </w:t>
      </w:r>
      <w:r w:rsidR="00224938">
        <w:t>replacing</w:t>
      </w:r>
      <w:r w:rsidR="002B6E4C" w:rsidRPr="002279EF">
        <w:t xml:space="preserve"> their inventory at a certain time. </w:t>
      </w:r>
      <w:r w:rsidR="008B2618">
        <w:t>It would be more favorable to the company if the number of times of turnover is revealed to be higher</w:t>
      </w:r>
      <w:r w:rsidR="00224938">
        <w:t>, as a low turnover can indicate poor inventory management</w:t>
      </w:r>
      <w:r w:rsidR="008B2618">
        <w:t>. During 2016, SEC shows that they replace their inventory 6</w:t>
      </w:r>
      <w:r w:rsidR="007F743A">
        <w:t>.55</w:t>
      </w:r>
      <w:r w:rsidR="008B2618">
        <w:t xml:space="preserve"> times but it has fallen </w:t>
      </w:r>
      <w:r w:rsidR="007F743A">
        <w:t>to</w:t>
      </w:r>
      <w:r w:rsidR="008B2618">
        <w:t xml:space="preserve"> 4.57 times in 2018. </w:t>
      </w:r>
      <w:r w:rsidR="002B6E4C" w:rsidRPr="002279EF">
        <w:t xml:space="preserve"> </w:t>
      </w:r>
      <w:r w:rsidR="004B4661">
        <w:t xml:space="preserve">However, </w:t>
      </w:r>
      <w:r w:rsidR="008B2618">
        <w:t xml:space="preserve">it appeared to slightly recover </w:t>
      </w:r>
      <w:r w:rsidR="007F743A">
        <w:t>as it had risen t</w:t>
      </w:r>
      <w:r w:rsidR="008B2618">
        <w:t>o 5.50 times in 2019, suggesting the inventory was more efficient</w:t>
      </w:r>
      <w:r w:rsidR="007F743A">
        <w:t xml:space="preserve">ly managed </w:t>
      </w:r>
      <w:r w:rsidR="008B2618">
        <w:t xml:space="preserve">in 2019 than the previous 2 years. </w:t>
      </w:r>
    </w:p>
    <w:p w14:paraId="51FC4BEF" w14:textId="0FBA575E" w:rsidR="00732F9E" w:rsidRPr="00B456A6" w:rsidRDefault="00AC0ED4" w:rsidP="00513C7F">
      <w:pPr>
        <w:spacing w:line="480" w:lineRule="auto"/>
        <w:jc w:val="both"/>
        <w:rPr>
          <w:b/>
          <w:bCs/>
          <w:i/>
          <w:iCs/>
        </w:rPr>
      </w:pPr>
      <w:r w:rsidRPr="002279EF">
        <w:rPr>
          <w:noProof/>
        </w:rPr>
        <w:drawing>
          <wp:anchor distT="0" distB="0" distL="114300" distR="114300" simplePos="0" relativeHeight="251657216" behindDoc="1" locked="0" layoutInCell="1" allowOverlap="1" wp14:anchorId="6281F6EE" wp14:editId="55323723">
            <wp:simplePos x="0" y="0"/>
            <wp:positionH relativeFrom="column">
              <wp:posOffset>-635</wp:posOffset>
            </wp:positionH>
            <wp:positionV relativeFrom="paragraph">
              <wp:posOffset>222885</wp:posOffset>
            </wp:positionV>
            <wp:extent cx="5859780" cy="2451100"/>
            <wp:effectExtent l="0" t="0" r="7620" b="12700"/>
            <wp:wrapTight wrapText="bothSides">
              <wp:wrapPolygon edited="0">
                <wp:start x="0" y="0"/>
                <wp:lineTo x="0" y="21600"/>
                <wp:lineTo x="21581" y="21600"/>
                <wp:lineTo x="21581" y="0"/>
                <wp:lineTo x="0" y="0"/>
              </wp:wrapPolygon>
            </wp:wrapTight>
            <wp:docPr id="5" name="Chart 5">
              <a:extLst xmlns:a="http://schemas.openxmlformats.org/drawingml/2006/main">
                <a:ext uri="{FF2B5EF4-FFF2-40B4-BE49-F238E27FC236}">
                  <a16:creationId xmlns:a16="http://schemas.microsoft.com/office/drawing/2014/main" id="{EF295867-A9C5-9245-9584-94A7074AA6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5B5B55">
        <w:rPr>
          <w:noProof/>
        </w:rPr>
        <mc:AlternateContent>
          <mc:Choice Requires="wps">
            <w:drawing>
              <wp:anchor distT="0" distB="0" distL="114300" distR="114300" simplePos="0" relativeHeight="251673600" behindDoc="1" locked="0" layoutInCell="1" allowOverlap="1" wp14:anchorId="3A278982" wp14:editId="2A287DF3">
                <wp:simplePos x="0" y="0"/>
                <wp:positionH relativeFrom="column">
                  <wp:posOffset>1635125</wp:posOffset>
                </wp:positionH>
                <wp:positionV relativeFrom="paragraph">
                  <wp:posOffset>2752529</wp:posOffset>
                </wp:positionV>
                <wp:extent cx="2921524" cy="304800"/>
                <wp:effectExtent l="0" t="0" r="0" b="0"/>
                <wp:wrapTight wrapText="bothSides">
                  <wp:wrapPolygon edited="0">
                    <wp:start x="0" y="0"/>
                    <wp:lineTo x="0" y="20700"/>
                    <wp:lineTo x="21506" y="20700"/>
                    <wp:lineTo x="21506"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921524" cy="304800"/>
                        </a:xfrm>
                        <a:prstGeom prst="rect">
                          <a:avLst/>
                        </a:prstGeom>
                        <a:solidFill>
                          <a:schemeClr val="lt1"/>
                        </a:solidFill>
                        <a:ln w="6350">
                          <a:noFill/>
                        </a:ln>
                      </wps:spPr>
                      <wps:txbx>
                        <w:txbxContent>
                          <w:p w14:paraId="2DC8DF68" w14:textId="281B64CB" w:rsidR="00265C28" w:rsidRPr="00FD2285" w:rsidRDefault="00265C28" w:rsidP="00FD2285">
                            <w:pPr>
                              <w:rPr>
                                <w:b/>
                                <w:bCs/>
                                <w:i/>
                                <w:iCs/>
                              </w:rPr>
                            </w:pPr>
                            <w:r>
                              <w:rPr>
                                <w:b/>
                                <w:bCs/>
                                <w:i/>
                                <w:iCs/>
                              </w:rPr>
                              <w:t>Figure 5: Receivable Turnover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8982" id="Text Box 17" o:spid="_x0000_s1031" type="#_x0000_t202" style="position:absolute;left:0;text-align:left;margin-left:128.75pt;margin-top:216.75pt;width:230.05pt;height:2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" fillcolor="white [3201]" stroked="f" strokeweight=".5pt">
                <v:textbox>
                  <w:txbxContent>
                    <w:p w14:paraId="2DC8DF68" w14:textId="281B64CB" w:rsidR="00265C28" w:rsidRPr="00FD2285" w:rsidRDefault="00265C28" w:rsidP="00FD2285">
                      <w:pPr>
                        <w:rPr>
                          <w:b/>
                          <w:bCs/>
                          <w:i/>
                          <w:iCs/>
                        </w:rPr>
                      </w:pPr>
                      <w:r>
                        <w:rPr>
                          <w:b/>
                          <w:bCs/>
                          <w:i/>
                          <w:iCs/>
                        </w:rPr>
                        <w:t>Figure 5: Receivable Turnover of SEC</w:t>
                      </w:r>
                    </w:p>
                  </w:txbxContent>
                </v:textbox>
                <w10:wrap type="tight"/>
              </v:shape>
            </w:pict>
          </mc:Fallback>
        </mc:AlternateContent>
      </w:r>
    </w:p>
    <w:p w14:paraId="13A82AF1" w14:textId="2DE566BC" w:rsidR="005B5B55" w:rsidRDefault="005B5B55" w:rsidP="00FD2285">
      <w:pPr>
        <w:spacing w:line="480" w:lineRule="auto"/>
        <w:jc w:val="both"/>
      </w:pPr>
    </w:p>
    <w:p w14:paraId="4EE42DAB" w14:textId="7C7257CF" w:rsidR="007760E7" w:rsidRDefault="002B6E4C" w:rsidP="007F743A">
      <w:pPr>
        <w:spacing w:line="480" w:lineRule="auto"/>
        <w:jc w:val="both"/>
      </w:pPr>
      <w:r w:rsidRPr="002279EF">
        <w:t xml:space="preserve">Receivable Turnover shows the efficiency </w:t>
      </w:r>
      <w:r w:rsidR="007F743A">
        <w:t>or how quickly</w:t>
      </w:r>
      <w:r w:rsidRPr="002279EF">
        <w:t xml:space="preserve"> a company receives the amount owed to them </w:t>
      </w:r>
      <w:r w:rsidR="007F743A">
        <w:t>from</w:t>
      </w:r>
      <w:r w:rsidRPr="002279EF">
        <w:t xml:space="preserve"> their customers. </w:t>
      </w:r>
      <w:r w:rsidR="008B2618">
        <w:t>If the ratio is mentioned to be higher, it would mean that the company has been receiving payments from their debtors more quickly</w:t>
      </w:r>
      <w:r w:rsidR="007F743A">
        <w:t>, which is desirable as there are higher chances where cash flow will be improved.</w:t>
      </w:r>
      <w:r w:rsidR="008B2618">
        <w:t xml:space="preserve"> There was a slight increase in efficiency </w:t>
      </w:r>
      <w:r w:rsidR="002570CF">
        <w:t>from</w:t>
      </w:r>
      <w:r w:rsidR="008B2618">
        <w:t xml:space="preserve"> 2016 to 2017, as it increased from 8.31</w:t>
      </w:r>
      <w:r w:rsidR="007F743A">
        <w:t xml:space="preserve"> times</w:t>
      </w:r>
      <w:r w:rsidR="008B2618">
        <w:t xml:space="preserve"> to 8.56</w:t>
      </w:r>
      <w:r w:rsidR="007F743A">
        <w:t xml:space="preserve"> times</w:t>
      </w:r>
      <w:r w:rsidR="008B2618">
        <w:t>.</w:t>
      </w:r>
      <w:r w:rsidRPr="002279EF">
        <w:t xml:space="preserve"> </w:t>
      </w:r>
      <w:r w:rsidR="008B2618">
        <w:t xml:space="preserve">However, </w:t>
      </w:r>
      <w:r w:rsidR="007760E7">
        <w:t xml:space="preserve">it began to drop from 2017 to 2019, </w:t>
      </w:r>
      <w:r w:rsidR="007F743A">
        <w:t>as it fell</w:t>
      </w:r>
      <w:r w:rsidR="007760E7">
        <w:t xml:space="preserve"> from 8.56 </w:t>
      </w:r>
      <w:r w:rsidR="007F743A">
        <w:t xml:space="preserve">times </w:t>
      </w:r>
      <w:r w:rsidR="007760E7">
        <w:t>to 6.56</w:t>
      </w:r>
      <w:r w:rsidR="007F743A">
        <w:t xml:space="preserve"> times.</w:t>
      </w:r>
      <w:r w:rsidR="007760E7">
        <w:t xml:space="preserve"> The year 2019, revealed to be the lowest point of their Receivable Turnover compared to the previous 3 years. This suggests that they are experiencing some difficulties in receiving payments from their debtors. </w:t>
      </w:r>
    </w:p>
    <w:p w14:paraId="71016864" w14:textId="43F12D9F" w:rsidR="005B5B55" w:rsidRDefault="00E67D77" w:rsidP="00FD2285">
      <w:pPr>
        <w:spacing w:line="480" w:lineRule="auto"/>
        <w:jc w:val="both"/>
      </w:pPr>
      <w:r>
        <w:rPr>
          <w:noProof/>
        </w:rPr>
        <mc:AlternateContent>
          <mc:Choice Requires="wps">
            <w:drawing>
              <wp:anchor distT="0" distB="0" distL="114300" distR="114300" simplePos="0" relativeHeight="251675648" behindDoc="1" locked="0" layoutInCell="1" allowOverlap="1" wp14:anchorId="3A44CA93" wp14:editId="67492A2C">
                <wp:simplePos x="0" y="0"/>
                <wp:positionH relativeFrom="column">
                  <wp:posOffset>1490345</wp:posOffset>
                </wp:positionH>
                <wp:positionV relativeFrom="paragraph">
                  <wp:posOffset>2658618</wp:posOffset>
                </wp:positionV>
                <wp:extent cx="3180080" cy="370840"/>
                <wp:effectExtent l="0" t="0" r="0" b="0"/>
                <wp:wrapTight wrapText="bothSides">
                  <wp:wrapPolygon edited="0">
                    <wp:start x="0" y="0"/>
                    <wp:lineTo x="0" y="20712"/>
                    <wp:lineTo x="21479" y="20712"/>
                    <wp:lineTo x="2147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180080" cy="370840"/>
                        </a:xfrm>
                        <a:prstGeom prst="rect">
                          <a:avLst/>
                        </a:prstGeom>
                        <a:solidFill>
                          <a:schemeClr val="lt1"/>
                        </a:solidFill>
                        <a:ln w="6350">
                          <a:noFill/>
                        </a:ln>
                      </wps:spPr>
                      <wps:txbx>
                        <w:txbxContent>
                          <w:p w14:paraId="064C6543" w14:textId="6969D65E" w:rsidR="00265C28" w:rsidRPr="00FD2285" w:rsidRDefault="00265C28" w:rsidP="00FD2285">
                            <w:pPr>
                              <w:rPr>
                                <w:b/>
                                <w:bCs/>
                                <w:i/>
                                <w:iCs/>
                              </w:rPr>
                            </w:pPr>
                            <w:r>
                              <w:rPr>
                                <w:b/>
                                <w:bCs/>
                                <w:i/>
                                <w:iCs/>
                              </w:rPr>
                              <w:t>Figure 6: Total Asset Turnover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4CA93" id="Text Box 18" o:spid="_x0000_s1032" type="#_x0000_t202" style="position:absolute;left:0;text-align:left;margin-left:117.35pt;margin-top:209.35pt;width:250.4pt;height:2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" fillcolor="white [3201]" stroked="f" strokeweight=".5pt">
                <v:textbox>
                  <w:txbxContent>
                    <w:p w14:paraId="064C6543" w14:textId="6969D65E" w:rsidR="00265C28" w:rsidRPr="00FD2285" w:rsidRDefault="00265C28" w:rsidP="00FD2285">
                      <w:pPr>
                        <w:rPr>
                          <w:b/>
                          <w:bCs/>
                          <w:i/>
                          <w:iCs/>
                        </w:rPr>
                      </w:pPr>
                      <w:r>
                        <w:rPr>
                          <w:b/>
                          <w:bCs/>
                          <w:i/>
                          <w:iCs/>
                        </w:rPr>
                        <w:t>Figure 6: Total Asset Turnover of SEC</w:t>
                      </w:r>
                    </w:p>
                  </w:txbxContent>
                </v:textbox>
                <w10:wrap type="tight"/>
              </v:shape>
            </w:pict>
          </mc:Fallback>
        </mc:AlternateContent>
      </w:r>
      <w:r w:rsidR="00AC0ED4" w:rsidRPr="002279EF">
        <w:rPr>
          <w:noProof/>
        </w:rPr>
        <w:drawing>
          <wp:anchor distT="0" distB="0" distL="114300" distR="114300" simplePos="0" relativeHeight="251658240" behindDoc="1" locked="0" layoutInCell="1" allowOverlap="1" wp14:anchorId="5DCE5E1E" wp14:editId="05BE8996">
            <wp:simplePos x="0" y="0"/>
            <wp:positionH relativeFrom="column">
              <wp:posOffset>-154940</wp:posOffset>
            </wp:positionH>
            <wp:positionV relativeFrom="paragraph">
              <wp:posOffset>0</wp:posOffset>
            </wp:positionV>
            <wp:extent cx="6040120" cy="2600960"/>
            <wp:effectExtent l="0" t="0" r="17780" b="15240"/>
            <wp:wrapTight wrapText="bothSides">
              <wp:wrapPolygon edited="0">
                <wp:start x="0" y="0"/>
                <wp:lineTo x="0" y="21621"/>
                <wp:lineTo x="21618" y="21621"/>
                <wp:lineTo x="21618" y="0"/>
                <wp:lineTo x="0" y="0"/>
              </wp:wrapPolygon>
            </wp:wrapTight>
            <wp:docPr id="6" name="Chart 6">
              <a:extLst xmlns:a="http://schemas.openxmlformats.org/drawingml/2006/main">
                <a:ext uri="{FF2B5EF4-FFF2-40B4-BE49-F238E27FC236}">
                  <a16:creationId xmlns:a16="http://schemas.microsoft.com/office/drawing/2014/main" id="{9B3F79FE-E2A5-5645-9BAF-55DB9434F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721A4747" w14:textId="77777777" w:rsidR="007F743A" w:rsidRDefault="007F743A" w:rsidP="00FD2285">
      <w:pPr>
        <w:spacing w:line="480" w:lineRule="auto"/>
        <w:jc w:val="both"/>
      </w:pPr>
    </w:p>
    <w:p w14:paraId="17C072A1" w14:textId="39F88E95" w:rsidR="00B456A6" w:rsidRDefault="002B6E4C" w:rsidP="00FD2285">
      <w:pPr>
        <w:spacing w:line="480" w:lineRule="auto"/>
        <w:jc w:val="both"/>
      </w:pPr>
      <w:r w:rsidRPr="002279EF">
        <w:t xml:space="preserve">Total Asset turnover indicates how well a company utilizes </w:t>
      </w:r>
      <w:r w:rsidR="002570CF">
        <w:t>its</w:t>
      </w:r>
      <w:r w:rsidRPr="002279EF">
        <w:t xml:space="preserve"> assets to produce revenue. </w:t>
      </w:r>
      <w:r w:rsidR="007760E7">
        <w:t xml:space="preserve">Efficiency in utilizing their assets to generate revenue was shown from </w:t>
      </w:r>
      <w:r w:rsidR="002570CF">
        <w:t xml:space="preserve">the </w:t>
      </w:r>
      <w:r w:rsidR="007760E7">
        <w:t>years 2016 to 2017, as there was a slight increase from 0.77 to 0.79</w:t>
      </w:r>
      <w:r w:rsidRPr="002279EF">
        <w:t>.</w:t>
      </w:r>
      <w:r w:rsidR="00513C7F" w:rsidRPr="002279EF">
        <w:t xml:space="preserve"> </w:t>
      </w:r>
      <w:r w:rsidR="007760E7">
        <w:t>Moreover,</w:t>
      </w:r>
      <w:r w:rsidR="007760E7" w:rsidRPr="002279EF">
        <w:t xml:space="preserve"> it </w:t>
      </w:r>
      <w:r w:rsidR="002570CF">
        <w:t>has begun</w:t>
      </w:r>
      <w:r w:rsidR="007760E7" w:rsidRPr="002279EF">
        <w:t xml:space="preserve"> </w:t>
      </w:r>
      <w:r w:rsidR="007760E7">
        <w:t xml:space="preserve">to </w:t>
      </w:r>
      <w:r w:rsidR="007760E7" w:rsidRPr="002279EF">
        <w:t>decreas</w:t>
      </w:r>
      <w:r w:rsidR="007760E7">
        <w:t>e f</w:t>
      </w:r>
      <w:r w:rsidR="007760E7" w:rsidRPr="002279EF">
        <w:t>rom 2017 to 2019</w:t>
      </w:r>
      <w:r w:rsidR="007760E7">
        <w:t xml:space="preserve">, as it fell from 0.79 to 0.65, indicating its lowest point as compared to the previous three years. </w:t>
      </w:r>
      <w:r w:rsidR="00513C7F" w:rsidRPr="002279EF">
        <w:t xml:space="preserve">This suggests that the company is facing an issue to increase their sales, or they have too much inventory or assets left unused and are ineffective in generating revenue. </w:t>
      </w:r>
    </w:p>
    <w:p w14:paraId="08828114" w14:textId="2D2A7EFA" w:rsidR="005B435A" w:rsidRDefault="005B435A" w:rsidP="00FD2285">
      <w:pPr>
        <w:spacing w:line="480" w:lineRule="auto"/>
        <w:jc w:val="both"/>
      </w:pPr>
    </w:p>
    <w:p w14:paraId="05176824" w14:textId="23913634" w:rsidR="00F53564" w:rsidRDefault="005B435A" w:rsidP="00F53564">
      <w:pPr>
        <w:spacing w:line="480" w:lineRule="auto"/>
        <w:jc w:val="both"/>
      </w:pPr>
      <w:r>
        <w:t xml:space="preserve">Activity Ratios of SEC have shown that they are beginning to be less effective in collecting payments from debtors within 2019, as well as their utilization of assets to produce revenue had dropped at its lowest when compared to the previous 3 years. However, SEC has shown an improvement in </w:t>
      </w:r>
      <w:r w:rsidR="002570CF">
        <w:t>its</w:t>
      </w:r>
      <w:r>
        <w:t xml:space="preserve"> inventory efficiency in 2019 as compared to</w:t>
      </w:r>
      <w:r w:rsidR="00CF37E1">
        <w:t xml:space="preserve"> the drop they experienced from 2017 to</w:t>
      </w:r>
      <w:r>
        <w:t xml:space="preserve"> 2018. </w:t>
      </w:r>
    </w:p>
    <w:p w14:paraId="7C432A36" w14:textId="37B75939" w:rsidR="004C2A0B" w:rsidRDefault="004C2A0B" w:rsidP="00F53564">
      <w:pPr>
        <w:spacing w:line="480" w:lineRule="auto"/>
        <w:jc w:val="both"/>
      </w:pPr>
    </w:p>
    <w:p w14:paraId="0FE6A013" w14:textId="77777777" w:rsidR="004C2A0B" w:rsidRDefault="004C2A0B" w:rsidP="00F53564">
      <w:pPr>
        <w:spacing w:line="480" w:lineRule="auto"/>
        <w:jc w:val="both"/>
      </w:pPr>
    </w:p>
    <w:p w14:paraId="78BBA271" w14:textId="6EB6B314" w:rsidR="00732F9E" w:rsidRPr="00F53564" w:rsidRDefault="00732F9E" w:rsidP="00F53564">
      <w:pPr>
        <w:spacing w:line="480" w:lineRule="auto"/>
        <w:jc w:val="both"/>
      </w:pPr>
      <w:r w:rsidRPr="005C5381">
        <w:rPr>
          <w:b/>
          <w:bCs/>
          <w:color w:val="0C2188"/>
        </w:rPr>
        <w:t xml:space="preserve">Table 4: Debt Ratios of </w:t>
      </w:r>
      <w:r w:rsidR="008B2618" w:rsidRPr="005C5381">
        <w:rPr>
          <w:b/>
          <w:bCs/>
          <w:color w:val="0C2188"/>
        </w:rPr>
        <w:t>SEC</w:t>
      </w:r>
    </w:p>
    <w:tbl>
      <w:tblPr>
        <w:tblStyle w:val="GridTable5Dark-Accent1"/>
        <w:tblW w:w="0" w:type="auto"/>
        <w:tblLook w:val="04A0" w:firstRow="1" w:lastRow="0" w:firstColumn="1" w:lastColumn="0" w:noHBand="0" w:noVBand="1"/>
      </w:tblPr>
      <w:tblGrid>
        <w:gridCol w:w="3155"/>
        <w:gridCol w:w="1518"/>
        <w:gridCol w:w="1418"/>
        <w:gridCol w:w="1701"/>
        <w:gridCol w:w="1558"/>
      </w:tblGrid>
      <w:tr w:rsidR="004752A0" w14:paraId="4D901545" w14:textId="77777777" w:rsidTr="005C5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0C2188"/>
          </w:tcPr>
          <w:p w14:paraId="0795721B" w14:textId="557C147C" w:rsidR="004752A0" w:rsidRPr="004752A0" w:rsidRDefault="004752A0" w:rsidP="004752A0">
            <w:pPr>
              <w:jc w:val="both"/>
            </w:pPr>
            <w:r>
              <w:t>Ratio/Year</w:t>
            </w:r>
          </w:p>
        </w:tc>
        <w:tc>
          <w:tcPr>
            <w:tcW w:w="1518" w:type="dxa"/>
            <w:shd w:val="clear" w:color="auto" w:fill="0C2188"/>
          </w:tcPr>
          <w:p w14:paraId="0B472CBC" w14:textId="65039CA2" w:rsidR="004752A0" w:rsidRPr="004752A0" w:rsidRDefault="004752A0" w:rsidP="004752A0">
            <w:pPr>
              <w:jc w:val="both"/>
              <w:cnfStyle w:val="100000000000" w:firstRow="1" w:lastRow="0" w:firstColumn="0" w:lastColumn="0" w:oddVBand="0" w:evenVBand="0" w:oddHBand="0" w:evenHBand="0" w:firstRowFirstColumn="0" w:firstRowLastColumn="0" w:lastRowFirstColumn="0" w:lastRowLastColumn="0"/>
            </w:pPr>
            <w:r>
              <w:t>2019</w:t>
            </w:r>
          </w:p>
        </w:tc>
        <w:tc>
          <w:tcPr>
            <w:tcW w:w="1418" w:type="dxa"/>
            <w:shd w:val="clear" w:color="auto" w:fill="0C2188"/>
          </w:tcPr>
          <w:p w14:paraId="448BE13E" w14:textId="3813B44D" w:rsidR="004752A0" w:rsidRPr="004752A0" w:rsidRDefault="004752A0" w:rsidP="004752A0">
            <w:pPr>
              <w:jc w:val="both"/>
              <w:cnfStyle w:val="100000000000" w:firstRow="1" w:lastRow="0" w:firstColumn="0" w:lastColumn="0" w:oddVBand="0" w:evenVBand="0" w:oddHBand="0" w:evenHBand="0" w:firstRowFirstColumn="0" w:firstRowLastColumn="0" w:lastRowFirstColumn="0" w:lastRowLastColumn="0"/>
            </w:pPr>
            <w:r>
              <w:t>2018</w:t>
            </w:r>
          </w:p>
        </w:tc>
        <w:tc>
          <w:tcPr>
            <w:tcW w:w="1701" w:type="dxa"/>
            <w:shd w:val="clear" w:color="auto" w:fill="0C2188"/>
          </w:tcPr>
          <w:p w14:paraId="454CE329" w14:textId="59368E05" w:rsidR="004752A0" w:rsidRPr="004752A0" w:rsidRDefault="004752A0" w:rsidP="004752A0">
            <w:pPr>
              <w:jc w:val="both"/>
              <w:cnfStyle w:val="100000000000" w:firstRow="1" w:lastRow="0" w:firstColumn="0" w:lastColumn="0" w:oddVBand="0" w:evenVBand="0" w:oddHBand="0" w:evenHBand="0" w:firstRowFirstColumn="0" w:firstRowLastColumn="0" w:lastRowFirstColumn="0" w:lastRowLastColumn="0"/>
            </w:pPr>
            <w:r>
              <w:t>2017</w:t>
            </w:r>
          </w:p>
        </w:tc>
        <w:tc>
          <w:tcPr>
            <w:tcW w:w="1558" w:type="dxa"/>
            <w:shd w:val="clear" w:color="auto" w:fill="0C2188"/>
          </w:tcPr>
          <w:p w14:paraId="31B37B5B" w14:textId="2ECC6573" w:rsidR="004752A0" w:rsidRPr="004752A0" w:rsidRDefault="004752A0" w:rsidP="004752A0">
            <w:pPr>
              <w:jc w:val="both"/>
              <w:cnfStyle w:val="100000000000" w:firstRow="1" w:lastRow="0" w:firstColumn="0" w:lastColumn="0" w:oddVBand="0" w:evenVBand="0" w:oddHBand="0" w:evenHBand="0" w:firstRowFirstColumn="0" w:firstRowLastColumn="0" w:lastRowFirstColumn="0" w:lastRowLastColumn="0"/>
            </w:pPr>
            <w:r>
              <w:t>2016</w:t>
            </w:r>
          </w:p>
        </w:tc>
      </w:tr>
      <w:tr w:rsidR="004752A0" w14:paraId="4695830F" w14:textId="77777777" w:rsidTr="005C5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0C2188"/>
          </w:tcPr>
          <w:p w14:paraId="2B8CCF49" w14:textId="378133D8" w:rsidR="004752A0" w:rsidRPr="004752A0" w:rsidRDefault="004752A0" w:rsidP="004752A0">
            <w:pPr>
              <w:jc w:val="both"/>
            </w:pPr>
            <w:r>
              <w:t>Debt Ratio</w:t>
            </w:r>
          </w:p>
        </w:tc>
        <w:tc>
          <w:tcPr>
            <w:tcW w:w="1518" w:type="dxa"/>
          </w:tcPr>
          <w:p w14:paraId="53F8E77B" w14:textId="2B946C4C"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t>25%</w:t>
            </w:r>
          </w:p>
        </w:tc>
        <w:tc>
          <w:tcPr>
            <w:tcW w:w="1418" w:type="dxa"/>
          </w:tcPr>
          <w:p w14:paraId="0ED529DC" w14:textId="51BA6EAA"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t>27%</w:t>
            </w:r>
          </w:p>
        </w:tc>
        <w:tc>
          <w:tcPr>
            <w:tcW w:w="1701" w:type="dxa"/>
          </w:tcPr>
          <w:p w14:paraId="22B39E09" w14:textId="6E177C50"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t>29%</w:t>
            </w:r>
          </w:p>
        </w:tc>
        <w:tc>
          <w:tcPr>
            <w:tcW w:w="1558" w:type="dxa"/>
          </w:tcPr>
          <w:p w14:paraId="5FC29330" w14:textId="487F452E"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t>26%</w:t>
            </w:r>
          </w:p>
        </w:tc>
      </w:tr>
      <w:tr w:rsidR="004752A0" w14:paraId="76D3BBFF" w14:textId="77777777" w:rsidTr="0087559F">
        <w:trPr>
          <w:trHeight w:val="418"/>
        </w:trPr>
        <w:tc>
          <w:tcPr>
            <w:cnfStyle w:val="001000000000" w:firstRow="0" w:lastRow="0" w:firstColumn="1" w:lastColumn="0" w:oddVBand="0" w:evenVBand="0" w:oddHBand="0" w:evenHBand="0" w:firstRowFirstColumn="0" w:firstRowLastColumn="0" w:lastRowFirstColumn="0" w:lastRowLastColumn="0"/>
            <w:tcW w:w="3155" w:type="dxa"/>
            <w:shd w:val="clear" w:color="auto" w:fill="0C2188"/>
          </w:tcPr>
          <w:p w14:paraId="259C53FB" w14:textId="5930EB64" w:rsidR="004752A0" w:rsidRPr="004752A0" w:rsidRDefault="004752A0" w:rsidP="004752A0">
            <w:pPr>
              <w:jc w:val="both"/>
            </w:pPr>
            <w:r>
              <w:t xml:space="preserve">Times Interest Earned </w:t>
            </w:r>
            <w:r w:rsidR="00B456A6">
              <w:t>Ratio</w:t>
            </w:r>
          </w:p>
        </w:tc>
        <w:tc>
          <w:tcPr>
            <w:tcW w:w="1518" w:type="dxa"/>
          </w:tcPr>
          <w:p w14:paraId="794E9C85" w14:textId="1F85D94B" w:rsidR="004752A0" w:rsidRPr="004752A0" w:rsidRDefault="00B456A6" w:rsidP="004752A0">
            <w:pPr>
              <w:jc w:val="both"/>
              <w:cnfStyle w:val="000000000000" w:firstRow="0" w:lastRow="0" w:firstColumn="0" w:lastColumn="0" w:oddVBand="0" w:evenVBand="0" w:oddHBand="0" w:evenHBand="0" w:firstRowFirstColumn="0" w:firstRowLastColumn="0" w:lastRowFirstColumn="0" w:lastRowLastColumn="0"/>
            </w:pPr>
            <w:r>
              <w:t>40.46</w:t>
            </w:r>
          </w:p>
        </w:tc>
        <w:tc>
          <w:tcPr>
            <w:tcW w:w="1418" w:type="dxa"/>
          </w:tcPr>
          <w:p w14:paraId="57D7A070" w14:textId="5E06AD8F" w:rsidR="004752A0" w:rsidRPr="004752A0" w:rsidRDefault="00B456A6" w:rsidP="004752A0">
            <w:pPr>
              <w:jc w:val="both"/>
              <w:cnfStyle w:val="000000000000" w:firstRow="0" w:lastRow="0" w:firstColumn="0" w:lastColumn="0" w:oddVBand="0" w:evenVBand="0" w:oddHBand="0" w:evenHBand="0" w:firstRowFirstColumn="0" w:firstRowLastColumn="0" w:lastRowFirstColumn="0" w:lastRowLastColumn="0"/>
            </w:pPr>
            <w:r>
              <w:t>87.29</w:t>
            </w:r>
          </w:p>
        </w:tc>
        <w:tc>
          <w:tcPr>
            <w:tcW w:w="1701" w:type="dxa"/>
          </w:tcPr>
          <w:p w14:paraId="0632C7ED" w14:textId="205F47FF" w:rsidR="004752A0" w:rsidRPr="004752A0" w:rsidRDefault="00B456A6" w:rsidP="004752A0">
            <w:pPr>
              <w:jc w:val="both"/>
              <w:cnfStyle w:val="000000000000" w:firstRow="0" w:lastRow="0" w:firstColumn="0" w:lastColumn="0" w:oddVBand="0" w:evenVBand="0" w:oddHBand="0" w:evenHBand="0" w:firstRowFirstColumn="0" w:firstRowLastColumn="0" w:lastRowFirstColumn="0" w:lastRowLastColumn="0"/>
            </w:pPr>
            <w:r>
              <w:t>81.85</w:t>
            </w:r>
          </w:p>
        </w:tc>
        <w:tc>
          <w:tcPr>
            <w:tcW w:w="1558" w:type="dxa"/>
          </w:tcPr>
          <w:p w14:paraId="652C7D67" w14:textId="478B8357" w:rsidR="004752A0" w:rsidRPr="004752A0" w:rsidRDefault="00B456A6" w:rsidP="004752A0">
            <w:pPr>
              <w:jc w:val="both"/>
              <w:cnfStyle w:val="000000000000" w:firstRow="0" w:lastRow="0" w:firstColumn="0" w:lastColumn="0" w:oddVBand="0" w:evenVBand="0" w:oddHBand="0" w:evenHBand="0" w:firstRowFirstColumn="0" w:firstRowLastColumn="0" w:lastRowFirstColumn="0" w:lastRowLastColumn="0"/>
            </w:pPr>
            <w:r>
              <w:t>49.74</w:t>
            </w:r>
          </w:p>
        </w:tc>
      </w:tr>
    </w:tbl>
    <w:p w14:paraId="19A5F733" w14:textId="45A4F3FC" w:rsidR="00F53564" w:rsidRDefault="00F53564" w:rsidP="00FD2285">
      <w:pPr>
        <w:spacing w:line="480" w:lineRule="auto"/>
        <w:jc w:val="both"/>
        <w:rPr>
          <w:b/>
          <w:bCs/>
        </w:rPr>
      </w:pPr>
      <w:r>
        <w:rPr>
          <w:noProof/>
        </w:rPr>
        <w:drawing>
          <wp:anchor distT="0" distB="0" distL="114300" distR="114300" simplePos="0" relativeHeight="251659264" behindDoc="1" locked="0" layoutInCell="1" allowOverlap="1" wp14:anchorId="0A975D70" wp14:editId="3960E4B1">
            <wp:simplePos x="0" y="0"/>
            <wp:positionH relativeFrom="column">
              <wp:posOffset>67945</wp:posOffset>
            </wp:positionH>
            <wp:positionV relativeFrom="paragraph">
              <wp:posOffset>189865</wp:posOffset>
            </wp:positionV>
            <wp:extent cx="5854700" cy="2565400"/>
            <wp:effectExtent l="0" t="0" r="12700" b="12700"/>
            <wp:wrapTight wrapText="bothSides">
              <wp:wrapPolygon edited="0">
                <wp:start x="0" y="0"/>
                <wp:lineTo x="0" y="21600"/>
                <wp:lineTo x="21600" y="21600"/>
                <wp:lineTo x="21600" y="0"/>
                <wp:lineTo x="0" y="0"/>
              </wp:wrapPolygon>
            </wp:wrapTight>
            <wp:docPr id="12" name="Chart 12">
              <a:extLst xmlns:a="http://schemas.openxmlformats.org/drawingml/2006/main">
                <a:ext uri="{FF2B5EF4-FFF2-40B4-BE49-F238E27FC236}">
                  <a16:creationId xmlns:a16="http://schemas.microsoft.com/office/drawing/2014/main" id="{9658CF46-D413-6E46-BED3-EC5606340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3AA5806C" w14:textId="6430E80E" w:rsidR="00F53564" w:rsidRDefault="00F53564" w:rsidP="00FD2285">
      <w:pPr>
        <w:spacing w:line="480" w:lineRule="auto"/>
        <w:jc w:val="both"/>
      </w:pPr>
      <w:r>
        <w:rPr>
          <w:noProof/>
        </w:rPr>
        <mc:AlternateContent>
          <mc:Choice Requires="wps">
            <w:drawing>
              <wp:anchor distT="0" distB="0" distL="114300" distR="114300" simplePos="0" relativeHeight="251677696" behindDoc="1" locked="0" layoutInCell="1" allowOverlap="1" wp14:anchorId="0DE3C781" wp14:editId="082E972C">
                <wp:simplePos x="0" y="0"/>
                <wp:positionH relativeFrom="column">
                  <wp:posOffset>1355090</wp:posOffset>
                </wp:positionH>
                <wp:positionV relativeFrom="paragraph">
                  <wp:posOffset>2472055</wp:posOffset>
                </wp:positionV>
                <wp:extent cx="3019425" cy="264795"/>
                <wp:effectExtent l="0" t="0" r="3175" b="1905"/>
                <wp:wrapTight wrapText="bothSides">
                  <wp:wrapPolygon edited="0">
                    <wp:start x="0" y="0"/>
                    <wp:lineTo x="0" y="20719"/>
                    <wp:lineTo x="21532" y="20719"/>
                    <wp:lineTo x="21532"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019425" cy="264795"/>
                        </a:xfrm>
                        <a:prstGeom prst="rect">
                          <a:avLst/>
                        </a:prstGeom>
                        <a:solidFill>
                          <a:schemeClr val="lt1"/>
                        </a:solidFill>
                        <a:ln w="6350">
                          <a:noFill/>
                        </a:ln>
                      </wps:spPr>
                      <wps:txbx>
                        <w:txbxContent>
                          <w:p w14:paraId="439A704A" w14:textId="45B348AF" w:rsidR="00265C28" w:rsidRPr="00FD2285" w:rsidRDefault="00265C28" w:rsidP="005B435A">
                            <w:pPr>
                              <w:jc w:val="center"/>
                              <w:rPr>
                                <w:b/>
                                <w:bCs/>
                                <w:i/>
                                <w:iCs/>
                              </w:rPr>
                            </w:pPr>
                            <w:r>
                              <w:rPr>
                                <w:b/>
                                <w:bCs/>
                                <w:i/>
                                <w:iCs/>
                              </w:rPr>
                              <w:t>Figure 7: Debt Ratio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C781" id="Text Box 19" o:spid="_x0000_s1033" type="#_x0000_t202" style="position:absolute;left:0;text-align:left;margin-left:106.7pt;margin-top:194.65pt;width:237.75pt;height:20.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" fillcolor="white [3201]" stroked="f" strokeweight=".5pt">
                <v:textbox>
                  <w:txbxContent>
                    <w:p w14:paraId="439A704A" w14:textId="45B348AF" w:rsidR="00265C28" w:rsidRPr="00FD2285" w:rsidRDefault="00265C28" w:rsidP="005B435A">
                      <w:pPr>
                        <w:jc w:val="center"/>
                        <w:rPr>
                          <w:b/>
                          <w:bCs/>
                          <w:i/>
                          <w:iCs/>
                        </w:rPr>
                      </w:pPr>
                      <w:r>
                        <w:rPr>
                          <w:b/>
                          <w:bCs/>
                          <w:i/>
                          <w:iCs/>
                        </w:rPr>
                        <w:t>Figure 7: Debt Ratio of SEC</w:t>
                      </w:r>
                    </w:p>
                  </w:txbxContent>
                </v:textbox>
                <w10:wrap type="tight"/>
              </v:shape>
            </w:pict>
          </mc:Fallback>
        </mc:AlternateContent>
      </w:r>
    </w:p>
    <w:p w14:paraId="77F06E4B" w14:textId="09C89111" w:rsidR="00732F9E" w:rsidRDefault="002570CF" w:rsidP="00FD2285">
      <w:pPr>
        <w:spacing w:line="480" w:lineRule="auto"/>
        <w:jc w:val="both"/>
      </w:pPr>
      <w:r>
        <w:t>The debt</w:t>
      </w:r>
      <w:r w:rsidR="00F83DEA">
        <w:t xml:space="preserve"> ratio shows</w:t>
      </w:r>
      <w:r w:rsidR="001D162C" w:rsidRPr="001D162C">
        <w:t xml:space="preserve"> the proportion of a company’s assets that are financed by debt.</w:t>
      </w:r>
      <w:r w:rsidR="00406EBF">
        <w:t xml:space="preserve"> </w:t>
      </w:r>
      <w:r w:rsidR="005B435A">
        <w:t>SEC</w:t>
      </w:r>
      <w:r w:rsidR="000B6300">
        <w:t xml:space="preserve"> shows a debt ratio </w:t>
      </w:r>
      <w:r>
        <w:t xml:space="preserve">of </w:t>
      </w:r>
      <w:r w:rsidR="000B6300">
        <w:t>less than 1</w:t>
      </w:r>
      <w:r w:rsidR="00F83DEA">
        <w:t>00%</w:t>
      </w:r>
      <w:r w:rsidR="00CF37E1">
        <w:t>, which is desirable for investors and creditors to see. I</w:t>
      </w:r>
      <w:r w:rsidR="005B435A">
        <w:t>t</w:t>
      </w:r>
      <w:r w:rsidR="000B6300">
        <w:t xml:space="preserve"> </w:t>
      </w:r>
      <w:r w:rsidR="00CF37E1">
        <w:t xml:space="preserve">also </w:t>
      </w:r>
      <w:r w:rsidR="000B6300">
        <w:t>indicates that they have more assets than debts</w:t>
      </w:r>
      <w:r w:rsidR="005B435A">
        <w:t>, which</w:t>
      </w:r>
      <w:r w:rsidR="00F83DEA">
        <w:t xml:space="preserve"> suggest</w:t>
      </w:r>
      <w:r w:rsidR="005B435A">
        <w:t>s</w:t>
      </w:r>
      <w:r w:rsidR="00F83DEA">
        <w:t xml:space="preserve"> that they are financially healthy.</w:t>
      </w:r>
      <w:r w:rsidR="005B435A">
        <w:t xml:space="preserve"> 2017 was the year that SEC had experienced its highest debt ratio of 29% within the 4 years. However, it has fallen</w:t>
      </w:r>
      <w:r w:rsidR="000B6300">
        <w:t xml:space="preserve"> </w:t>
      </w:r>
      <w:r w:rsidR="00CF37E1">
        <w:t xml:space="preserve">from </w:t>
      </w:r>
      <w:r w:rsidR="005B435A">
        <w:t>29</w:t>
      </w:r>
      <w:r w:rsidR="00F83DEA">
        <w:t xml:space="preserve">% </w:t>
      </w:r>
      <w:r w:rsidR="000B6300">
        <w:t xml:space="preserve">to </w:t>
      </w:r>
      <w:r w:rsidR="00F83DEA">
        <w:t xml:space="preserve">25% in 2019. </w:t>
      </w:r>
      <w:r w:rsidR="005B435A">
        <w:t>This is a good indication of SEC’s financial health as they do not appear to be heavily reliant on debts to fund their assets, especially since it had decreased from 2017 to 2019.</w:t>
      </w:r>
    </w:p>
    <w:p w14:paraId="16A461D1" w14:textId="767E428E" w:rsidR="007760E7" w:rsidRPr="00FD2285" w:rsidRDefault="007760E7" w:rsidP="00FD2285">
      <w:pPr>
        <w:spacing w:line="480" w:lineRule="auto"/>
        <w:jc w:val="both"/>
      </w:pPr>
    </w:p>
    <w:p w14:paraId="4832EE25" w14:textId="2B2C370A" w:rsidR="005B5B55" w:rsidRDefault="005B5B55" w:rsidP="00542FD7">
      <w:pPr>
        <w:spacing w:line="480" w:lineRule="auto"/>
        <w:jc w:val="both"/>
      </w:pPr>
    </w:p>
    <w:p w14:paraId="052CC537" w14:textId="441F39C8" w:rsidR="005B5B55" w:rsidRDefault="005B5B55" w:rsidP="00542FD7">
      <w:pPr>
        <w:spacing w:line="480" w:lineRule="auto"/>
        <w:jc w:val="both"/>
      </w:pPr>
    </w:p>
    <w:p w14:paraId="2587DAA5" w14:textId="709FC4A6" w:rsidR="005B5B55" w:rsidRDefault="005B5B55" w:rsidP="00542FD7">
      <w:pPr>
        <w:spacing w:line="480" w:lineRule="auto"/>
        <w:jc w:val="both"/>
      </w:pPr>
    </w:p>
    <w:p w14:paraId="36432DD2" w14:textId="04626A1E" w:rsidR="005B5B55" w:rsidRDefault="00F53564" w:rsidP="00542FD7">
      <w:pPr>
        <w:spacing w:line="480" w:lineRule="auto"/>
        <w:jc w:val="both"/>
      </w:pPr>
      <w:r>
        <w:rPr>
          <w:noProof/>
        </w:rPr>
        <mc:AlternateContent>
          <mc:Choice Requires="wps">
            <w:drawing>
              <wp:anchor distT="0" distB="0" distL="114300" distR="114300" simplePos="0" relativeHeight="251679744" behindDoc="1" locked="0" layoutInCell="1" allowOverlap="1" wp14:anchorId="134C0793" wp14:editId="7C7BEDDB">
                <wp:simplePos x="0" y="0"/>
                <wp:positionH relativeFrom="column">
                  <wp:posOffset>1411522</wp:posOffset>
                </wp:positionH>
                <wp:positionV relativeFrom="paragraph">
                  <wp:posOffset>2723763</wp:posOffset>
                </wp:positionV>
                <wp:extent cx="3140710" cy="259080"/>
                <wp:effectExtent l="0" t="0" r="0" b="0"/>
                <wp:wrapTight wrapText="bothSides">
                  <wp:wrapPolygon edited="0">
                    <wp:start x="0" y="0"/>
                    <wp:lineTo x="0" y="20118"/>
                    <wp:lineTo x="21486" y="20118"/>
                    <wp:lineTo x="2148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140710" cy="259080"/>
                        </a:xfrm>
                        <a:prstGeom prst="rect">
                          <a:avLst/>
                        </a:prstGeom>
                        <a:solidFill>
                          <a:schemeClr val="lt1"/>
                        </a:solidFill>
                        <a:ln w="6350">
                          <a:noFill/>
                        </a:ln>
                      </wps:spPr>
                      <wps:txbx>
                        <w:txbxContent>
                          <w:p w14:paraId="50171085" w14:textId="50F1CA05" w:rsidR="00265C28" w:rsidRPr="00FD2285" w:rsidRDefault="00265C28" w:rsidP="00FD2285">
                            <w:pPr>
                              <w:rPr>
                                <w:b/>
                                <w:bCs/>
                                <w:i/>
                                <w:iCs/>
                                <w:sz w:val="22"/>
                                <w:szCs w:val="22"/>
                              </w:rPr>
                            </w:pPr>
                            <w:r w:rsidRPr="00FD2285">
                              <w:rPr>
                                <w:b/>
                                <w:bCs/>
                                <w:i/>
                                <w:iCs/>
                                <w:sz w:val="22"/>
                                <w:szCs w:val="22"/>
                              </w:rPr>
                              <w:t xml:space="preserve">Figure 8: Times Interest Earned Ratio of </w:t>
                            </w:r>
                            <w:r>
                              <w:rPr>
                                <w:b/>
                                <w:bCs/>
                                <w:i/>
                                <w:iCs/>
                                <w:sz w:val="22"/>
                                <w:szCs w:val="22"/>
                              </w:rPr>
                              <w:t>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0793" id="Text Box 20" o:spid="_x0000_s1034" type="#_x0000_t202" style="position:absolute;left:0;text-align:left;margin-left:111.15pt;margin-top:214.45pt;width:247.3pt;height:20.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" fillcolor="white [3201]" stroked="f" strokeweight=".5pt">
                <v:textbox>
                  <w:txbxContent>
                    <w:p w14:paraId="50171085" w14:textId="50F1CA05" w:rsidR="00265C28" w:rsidRPr="00FD2285" w:rsidRDefault="00265C28" w:rsidP="00FD2285">
                      <w:pPr>
                        <w:rPr>
                          <w:b/>
                          <w:bCs/>
                          <w:i/>
                          <w:iCs/>
                          <w:sz w:val="22"/>
                          <w:szCs w:val="22"/>
                        </w:rPr>
                      </w:pPr>
                      <w:r w:rsidRPr="00FD2285">
                        <w:rPr>
                          <w:b/>
                          <w:bCs/>
                          <w:i/>
                          <w:iCs/>
                          <w:sz w:val="22"/>
                          <w:szCs w:val="22"/>
                        </w:rPr>
                        <w:t xml:space="preserve">Figure 8: Times Interest Earned Ratio of </w:t>
                      </w:r>
                      <w:r>
                        <w:rPr>
                          <w:b/>
                          <w:bCs/>
                          <w:i/>
                          <w:iCs/>
                          <w:sz w:val="22"/>
                          <w:szCs w:val="22"/>
                        </w:rPr>
                        <w:t>SEC</w:t>
                      </w:r>
                    </w:p>
                  </w:txbxContent>
                </v:textbox>
                <w10:wrap type="tight"/>
              </v:shape>
            </w:pict>
          </mc:Fallback>
        </mc:AlternateContent>
      </w:r>
      <w:r w:rsidRPr="002279EF">
        <w:rPr>
          <w:noProof/>
        </w:rPr>
        <w:drawing>
          <wp:anchor distT="0" distB="0" distL="114300" distR="114300" simplePos="0" relativeHeight="251660288" behindDoc="1" locked="0" layoutInCell="1" allowOverlap="1" wp14:anchorId="3396AD6F" wp14:editId="12CCE783">
            <wp:simplePos x="0" y="0"/>
            <wp:positionH relativeFrom="column">
              <wp:posOffset>-69499</wp:posOffset>
            </wp:positionH>
            <wp:positionV relativeFrom="paragraph">
              <wp:posOffset>398</wp:posOffset>
            </wp:positionV>
            <wp:extent cx="5911215" cy="2644775"/>
            <wp:effectExtent l="0" t="0" r="6985" b="9525"/>
            <wp:wrapTight wrapText="bothSides">
              <wp:wrapPolygon edited="0">
                <wp:start x="0" y="0"/>
                <wp:lineTo x="0" y="21574"/>
                <wp:lineTo x="21579" y="21574"/>
                <wp:lineTo x="21579" y="0"/>
                <wp:lineTo x="0" y="0"/>
              </wp:wrapPolygon>
            </wp:wrapTight>
            <wp:docPr id="8" name="Chart 8">
              <a:extLst xmlns:a="http://schemas.openxmlformats.org/drawingml/2006/main">
                <a:ext uri="{FF2B5EF4-FFF2-40B4-BE49-F238E27FC236}">
                  <a16:creationId xmlns:a16="http://schemas.microsoft.com/office/drawing/2014/main" id="{CC077351-E496-3843-9C94-5F17260C0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11213FCA" w14:textId="1000D467" w:rsidR="000B6300" w:rsidRDefault="005B5B55" w:rsidP="004C2A0B">
      <w:pPr>
        <w:spacing w:line="480" w:lineRule="auto"/>
        <w:jc w:val="both"/>
      </w:pPr>
      <w:r>
        <w:t xml:space="preserve">Times </w:t>
      </w:r>
      <w:r w:rsidR="000B6300">
        <w:t xml:space="preserve">Interest ratio measures how a company is capable of meeting their </w:t>
      </w:r>
      <w:r w:rsidR="00542FD7">
        <w:t>interest payments</w:t>
      </w:r>
      <w:r w:rsidR="000B6300">
        <w:t xml:space="preserve"> with their present </w:t>
      </w:r>
      <w:r w:rsidR="00542FD7">
        <w:t>EBIT</w:t>
      </w:r>
      <w:r w:rsidR="000B6300">
        <w:t xml:space="preserve">. It presents the number of times a company can cover its </w:t>
      </w:r>
      <w:r w:rsidR="00AC45D0">
        <w:t>interest payments</w:t>
      </w:r>
      <w:r w:rsidR="005B435A">
        <w:t xml:space="preserve"> </w:t>
      </w:r>
      <w:r w:rsidR="000B6300">
        <w:t xml:space="preserve">with </w:t>
      </w:r>
      <w:r w:rsidR="002570CF">
        <w:t>its</w:t>
      </w:r>
      <w:r w:rsidR="000B6300">
        <w:t xml:space="preserve"> EBIT. </w:t>
      </w:r>
      <w:r w:rsidR="005B435A">
        <w:t>SEC</w:t>
      </w:r>
      <w:r w:rsidR="000B6300">
        <w:t xml:space="preserve"> shows that they are</w:t>
      </w:r>
      <w:r w:rsidR="00542FD7">
        <w:t xml:space="preserve"> very capable of meeting their </w:t>
      </w:r>
      <w:r w:rsidR="00AC45D0">
        <w:t>interest payments</w:t>
      </w:r>
      <w:r w:rsidR="00542FD7">
        <w:t xml:space="preserve"> obligations </w:t>
      </w:r>
      <w:r w:rsidR="005B435A">
        <w:t>since</w:t>
      </w:r>
      <w:r w:rsidR="00542FD7">
        <w:t xml:space="preserve"> their </w:t>
      </w:r>
      <w:r w:rsidR="001D5A67">
        <w:t>ratio in 2016 shows that they</w:t>
      </w:r>
      <w:r w:rsidR="00542FD7">
        <w:t xml:space="preserve"> </w:t>
      </w:r>
      <w:r w:rsidR="001D5A67">
        <w:t xml:space="preserve">are </w:t>
      </w:r>
      <w:r w:rsidR="00542FD7">
        <w:t>49 times cap</w:t>
      </w:r>
      <w:r w:rsidR="000B6300">
        <w:t>able</w:t>
      </w:r>
      <w:r w:rsidR="001D5A67">
        <w:t xml:space="preserve"> of covering their</w:t>
      </w:r>
      <w:r w:rsidR="00AC45D0">
        <w:t xml:space="preserve"> interests</w:t>
      </w:r>
      <w:r w:rsidR="001D5A67">
        <w:t>,</w:t>
      </w:r>
      <w:r w:rsidR="00542FD7">
        <w:t xml:space="preserve"> while 2018 serves as the highest, </w:t>
      </w:r>
      <w:r w:rsidR="001D5A67">
        <w:t>with</w:t>
      </w:r>
      <w:r w:rsidR="00542FD7">
        <w:t xml:space="preserve"> 87 times.</w:t>
      </w:r>
      <w:r w:rsidR="00AC45D0">
        <w:t xml:space="preserve"> This signifies that the company would not face any difficulty in paying their long-term obligations due to the high number of times that indicates </w:t>
      </w:r>
      <w:r w:rsidR="002570CF">
        <w:t>its</w:t>
      </w:r>
      <w:r w:rsidR="00AC45D0">
        <w:t xml:space="preserve"> capabilities in paying interests. </w:t>
      </w:r>
      <w:r w:rsidR="00542FD7">
        <w:t xml:space="preserve"> </w:t>
      </w:r>
      <w:r w:rsidR="000B6300">
        <w:t xml:space="preserve"> </w:t>
      </w:r>
      <w:r w:rsidR="00542FD7">
        <w:t xml:space="preserve">However, the </w:t>
      </w:r>
      <w:r w:rsidR="001D5A67">
        <w:t>ratio</w:t>
      </w:r>
      <w:r w:rsidR="00542FD7">
        <w:t xml:space="preserve"> significantly dropped to 40 times in 2019. This could be suggested by the decline in sale</w:t>
      </w:r>
      <w:r w:rsidR="00F53564">
        <w:t>s,</w:t>
      </w:r>
      <w:r w:rsidR="004C2A0B">
        <w:t xml:space="preserve"> resulting </w:t>
      </w:r>
      <w:r w:rsidR="002570CF">
        <w:t xml:space="preserve">in </w:t>
      </w:r>
      <w:r w:rsidR="00F53564">
        <w:t xml:space="preserve">a drop in their EBIT, and with the added challenge of </w:t>
      </w:r>
      <w:r w:rsidR="00542FD7">
        <w:t>increase</w:t>
      </w:r>
      <w:r w:rsidR="00F53564">
        <w:t xml:space="preserve">d </w:t>
      </w:r>
      <w:r w:rsidR="00542FD7">
        <w:t>interest payments within 201</w:t>
      </w:r>
      <w:r w:rsidR="00F53564">
        <w:t xml:space="preserve">9, it </w:t>
      </w:r>
      <w:r w:rsidR="004C2A0B">
        <w:t xml:space="preserve">is assumed that it had led to </w:t>
      </w:r>
      <w:r w:rsidR="00F53564">
        <w:t xml:space="preserve">difficulties the </w:t>
      </w:r>
      <w:r w:rsidR="00AC45D0">
        <w:t xml:space="preserve">company </w:t>
      </w:r>
      <w:r w:rsidR="00F53564">
        <w:t>is facing in</w:t>
      </w:r>
      <w:r w:rsidR="00AC45D0">
        <w:t xml:space="preserve"> meeting their </w:t>
      </w:r>
      <w:r w:rsidR="004C2A0B">
        <w:t>obligations.</w:t>
      </w:r>
      <w:r w:rsidR="00542FD7">
        <w:t xml:space="preserve"> </w:t>
      </w:r>
    </w:p>
    <w:p w14:paraId="1231AD03" w14:textId="57E17478" w:rsidR="008B2618" w:rsidRDefault="008B2618" w:rsidP="00542FD7">
      <w:pPr>
        <w:spacing w:line="480" w:lineRule="auto"/>
        <w:jc w:val="both"/>
      </w:pPr>
    </w:p>
    <w:p w14:paraId="189D2FF8" w14:textId="79985CA1" w:rsidR="00125467" w:rsidRDefault="001D5A67" w:rsidP="00F53564">
      <w:pPr>
        <w:spacing w:line="480" w:lineRule="auto"/>
        <w:jc w:val="both"/>
      </w:pPr>
      <w:r>
        <w:t xml:space="preserve">The debt ratios of SEC show that the company is in a good financial position as they appear to be less reliant on debts to fund their assets, </w:t>
      </w:r>
      <w:r w:rsidR="00125467">
        <w:t>and it has</w:t>
      </w:r>
      <w:r>
        <w:t xml:space="preserve"> improved further in 2019. However, </w:t>
      </w:r>
      <w:proofErr w:type="gramStart"/>
      <w:r>
        <w:t>its</w:t>
      </w:r>
      <w:proofErr w:type="gramEnd"/>
      <w:r>
        <w:t xml:space="preserve"> Time Interest Earned Ratio showed that SEC was in a better condition from 2016 to 2018, as it had dropped by half in 2019.</w:t>
      </w:r>
      <w:r w:rsidR="00F53564">
        <w:t xml:space="preserve"> Although, SEC still presents a low risk for investors and creditors to select the company as </w:t>
      </w:r>
      <w:r w:rsidR="002570CF">
        <w:t xml:space="preserve">the </w:t>
      </w:r>
      <w:r w:rsidR="00F53564">
        <w:t>choice of investing in or lending to, as the ratios depict the company to be solvent</w:t>
      </w:r>
      <w:r w:rsidR="002570CF">
        <w:t>,</w:t>
      </w:r>
      <w:r w:rsidR="00F53564">
        <w:t xml:space="preserve"> based on their low debt ratios and high number of times in paying interests. </w:t>
      </w:r>
    </w:p>
    <w:p w14:paraId="248F3BC7" w14:textId="746CDAA7" w:rsidR="00732F9E" w:rsidRPr="005C5381" w:rsidRDefault="0087559F" w:rsidP="004752A0">
      <w:pPr>
        <w:spacing w:line="480" w:lineRule="auto"/>
        <w:jc w:val="both"/>
        <w:rPr>
          <w:b/>
          <w:bCs/>
          <w:i/>
          <w:iCs/>
          <w:color w:val="0C2188"/>
        </w:rPr>
      </w:pPr>
      <w:r>
        <w:rPr>
          <w:noProof/>
        </w:rPr>
        <mc:AlternateContent>
          <mc:Choice Requires="wps">
            <w:drawing>
              <wp:anchor distT="0" distB="0" distL="114300" distR="114300" simplePos="0" relativeHeight="251681792" behindDoc="1" locked="0" layoutInCell="1" allowOverlap="1" wp14:anchorId="10656DA9" wp14:editId="7527F845">
                <wp:simplePos x="0" y="0"/>
                <wp:positionH relativeFrom="column">
                  <wp:posOffset>1727835</wp:posOffset>
                </wp:positionH>
                <wp:positionV relativeFrom="paragraph">
                  <wp:posOffset>3776980</wp:posOffset>
                </wp:positionV>
                <wp:extent cx="2663190" cy="284480"/>
                <wp:effectExtent l="0" t="0" r="3810" b="0"/>
                <wp:wrapTight wrapText="bothSides">
                  <wp:wrapPolygon edited="0">
                    <wp:start x="0" y="0"/>
                    <wp:lineTo x="0" y="20250"/>
                    <wp:lineTo x="21528" y="20250"/>
                    <wp:lineTo x="21528"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663190" cy="284480"/>
                        </a:xfrm>
                        <a:prstGeom prst="rect">
                          <a:avLst/>
                        </a:prstGeom>
                        <a:solidFill>
                          <a:schemeClr val="lt1"/>
                        </a:solidFill>
                        <a:ln w="6350">
                          <a:noFill/>
                        </a:ln>
                      </wps:spPr>
                      <wps:txbx>
                        <w:txbxContent>
                          <w:p w14:paraId="0E71C2BF" w14:textId="29928B03" w:rsidR="00265C28" w:rsidRPr="00FD2285" w:rsidRDefault="00265C28" w:rsidP="00FD2285">
                            <w:pPr>
                              <w:rPr>
                                <w:b/>
                                <w:bCs/>
                                <w:i/>
                                <w:iCs/>
                                <w:sz w:val="22"/>
                                <w:szCs w:val="22"/>
                              </w:rPr>
                            </w:pPr>
                            <w:r>
                              <w:rPr>
                                <w:b/>
                                <w:bCs/>
                                <w:i/>
                                <w:iCs/>
                                <w:sz w:val="22"/>
                                <w:szCs w:val="22"/>
                              </w:rPr>
                              <w:t>Figure 9: Return on Equity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56DA9" id="Text Box 21" o:spid="_x0000_s1035" type="#_x0000_t202" style="position:absolute;left:0;text-align:left;margin-left:136.05pt;margin-top:297.4pt;width:209.7pt;height:2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" fillcolor="white [3201]" stroked="f" strokeweight=".5pt">
                <v:textbox>
                  <w:txbxContent>
                    <w:p w14:paraId="0E71C2BF" w14:textId="29928B03" w:rsidR="00265C28" w:rsidRPr="00FD2285" w:rsidRDefault="00265C28" w:rsidP="00FD2285">
                      <w:pPr>
                        <w:rPr>
                          <w:b/>
                          <w:bCs/>
                          <w:i/>
                          <w:iCs/>
                          <w:sz w:val="22"/>
                          <w:szCs w:val="22"/>
                        </w:rPr>
                      </w:pPr>
                      <w:r>
                        <w:rPr>
                          <w:b/>
                          <w:bCs/>
                          <w:i/>
                          <w:iCs/>
                          <w:sz w:val="22"/>
                          <w:szCs w:val="22"/>
                        </w:rPr>
                        <w:t>Figure 9: Return on Equity of SEC</w:t>
                      </w:r>
                    </w:p>
                  </w:txbxContent>
                </v:textbox>
                <w10:wrap type="tight"/>
              </v:shape>
            </w:pict>
          </mc:Fallback>
        </mc:AlternateContent>
      </w:r>
      <w:r w:rsidRPr="00865A7F">
        <w:rPr>
          <w:noProof/>
        </w:rPr>
        <w:drawing>
          <wp:anchor distT="0" distB="0" distL="114300" distR="114300" simplePos="0" relativeHeight="251661312" behindDoc="1" locked="0" layoutInCell="1" allowOverlap="1" wp14:anchorId="72EC5FDD" wp14:editId="5A6A2CAC">
            <wp:simplePos x="0" y="0"/>
            <wp:positionH relativeFrom="column">
              <wp:posOffset>-59690</wp:posOffset>
            </wp:positionH>
            <wp:positionV relativeFrom="paragraph">
              <wp:posOffset>1194435</wp:posOffset>
            </wp:positionV>
            <wp:extent cx="6052820" cy="2534285"/>
            <wp:effectExtent l="0" t="0" r="17780" b="18415"/>
            <wp:wrapTight wrapText="bothSides">
              <wp:wrapPolygon edited="0">
                <wp:start x="0" y="0"/>
                <wp:lineTo x="0" y="21649"/>
                <wp:lineTo x="21618" y="21649"/>
                <wp:lineTo x="21618" y="0"/>
                <wp:lineTo x="0" y="0"/>
              </wp:wrapPolygon>
            </wp:wrapTight>
            <wp:docPr id="9" name="Chart 9">
              <a:extLst xmlns:a="http://schemas.openxmlformats.org/drawingml/2006/main">
                <a:ext uri="{FF2B5EF4-FFF2-40B4-BE49-F238E27FC236}">
                  <a16:creationId xmlns:a16="http://schemas.microsoft.com/office/drawing/2014/main" id="{F2F6B96A-0859-9340-BF0D-C74F662D4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732F9E" w:rsidRPr="005C5381">
        <w:rPr>
          <w:b/>
          <w:bCs/>
          <w:i/>
          <w:iCs/>
          <w:color w:val="0C2188"/>
        </w:rPr>
        <w:t xml:space="preserve">Table 5: Profitability Ratios of </w:t>
      </w:r>
      <w:r w:rsidR="008B2618" w:rsidRPr="005C5381">
        <w:rPr>
          <w:b/>
          <w:bCs/>
          <w:i/>
          <w:iCs/>
          <w:color w:val="0C2188"/>
        </w:rPr>
        <w:t>SEC</w:t>
      </w:r>
    </w:p>
    <w:tbl>
      <w:tblPr>
        <w:tblStyle w:val="GridTable5Dark-Accent1"/>
        <w:tblW w:w="0" w:type="auto"/>
        <w:tblLook w:val="04A0" w:firstRow="1" w:lastRow="0" w:firstColumn="1" w:lastColumn="0" w:noHBand="0" w:noVBand="1"/>
      </w:tblPr>
      <w:tblGrid>
        <w:gridCol w:w="2122"/>
        <w:gridCol w:w="1618"/>
        <w:gridCol w:w="1870"/>
        <w:gridCol w:w="1870"/>
        <w:gridCol w:w="1870"/>
      </w:tblGrid>
      <w:tr w:rsidR="004752A0" w14:paraId="0DDCCDB8" w14:textId="77777777" w:rsidTr="005C5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0C2188"/>
          </w:tcPr>
          <w:p w14:paraId="685D0DDC" w14:textId="4AB49281" w:rsidR="004752A0" w:rsidRPr="004752A0" w:rsidRDefault="004752A0" w:rsidP="004752A0">
            <w:pPr>
              <w:jc w:val="both"/>
            </w:pPr>
            <w:r w:rsidRPr="004752A0">
              <w:t>Ratio/Year</w:t>
            </w:r>
          </w:p>
        </w:tc>
        <w:tc>
          <w:tcPr>
            <w:tcW w:w="1618" w:type="dxa"/>
            <w:shd w:val="clear" w:color="auto" w:fill="0C2188"/>
          </w:tcPr>
          <w:p w14:paraId="54E9AAFB" w14:textId="483EEE36" w:rsidR="004752A0" w:rsidRPr="004752A0" w:rsidRDefault="004752A0" w:rsidP="004752A0">
            <w:pPr>
              <w:jc w:val="both"/>
              <w:cnfStyle w:val="100000000000" w:firstRow="1" w:lastRow="0" w:firstColumn="0" w:lastColumn="0" w:oddVBand="0" w:evenVBand="0" w:oddHBand="0" w:evenHBand="0" w:firstRowFirstColumn="0" w:firstRowLastColumn="0" w:lastRowFirstColumn="0" w:lastRowLastColumn="0"/>
            </w:pPr>
            <w:r w:rsidRPr="004752A0">
              <w:t>2019</w:t>
            </w:r>
          </w:p>
        </w:tc>
        <w:tc>
          <w:tcPr>
            <w:tcW w:w="1870" w:type="dxa"/>
            <w:shd w:val="clear" w:color="auto" w:fill="0C2188"/>
          </w:tcPr>
          <w:p w14:paraId="235134E7" w14:textId="0BE2047C" w:rsidR="004752A0" w:rsidRPr="004752A0" w:rsidRDefault="004752A0" w:rsidP="004752A0">
            <w:pPr>
              <w:jc w:val="both"/>
              <w:cnfStyle w:val="100000000000" w:firstRow="1" w:lastRow="0" w:firstColumn="0" w:lastColumn="0" w:oddVBand="0" w:evenVBand="0" w:oddHBand="0" w:evenHBand="0" w:firstRowFirstColumn="0" w:firstRowLastColumn="0" w:lastRowFirstColumn="0" w:lastRowLastColumn="0"/>
            </w:pPr>
            <w:r w:rsidRPr="004752A0">
              <w:t>2018</w:t>
            </w:r>
          </w:p>
        </w:tc>
        <w:tc>
          <w:tcPr>
            <w:tcW w:w="1870" w:type="dxa"/>
            <w:shd w:val="clear" w:color="auto" w:fill="0C2188"/>
          </w:tcPr>
          <w:p w14:paraId="7D6753F6" w14:textId="513BDF57" w:rsidR="004752A0" w:rsidRPr="004752A0" w:rsidRDefault="004752A0" w:rsidP="004752A0">
            <w:pPr>
              <w:jc w:val="both"/>
              <w:cnfStyle w:val="100000000000" w:firstRow="1" w:lastRow="0" w:firstColumn="0" w:lastColumn="0" w:oddVBand="0" w:evenVBand="0" w:oddHBand="0" w:evenHBand="0" w:firstRowFirstColumn="0" w:firstRowLastColumn="0" w:lastRowFirstColumn="0" w:lastRowLastColumn="0"/>
            </w:pPr>
            <w:r w:rsidRPr="004752A0">
              <w:t>2017</w:t>
            </w:r>
          </w:p>
        </w:tc>
        <w:tc>
          <w:tcPr>
            <w:tcW w:w="1870" w:type="dxa"/>
            <w:shd w:val="clear" w:color="auto" w:fill="0C2188"/>
          </w:tcPr>
          <w:p w14:paraId="000D009A" w14:textId="428E7FE2" w:rsidR="004752A0" w:rsidRPr="004752A0" w:rsidRDefault="004752A0" w:rsidP="004752A0">
            <w:pPr>
              <w:jc w:val="both"/>
              <w:cnfStyle w:val="100000000000" w:firstRow="1" w:lastRow="0" w:firstColumn="0" w:lastColumn="0" w:oddVBand="0" w:evenVBand="0" w:oddHBand="0" w:evenHBand="0" w:firstRowFirstColumn="0" w:firstRowLastColumn="0" w:lastRowFirstColumn="0" w:lastRowLastColumn="0"/>
            </w:pPr>
            <w:r w:rsidRPr="004752A0">
              <w:t>2016</w:t>
            </w:r>
          </w:p>
        </w:tc>
      </w:tr>
      <w:tr w:rsidR="004752A0" w14:paraId="541C2E1F" w14:textId="77777777" w:rsidTr="005C5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0C2188"/>
          </w:tcPr>
          <w:p w14:paraId="6ACCC10B" w14:textId="153D1E50" w:rsidR="004752A0" w:rsidRPr="004752A0" w:rsidRDefault="004752A0" w:rsidP="004752A0">
            <w:pPr>
              <w:jc w:val="both"/>
            </w:pPr>
            <w:r w:rsidRPr="004752A0">
              <w:t>Return on Equity</w:t>
            </w:r>
          </w:p>
        </w:tc>
        <w:tc>
          <w:tcPr>
            <w:tcW w:w="1618" w:type="dxa"/>
          </w:tcPr>
          <w:p w14:paraId="4C16A924" w14:textId="2A0BE0D5"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rsidRPr="004752A0">
              <w:t>8%</w:t>
            </w:r>
          </w:p>
        </w:tc>
        <w:tc>
          <w:tcPr>
            <w:tcW w:w="1870" w:type="dxa"/>
          </w:tcPr>
          <w:p w14:paraId="1C63B24E" w14:textId="2C098FEE"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rsidRPr="004752A0">
              <w:t>18%</w:t>
            </w:r>
          </w:p>
        </w:tc>
        <w:tc>
          <w:tcPr>
            <w:tcW w:w="1870" w:type="dxa"/>
          </w:tcPr>
          <w:p w14:paraId="37BC2737" w14:textId="2B2BBEC0"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rsidRPr="004752A0">
              <w:t>20%</w:t>
            </w:r>
          </w:p>
        </w:tc>
        <w:tc>
          <w:tcPr>
            <w:tcW w:w="1870" w:type="dxa"/>
          </w:tcPr>
          <w:p w14:paraId="48392A65" w14:textId="214A5598"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rsidRPr="004752A0">
              <w:t>12%</w:t>
            </w:r>
          </w:p>
        </w:tc>
      </w:tr>
      <w:tr w:rsidR="004752A0" w14:paraId="674B41B3" w14:textId="77777777" w:rsidTr="005C5381">
        <w:tc>
          <w:tcPr>
            <w:cnfStyle w:val="001000000000" w:firstRow="0" w:lastRow="0" w:firstColumn="1" w:lastColumn="0" w:oddVBand="0" w:evenVBand="0" w:oddHBand="0" w:evenHBand="0" w:firstRowFirstColumn="0" w:firstRowLastColumn="0" w:lastRowFirstColumn="0" w:lastRowLastColumn="0"/>
            <w:tcW w:w="2122" w:type="dxa"/>
            <w:shd w:val="clear" w:color="auto" w:fill="0C2188"/>
          </w:tcPr>
          <w:p w14:paraId="58223566" w14:textId="3DD24C7B" w:rsidR="004752A0" w:rsidRPr="004752A0" w:rsidRDefault="004752A0" w:rsidP="004752A0">
            <w:pPr>
              <w:jc w:val="both"/>
            </w:pPr>
            <w:r w:rsidRPr="004752A0">
              <w:t xml:space="preserve">Return on Assets </w:t>
            </w:r>
          </w:p>
        </w:tc>
        <w:tc>
          <w:tcPr>
            <w:tcW w:w="1618" w:type="dxa"/>
          </w:tcPr>
          <w:p w14:paraId="3367779A" w14:textId="1C676356" w:rsidR="004752A0" w:rsidRPr="004752A0" w:rsidRDefault="004752A0" w:rsidP="004752A0">
            <w:pPr>
              <w:jc w:val="both"/>
              <w:cnfStyle w:val="000000000000" w:firstRow="0" w:lastRow="0" w:firstColumn="0" w:lastColumn="0" w:oddVBand="0" w:evenVBand="0" w:oddHBand="0" w:evenHBand="0" w:firstRowFirstColumn="0" w:firstRowLastColumn="0" w:lastRowFirstColumn="0" w:lastRowLastColumn="0"/>
            </w:pPr>
            <w:r w:rsidRPr="004752A0">
              <w:t>6%</w:t>
            </w:r>
          </w:p>
        </w:tc>
        <w:tc>
          <w:tcPr>
            <w:tcW w:w="1870" w:type="dxa"/>
          </w:tcPr>
          <w:p w14:paraId="236417DA" w14:textId="13E83496" w:rsidR="004752A0" w:rsidRPr="004752A0" w:rsidRDefault="004752A0" w:rsidP="004752A0">
            <w:pPr>
              <w:jc w:val="both"/>
              <w:cnfStyle w:val="000000000000" w:firstRow="0" w:lastRow="0" w:firstColumn="0" w:lastColumn="0" w:oddVBand="0" w:evenVBand="0" w:oddHBand="0" w:evenHBand="0" w:firstRowFirstColumn="0" w:firstRowLastColumn="0" w:lastRowFirstColumn="0" w:lastRowLastColumn="0"/>
            </w:pPr>
            <w:r w:rsidRPr="004752A0">
              <w:t>13%</w:t>
            </w:r>
          </w:p>
        </w:tc>
        <w:tc>
          <w:tcPr>
            <w:tcW w:w="1870" w:type="dxa"/>
          </w:tcPr>
          <w:p w14:paraId="51F3D5EB" w14:textId="28A14E90" w:rsidR="004752A0" w:rsidRPr="004752A0" w:rsidRDefault="004752A0" w:rsidP="004752A0">
            <w:pPr>
              <w:jc w:val="both"/>
              <w:cnfStyle w:val="000000000000" w:firstRow="0" w:lastRow="0" w:firstColumn="0" w:lastColumn="0" w:oddVBand="0" w:evenVBand="0" w:oddHBand="0" w:evenHBand="0" w:firstRowFirstColumn="0" w:firstRowLastColumn="0" w:lastRowFirstColumn="0" w:lastRowLastColumn="0"/>
            </w:pPr>
            <w:r w:rsidRPr="004752A0">
              <w:t>14%</w:t>
            </w:r>
          </w:p>
        </w:tc>
        <w:tc>
          <w:tcPr>
            <w:tcW w:w="1870" w:type="dxa"/>
          </w:tcPr>
          <w:p w14:paraId="12627C67" w14:textId="3F649D86" w:rsidR="004752A0" w:rsidRPr="004752A0" w:rsidRDefault="004752A0" w:rsidP="004752A0">
            <w:pPr>
              <w:jc w:val="both"/>
              <w:cnfStyle w:val="000000000000" w:firstRow="0" w:lastRow="0" w:firstColumn="0" w:lastColumn="0" w:oddVBand="0" w:evenVBand="0" w:oddHBand="0" w:evenHBand="0" w:firstRowFirstColumn="0" w:firstRowLastColumn="0" w:lastRowFirstColumn="0" w:lastRowLastColumn="0"/>
            </w:pPr>
            <w:r w:rsidRPr="004752A0">
              <w:t>9%</w:t>
            </w:r>
          </w:p>
        </w:tc>
      </w:tr>
      <w:tr w:rsidR="004752A0" w14:paraId="5E961373" w14:textId="77777777" w:rsidTr="005C5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0C2188"/>
          </w:tcPr>
          <w:p w14:paraId="4D245867" w14:textId="491375BC" w:rsidR="004752A0" w:rsidRPr="004752A0" w:rsidRDefault="004752A0" w:rsidP="004752A0">
            <w:pPr>
              <w:jc w:val="both"/>
            </w:pPr>
            <w:r w:rsidRPr="004752A0">
              <w:t xml:space="preserve">Profit Margin </w:t>
            </w:r>
          </w:p>
        </w:tc>
        <w:tc>
          <w:tcPr>
            <w:tcW w:w="1618" w:type="dxa"/>
          </w:tcPr>
          <w:p w14:paraId="0660423C" w14:textId="1B98B7F4"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rsidRPr="004752A0">
              <w:t>9%</w:t>
            </w:r>
          </w:p>
        </w:tc>
        <w:tc>
          <w:tcPr>
            <w:tcW w:w="1870" w:type="dxa"/>
          </w:tcPr>
          <w:p w14:paraId="35D9B0F8" w14:textId="7B403A60"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rsidRPr="004752A0">
              <w:t>18%</w:t>
            </w:r>
          </w:p>
        </w:tc>
        <w:tc>
          <w:tcPr>
            <w:tcW w:w="1870" w:type="dxa"/>
          </w:tcPr>
          <w:p w14:paraId="7B66E445" w14:textId="29072BEB"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rsidRPr="004752A0">
              <w:t>17%</w:t>
            </w:r>
          </w:p>
        </w:tc>
        <w:tc>
          <w:tcPr>
            <w:tcW w:w="1870" w:type="dxa"/>
          </w:tcPr>
          <w:p w14:paraId="35502487" w14:textId="252FEDC0" w:rsidR="004752A0" w:rsidRPr="004752A0" w:rsidRDefault="004752A0" w:rsidP="004752A0">
            <w:pPr>
              <w:jc w:val="both"/>
              <w:cnfStyle w:val="000000100000" w:firstRow="0" w:lastRow="0" w:firstColumn="0" w:lastColumn="0" w:oddVBand="0" w:evenVBand="0" w:oddHBand="1" w:evenHBand="0" w:firstRowFirstColumn="0" w:firstRowLastColumn="0" w:lastRowFirstColumn="0" w:lastRowLastColumn="0"/>
            </w:pPr>
            <w:r w:rsidRPr="004752A0">
              <w:t>11%</w:t>
            </w:r>
          </w:p>
        </w:tc>
      </w:tr>
    </w:tbl>
    <w:p w14:paraId="08625931" w14:textId="738C9CEB" w:rsidR="00125467" w:rsidRDefault="00125467" w:rsidP="00FD2285">
      <w:pPr>
        <w:spacing w:line="480" w:lineRule="auto"/>
        <w:jc w:val="both"/>
      </w:pPr>
    </w:p>
    <w:p w14:paraId="6C420D08" w14:textId="47926DD5" w:rsidR="00FD2285" w:rsidRDefault="00833D3B" w:rsidP="00FD2285">
      <w:pPr>
        <w:spacing w:line="480" w:lineRule="auto"/>
        <w:jc w:val="both"/>
      </w:pPr>
      <w:r>
        <w:t xml:space="preserve">Return on equity shows a company’s ability to </w:t>
      </w:r>
      <w:r w:rsidR="002151CF">
        <w:t xml:space="preserve">effectively utilize their shareholder’s equity into profits. </w:t>
      </w:r>
      <w:r w:rsidR="00125467">
        <w:t>If the percentage is high, it indicates that the company is effectively using their investor’s funds to produce profit</w:t>
      </w:r>
      <w:r w:rsidR="004C2A0B">
        <w:t>, which is what most shareholder’s desire to see as it indicates higher returns from their investments</w:t>
      </w:r>
      <w:r w:rsidR="00125467">
        <w:t xml:space="preserve">. </w:t>
      </w:r>
      <w:r w:rsidR="00865A7F">
        <w:t xml:space="preserve">With an increase from 12% to 20% in 2016 to 2017, </w:t>
      </w:r>
      <w:r w:rsidR="008B2618">
        <w:t>SEC</w:t>
      </w:r>
      <w:r w:rsidR="00865A7F">
        <w:t xml:space="preserve"> has been </w:t>
      </w:r>
      <w:r w:rsidR="002151CF">
        <w:t xml:space="preserve">utilizing their </w:t>
      </w:r>
      <w:r w:rsidR="00865A7F">
        <w:t xml:space="preserve">shareholder’s </w:t>
      </w:r>
      <w:r w:rsidR="002151CF">
        <w:t>equity</w:t>
      </w:r>
      <w:r w:rsidR="00865A7F">
        <w:t xml:space="preserve"> effectively to generate profits. </w:t>
      </w:r>
      <w:r w:rsidR="002151CF">
        <w:t>However,</w:t>
      </w:r>
      <w:r w:rsidR="00865A7F">
        <w:t xml:space="preserve"> from 2017 to 2019, it has fallen from 20% to 8%.</w:t>
      </w:r>
      <w:r w:rsidR="002151CF">
        <w:t xml:space="preserve"> </w:t>
      </w:r>
      <w:r w:rsidR="00865A7F">
        <w:t>This can suggest that Samsung may have slowed down in seeking to generate returns for their investors as they have been ineffectively used their invest</w:t>
      </w:r>
      <w:r w:rsidR="004C2A0B">
        <w:t>or’s finance</w:t>
      </w:r>
      <w:r w:rsidR="00865A7F">
        <w:t xml:space="preserve"> from 201</w:t>
      </w:r>
      <w:r w:rsidR="004C2A0B">
        <w:t>7</w:t>
      </w:r>
      <w:r w:rsidR="00865A7F">
        <w:t xml:space="preserve">. </w:t>
      </w:r>
      <w:r w:rsidR="004C2A0B">
        <w:t xml:space="preserve">Moreover, it is suggested that this drop could be due to the decline in their profits. This can be risky factor as it could discourage potential investors in selecting SEC to invest in. </w:t>
      </w:r>
    </w:p>
    <w:p w14:paraId="435F038D" w14:textId="4211F64F" w:rsidR="005B5B55" w:rsidRDefault="0087559F" w:rsidP="00FD2285">
      <w:pPr>
        <w:spacing w:line="480" w:lineRule="auto"/>
        <w:jc w:val="both"/>
      </w:pPr>
      <w:r>
        <w:rPr>
          <w:noProof/>
        </w:rPr>
        <mc:AlternateContent>
          <mc:Choice Requires="wps">
            <w:drawing>
              <wp:anchor distT="0" distB="0" distL="114300" distR="114300" simplePos="0" relativeHeight="251683840" behindDoc="1" locked="0" layoutInCell="1" allowOverlap="1" wp14:anchorId="0237C35A" wp14:editId="648562B6">
                <wp:simplePos x="0" y="0"/>
                <wp:positionH relativeFrom="column">
                  <wp:posOffset>1541780</wp:posOffset>
                </wp:positionH>
                <wp:positionV relativeFrom="paragraph">
                  <wp:posOffset>2936185</wp:posOffset>
                </wp:positionV>
                <wp:extent cx="2688590" cy="286385"/>
                <wp:effectExtent l="0" t="0" r="3810" b="5715"/>
                <wp:wrapTight wrapText="bothSides">
                  <wp:wrapPolygon edited="0">
                    <wp:start x="0" y="0"/>
                    <wp:lineTo x="0" y="21073"/>
                    <wp:lineTo x="21529" y="21073"/>
                    <wp:lineTo x="21529"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688590" cy="286385"/>
                        </a:xfrm>
                        <a:prstGeom prst="rect">
                          <a:avLst/>
                        </a:prstGeom>
                        <a:solidFill>
                          <a:schemeClr val="lt1"/>
                        </a:solidFill>
                        <a:ln w="6350">
                          <a:noFill/>
                        </a:ln>
                      </wps:spPr>
                      <wps:txbx>
                        <w:txbxContent>
                          <w:p w14:paraId="71705B8C" w14:textId="1B213807" w:rsidR="00265C28" w:rsidRPr="00FD2285" w:rsidRDefault="00265C28" w:rsidP="00FD2285">
                            <w:pPr>
                              <w:rPr>
                                <w:b/>
                                <w:bCs/>
                                <w:i/>
                                <w:iCs/>
                                <w:sz w:val="22"/>
                                <w:szCs w:val="22"/>
                              </w:rPr>
                            </w:pPr>
                            <w:r>
                              <w:rPr>
                                <w:b/>
                                <w:bCs/>
                                <w:i/>
                                <w:iCs/>
                                <w:sz w:val="22"/>
                                <w:szCs w:val="22"/>
                              </w:rPr>
                              <w:t>Figure 10: Return on Total Assets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7C35A" id="Text Box 22" o:spid="_x0000_s1036" type="#_x0000_t202" style="position:absolute;left:0;text-align:left;margin-left:121.4pt;margin-top:231.2pt;width:211.7pt;height:22.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" fillcolor="white [3201]" stroked="f" strokeweight=".5pt">
                <v:textbox>
                  <w:txbxContent>
                    <w:p w14:paraId="71705B8C" w14:textId="1B213807" w:rsidR="00265C28" w:rsidRPr="00FD2285" w:rsidRDefault="00265C28" w:rsidP="00FD2285">
                      <w:pPr>
                        <w:rPr>
                          <w:b/>
                          <w:bCs/>
                          <w:i/>
                          <w:iCs/>
                          <w:sz w:val="22"/>
                          <w:szCs w:val="22"/>
                        </w:rPr>
                      </w:pPr>
                      <w:r>
                        <w:rPr>
                          <w:b/>
                          <w:bCs/>
                          <w:i/>
                          <w:iCs/>
                          <w:sz w:val="22"/>
                          <w:szCs w:val="22"/>
                        </w:rPr>
                        <w:t>Figure 10: Return on Total Assets of SEC</w:t>
                      </w:r>
                    </w:p>
                  </w:txbxContent>
                </v:textbox>
                <w10:wrap type="tight"/>
              </v:shape>
            </w:pict>
          </mc:Fallback>
        </mc:AlternateContent>
      </w:r>
      <w:r w:rsidRPr="00865A7F">
        <w:rPr>
          <w:rFonts w:asciiTheme="majorBidi" w:hAnsiTheme="majorBidi" w:cstheme="majorBidi"/>
          <w:noProof/>
        </w:rPr>
        <w:drawing>
          <wp:anchor distT="0" distB="0" distL="114300" distR="114300" simplePos="0" relativeHeight="251654144" behindDoc="1" locked="0" layoutInCell="1" allowOverlap="1" wp14:anchorId="4309901E" wp14:editId="54138828">
            <wp:simplePos x="0" y="0"/>
            <wp:positionH relativeFrom="column">
              <wp:posOffset>-10160</wp:posOffset>
            </wp:positionH>
            <wp:positionV relativeFrom="paragraph">
              <wp:posOffset>0</wp:posOffset>
            </wp:positionV>
            <wp:extent cx="5833745" cy="2872105"/>
            <wp:effectExtent l="0" t="0" r="8255" b="10795"/>
            <wp:wrapTight wrapText="bothSides">
              <wp:wrapPolygon edited="0">
                <wp:start x="0" y="0"/>
                <wp:lineTo x="0" y="21586"/>
                <wp:lineTo x="21584" y="21586"/>
                <wp:lineTo x="21584" y="0"/>
                <wp:lineTo x="0" y="0"/>
              </wp:wrapPolygon>
            </wp:wrapTight>
            <wp:docPr id="10" name="Chart 10">
              <a:extLst xmlns:a="http://schemas.openxmlformats.org/drawingml/2006/main">
                <a:ext uri="{FF2B5EF4-FFF2-40B4-BE49-F238E27FC236}">
                  <a16:creationId xmlns:a16="http://schemas.microsoft.com/office/drawing/2014/main" id="{4EB67B47-80AF-1049-9F9D-2A4495B47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075D9240" w14:textId="49C5383A" w:rsidR="004752A0" w:rsidRPr="00FD2285" w:rsidRDefault="005B5B55" w:rsidP="00FD2285">
      <w:pPr>
        <w:spacing w:line="480" w:lineRule="auto"/>
        <w:jc w:val="both"/>
      </w:pPr>
      <w:r>
        <w:t xml:space="preserve">Return </w:t>
      </w:r>
      <w:r w:rsidR="002151CF">
        <w:t xml:space="preserve">on </w:t>
      </w:r>
      <w:r w:rsidR="009A6382">
        <w:t>T</w:t>
      </w:r>
      <w:r w:rsidR="002151CF">
        <w:t xml:space="preserve">otal Assets indicates how a company can effectively generate profit from </w:t>
      </w:r>
      <w:r w:rsidR="009A6382">
        <w:t>utilizing their</w:t>
      </w:r>
      <w:r w:rsidR="002151CF">
        <w:t xml:space="preserve"> assets. </w:t>
      </w:r>
      <w:r w:rsidR="009A6382">
        <w:t>Within 2016 to 2017, it has shown an increase from 9% to 14%, signifying that they have been utilizing their assets effectively to generate profit. However, it has dropped from 2017 to 2019, with 14% to 6% respectively.</w:t>
      </w:r>
      <w:r w:rsidR="002151CF">
        <w:t xml:space="preserve"> This suggests that </w:t>
      </w:r>
      <w:r w:rsidR="00125467">
        <w:t>SEC</w:t>
      </w:r>
      <w:r w:rsidR="002151CF">
        <w:t xml:space="preserve"> has </w:t>
      </w:r>
      <w:r w:rsidR="009A6382">
        <w:t xml:space="preserve">inefficiently used their assets to increase profits, as it is also shown that their net income had declined in 2019. </w:t>
      </w:r>
      <w:r w:rsidR="00EC5AD1">
        <w:t xml:space="preserve">The drop in their ROA is also linked to the drop in their ROE, as it indicates that they have not been using their investor’s finance efficiently in generating profits as well. The fall in this ratio can be discouraging for investors, as they are seeking for a company that can promise high returns from their investments. </w:t>
      </w:r>
    </w:p>
    <w:p w14:paraId="0E453929" w14:textId="793B3D68" w:rsidR="002279EF" w:rsidRPr="00865A7F" w:rsidRDefault="002279EF" w:rsidP="00FD2285">
      <w:pPr>
        <w:spacing w:line="480" w:lineRule="auto"/>
        <w:jc w:val="center"/>
        <w:rPr>
          <w:b/>
          <w:bCs/>
          <w:i/>
          <w:iCs/>
        </w:rPr>
      </w:pPr>
    </w:p>
    <w:p w14:paraId="57A863F4" w14:textId="3FC419E1" w:rsidR="00EC5AD1" w:rsidRDefault="00EC5AD1" w:rsidP="00E203B4">
      <w:pPr>
        <w:spacing w:line="480" w:lineRule="auto"/>
        <w:jc w:val="both"/>
      </w:pPr>
    </w:p>
    <w:p w14:paraId="530A3E21" w14:textId="17EA6A0E" w:rsidR="00EC5AD1" w:rsidRDefault="00EC5AD1" w:rsidP="00E203B4">
      <w:pPr>
        <w:spacing w:line="480" w:lineRule="auto"/>
        <w:jc w:val="both"/>
      </w:pPr>
    </w:p>
    <w:p w14:paraId="1D3959CA" w14:textId="093C4A76" w:rsidR="00EC5AD1" w:rsidRDefault="00EC5AD1" w:rsidP="00E203B4">
      <w:pPr>
        <w:spacing w:line="480" w:lineRule="auto"/>
        <w:jc w:val="both"/>
      </w:pPr>
    </w:p>
    <w:p w14:paraId="226A13F6" w14:textId="7DB93543" w:rsidR="00EC5AD1" w:rsidRDefault="0087559F" w:rsidP="0087559F">
      <w:pPr>
        <w:spacing w:line="480" w:lineRule="auto"/>
        <w:jc w:val="both"/>
      </w:pPr>
      <w:r>
        <w:rPr>
          <w:noProof/>
        </w:rPr>
        <mc:AlternateContent>
          <mc:Choice Requires="wps">
            <w:drawing>
              <wp:anchor distT="0" distB="0" distL="114300" distR="114300" simplePos="0" relativeHeight="251685888" behindDoc="1" locked="0" layoutInCell="1" allowOverlap="1" wp14:anchorId="6BF4A8EC" wp14:editId="763D4867">
                <wp:simplePos x="0" y="0"/>
                <wp:positionH relativeFrom="column">
                  <wp:posOffset>1706880</wp:posOffset>
                </wp:positionH>
                <wp:positionV relativeFrom="paragraph">
                  <wp:posOffset>2766419</wp:posOffset>
                </wp:positionV>
                <wp:extent cx="2398395" cy="284480"/>
                <wp:effectExtent l="0" t="0" r="1905" b="0"/>
                <wp:wrapTight wrapText="bothSides">
                  <wp:wrapPolygon edited="0">
                    <wp:start x="0" y="0"/>
                    <wp:lineTo x="0" y="20250"/>
                    <wp:lineTo x="21503" y="20250"/>
                    <wp:lineTo x="21503"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398395" cy="284480"/>
                        </a:xfrm>
                        <a:prstGeom prst="rect">
                          <a:avLst/>
                        </a:prstGeom>
                        <a:solidFill>
                          <a:schemeClr val="lt1"/>
                        </a:solidFill>
                        <a:ln w="6350">
                          <a:noFill/>
                        </a:ln>
                      </wps:spPr>
                      <wps:txbx>
                        <w:txbxContent>
                          <w:p w14:paraId="0BA9DC60" w14:textId="01C3DEAA" w:rsidR="00265C28" w:rsidRPr="00FD2285" w:rsidRDefault="00265C28" w:rsidP="00FD2285">
                            <w:pPr>
                              <w:rPr>
                                <w:b/>
                                <w:bCs/>
                                <w:i/>
                                <w:iCs/>
                                <w:sz w:val="22"/>
                                <w:szCs w:val="22"/>
                              </w:rPr>
                            </w:pPr>
                            <w:r>
                              <w:rPr>
                                <w:b/>
                                <w:bCs/>
                                <w:i/>
                                <w:iCs/>
                                <w:sz w:val="22"/>
                                <w:szCs w:val="22"/>
                              </w:rPr>
                              <w:t>Figure 11: Profit Margin of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4A8EC" id="Text Box 23" o:spid="_x0000_s1037" type="#_x0000_t202" style="position:absolute;left:0;text-align:left;margin-left:134.4pt;margin-top:217.85pt;width:188.85pt;height:22.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" fillcolor="white [3201]" stroked="f" strokeweight=".5pt">
                <v:textbox>
                  <w:txbxContent>
                    <w:p w14:paraId="0BA9DC60" w14:textId="01C3DEAA" w:rsidR="00265C28" w:rsidRPr="00FD2285" w:rsidRDefault="00265C28" w:rsidP="00FD2285">
                      <w:pPr>
                        <w:rPr>
                          <w:b/>
                          <w:bCs/>
                          <w:i/>
                          <w:iCs/>
                          <w:sz w:val="22"/>
                          <w:szCs w:val="22"/>
                        </w:rPr>
                      </w:pPr>
                      <w:r>
                        <w:rPr>
                          <w:b/>
                          <w:bCs/>
                          <w:i/>
                          <w:iCs/>
                          <w:sz w:val="22"/>
                          <w:szCs w:val="22"/>
                        </w:rPr>
                        <w:t>Figure 11: Profit Margin of SEC</w:t>
                      </w:r>
                    </w:p>
                  </w:txbxContent>
                </v:textbox>
                <w10:wrap type="tight"/>
              </v:shape>
            </w:pict>
          </mc:Fallback>
        </mc:AlternateContent>
      </w:r>
      <w:r w:rsidRPr="002279EF">
        <w:rPr>
          <w:noProof/>
        </w:rPr>
        <w:drawing>
          <wp:anchor distT="0" distB="0" distL="114300" distR="114300" simplePos="0" relativeHeight="251662336" behindDoc="1" locked="0" layoutInCell="1" allowOverlap="1" wp14:anchorId="74F6A403" wp14:editId="22C95817">
            <wp:simplePos x="0" y="0"/>
            <wp:positionH relativeFrom="column">
              <wp:posOffset>-29845</wp:posOffset>
            </wp:positionH>
            <wp:positionV relativeFrom="paragraph">
              <wp:posOffset>0</wp:posOffset>
            </wp:positionV>
            <wp:extent cx="5949315" cy="2693035"/>
            <wp:effectExtent l="0" t="0" r="6985" b="12065"/>
            <wp:wrapTight wrapText="bothSides">
              <wp:wrapPolygon edited="0">
                <wp:start x="0" y="0"/>
                <wp:lineTo x="0" y="21595"/>
                <wp:lineTo x="21579" y="21595"/>
                <wp:lineTo x="21579" y="0"/>
                <wp:lineTo x="0" y="0"/>
              </wp:wrapPolygon>
            </wp:wrapTight>
            <wp:docPr id="11" name="Chart 11">
              <a:extLst xmlns:a="http://schemas.openxmlformats.org/drawingml/2006/main">
                <a:ext uri="{FF2B5EF4-FFF2-40B4-BE49-F238E27FC236}">
                  <a16:creationId xmlns:a16="http://schemas.microsoft.com/office/drawing/2014/main" id="{C7E8BF52-A621-0F4B-94CD-5B217C04C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18F045E2" w14:textId="0B622226" w:rsidR="009A6382" w:rsidRDefault="002151CF" w:rsidP="00E203B4">
      <w:pPr>
        <w:spacing w:line="480" w:lineRule="auto"/>
        <w:jc w:val="both"/>
      </w:pPr>
      <w:r>
        <w:t>Profit margin shows how a company effectively genera</w:t>
      </w:r>
      <w:r w:rsidR="004752A0">
        <w:t xml:space="preserve">tes profits from the sales that they have made. </w:t>
      </w:r>
      <w:r w:rsidR="00125467">
        <w:t>SEC</w:t>
      </w:r>
      <w:r w:rsidR="009A6382">
        <w:t xml:space="preserve"> shows that they have been successful in the growth of sales from 2016 to 2017, resulting to an increase in profit margins from 11% to 17%. This can be explained through </w:t>
      </w:r>
      <w:r w:rsidR="00125467">
        <w:t>their release of the</w:t>
      </w:r>
      <w:r w:rsidR="00EC5AD1">
        <w:t xml:space="preserve">ir </w:t>
      </w:r>
      <w:r w:rsidR="009A6382">
        <w:t>QLED T</w:t>
      </w:r>
      <w:r w:rsidR="00EC5AD1">
        <w:t>V, which is the very first kind of TV in</w:t>
      </w:r>
      <w:r w:rsidR="00125467">
        <w:t xml:space="preserve"> the</w:t>
      </w:r>
      <w:r w:rsidR="009A6382">
        <w:t xml:space="preserve"> global market, </w:t>
      </w:r>
      <w:r w:rsidR="00EC5AD1">
        <w:t>and this had</w:t>
      </w:r>
      <w:r w:rsidR="009A6382">
        <w:t xml:space="preserve"> boosted their sales as they were highly demanded. They continued to secure their leadership in the year 2018, which improved their profit margin to 18% </w:t>
      </w:r>
      <w:sdt>
        <w:sdtPr>
          <w:id w:val="1791240472"/>
          <w:citation/>
        </w:sdtPr>
        <w:sdtEndPr/>
        <w:sdtContent>
          <w:r w:rsidR="009A6382">
            <w:fldChar w:fldCharType="begin"/>
          </w:r>
          <w:r w:rsidR="009A6382">
            <w:instrText xml:space="preserve"> CITATION SAM \l 1033 </w:instrText>
          </w:r>
          <w:r w:rsidR="009A6382">
            <w:fldChar w:fldCharType="separate"/>
          </w:r>
          <w:r w:rsidR="00D55B0E">
            <w:rPr>
              <w:noProof/>
            </w:rPr>
            <w:t>(SAMSUNG, 2019)</w:t>
          </w:r>
          <w:r w:rsidR="009A6382">
            <w:fldChar w:fldCharType="end"/>
          </w:r>
        </w:sdtContent>
      </w:sdt>
      <w:r w:rsidR="009A6382">
        <w:t xml:space="preserve">. However, there is a decline in their profits due to fall in sales during 2019. It has been suggested that Samsung had been negatively affected by the trade war between US and China and to fierce competition, which results to a fall in demand towards </w:t>
      </w:r>
      <w:r w:rsidR="00125467">
        <w:t>one of their products,</w:t>
      </w:r>
      <w:r w:rsidR="009A6382">
        <w:t xml:space="preserve"> semiconductors. This resulted to significant fall in sales and it had affected the company’s profits </w:t>
      </w:r>
      <w:sdt>
        <w:sdtPr>
          <w:id w:val="-1559705804"/>
          <w:citation/>
        </w:sdtPr>
        <w:sdtEndPr/>
        <w:sdtContent>
          <w:r w:rsidR="009A6382">
            <w:fldChar w:fldCharType="begin"/>
          </w:r>
          <w:r w:rsidR="009A6382">
            <w:instrText xml:space="preserve"> CITATION Bus19 \l 1033 </w:instrText>
          </w:r>
          <w:r w:rsidR="009A6382">
            <w:fldChar w:fldCharType="separate"/>
          </w:r>
          <w:r w:rsidR="00D55B0E">
            <w:rPr>
              <w:noProof/>
            </w:rPr>
            <w:t>(Business Times, 2019)</w:t>
          </w:r>
          <w:r w:rsidR="009A6382">
            <w:fldChar w:fldCharType="end"/>
          </w:r>
        </w:sdtContent>
      </w:sdt>
      <w:r w:rsidR="009A6382">
        <w:t xml:space="preserve">. </w:t>
      </w:r>
      <w:r w:rsidR="00EC5AD1">
        <w:t xml:space="preserve">Overall, this can be predicted on the basis of their ROA and ROE, as the previous ratios had depicted an inefficient usage of assets to generate profits. </w:t>
      </w:r>
    </w:p>
    <w:p w14:paraId="01A47D3A" w14:textId="1E64B892" w:rsidR="00EC5AD1" w:rsidRDefault="00EC5AD1" w:rsidP="00E203B4">
      <w:pPr>
        <w:spacing w:line="480" w:lineRule="auto"/>
        <w:jc w:val="both"/>
      </w:pPr>
    </w:p>
    <w:p w14:paraId="190969BF" w14:textId="7D2281A6" w:rsidR="00EC5AD1" w:rsidRDefault="00EC5AD1" w:rsidP="00E203B4">
      <w:pPr>
        <w:spacing w:line="480" w:lineRule="auto"/>
        <w:jc w:val="both"/>
      </w:pPr>
      <w:r>
        <w:t xml:space="preserve">Overall, the profitability ratios </w:t>
      </w:r>
      <w:r w:rsidR="00C871D6">
        <w:t>show</w:t>
      </w:r>
      <w:r>
        <w:t xml:space="preserve"> that the company had experienced difficulties in generating profits over the years from 2018 to 2019. This fall in profits can be explained through the increases in </w:t>
      </w:r>
      <w:r w:rsidR="00754FBD">
        <w:t xml:space="preserve">operating costs and decline in sales, which had led to a significant fall in their operating profit in 2019 as compared to 2018. Furthermore, their ROE and ROA has shown that the company has been inefficient in utilizing their total assets in generating sales, which had led to the fall in their profits. The drop in these ratios can be discouraging for potential investors as low confidence is expected when these figures depict potential low returns for SEC’s shareholders. </w:t>
      </w:r>
    </w:p>
    <w:p w14:paraId="6F33E157" w14:textId="77777777" w:rsidR="00E203B4" w:rsidRDefault="00E203B4" w:rsidP="00E203B4">
      <w:pPr>
        <w:spacing w:line="480" w:lineRule="auto"/>
        <w:jc w:val="both"/>
      </w:pPr>
    </w:p>
    <w:p w14:paraId="05C726FC" w14:textId="59B0091C" w:rsidR="00732F9E" w:rsidRDefault="00732F9E" w:rsidP="00513C7F">
      <w:pPr>
        <w:spacing w:line="480" w:lineRule="auto"/>
        <w:jc w:val="both"/>
        <w:rPr>
          <w:b/>
          <w:bCs/>
          <w:color w:val="0C2188"/>
          <w:sz w:val="28"/>
          <w:szCs w:val="28"/>
        </w:rPr>
      </w:pPr>
      <w:r w:rsidRPr="005938AD">
        <w:rPr>
          <w:b/>
          <w:bCs/>
          <w:color w:val="0C2188"/>
          <w:sz w:val="28"/>
          <w:szCs w:val="28"/>
        </w:rPr>
        <w:t xml:space="preserve">Conclusion </w:t>
      </w:r>
    </w:p>
    <w:p w14:paraId="515A537C" w14:textId="647A3AF5" w:rsidR="00C871D6" w:rsidRDefault="00A2101A" w:rsidP="00513C7F">
      <w:pPr>
        <w:spacing w:line="480" w:lineRule="auto"/>
        <w:jc w:val="both"/>
        <w:rPr>
          <w:color w:val="000000" w:themeColor="text1"/>
        </w:rPr>
      </w:pPr>
      <w:r>
        <w:rPr>
          <w:color w:val="000000" w:themeColor="text1"/>
        </w:rPr>
        <w:t xml:space="preserve">      </w:t>
      </w:r>
      <w:r w:rsidR="00C871D6">
        <w:rPr>
          <w:color w:val="000000" w:themeColor="text1"/>
        </w:rPr>
        <w:t>SEC appears to be stable in terms of liquidity and in their structure of capital, as they th</w:t>
      </w:r>
      <w:r w:rsidR="00240914">
        <w:rPr>
          <w:color w:val="000000" w:themeColor="text1"/>
        </w:rPr>
        <w:t xml:space="preserve">eir ratios deem themselves to be capable of paying their short-term debts effectively and </w:t>
      </w:r>
      <w:r w:rsidR="00F9721F">
        <w:rPr>
          <w:color w:val="000000" w:themeColor="text1"/>
        </w:rPr>
        <w:t xml:space="preserve">they are also shown to be </w:t>
      </w:r>
      <w:r w:rsidR="00240914">
        <w:rPr>
          <w:color w:val="000000" w:themeColor="text1"/>
        </w:rPr>
        <w:t xml:space="preserve">less reliant on debt in funding their operations. However, their activity and profitability ratios can differ in comparison. </w:t>
      </w:r>
    </w:p>
    <w:p w14:paraId="72A74E97" w14:textId="2F85344B" w:rsidR="00240914" w:rsidRDefault="00A2101A" w:rsidP="00513C7F">
      <w:pPr>
        <w:spacing w:line="480" w:lineRule="auto"/>
        <w:jc w:val="both"/>
      </w:pPr>
      <w:r>
        <w:t xml:space="preserve">       </w:t>
      </w:r>
      <w:r w:rsidR="00240914">
        <w:t xml:space="preserve">Their liquidity position has grown to improve from 2017 to 2019 and this can benefit them in the long run. Through effective management, they </w:t>
      </w:r>
      <w:r w:rsidR="00EB703D">
        <w:t xml:space="preserve">can </w:t>
      </w:r>
      <w:r w:rsidR="00240914">
        <w:t>develop</w:t>
      </w:r>
      <w:r w:rsidR="00EB703D">
        <w:t xml:space="preserve"> further</w:t>
      </w:r>
      <w:r w:rsidR="00240914">
        <w:t xml:space="preserve"> strategies </w:t>
      </w:r>
      <w:r w:rsidR="00EB703D">
        <w:t xml:space="preserve">with the aim of </w:t>
      </w:r>
      <w:r w:rsidR="00240914">
        <w:t>improv</w:t>
      </w:r>
      <w:r w:rsidR="00EB703D">
        <w:t>ing</w:t>
      </w:r>
      <w:r w:rsidR="00240914">
        <w:t xml:space="preserve"> their profitability,</w:t>
      </w:r>
      <w:r w:rsidR="00EB703D">
        <w:t xml:space="preserve"> without the risks of being unable to pay their debts that can arise from </w:t>
      </w:r>
      <w:r w:rsidR="00F9721F">
        <w:t>the planned</w:t>
      </w:r>
      <w:r w:rsidR="00EB703D">
        <w:t xml:space="preserve"> activities</w:t>
      </w:r>
      <w:r w:rsidR="00F9721F">
        <w:t xml:space="preserve"> they would do in the future</w:t>
      </w:r>
      <w:r w:rsidR="00EB703D">
        <w:t xml:space="preserve"> </w:t>
      </w:r>
      <w:sdt>
        <w:sdtPr>
          <w:id w:val="788396050"/>
          <w:citation/>
        </w:sdtPr>
        <w:sdtEndPr/>
        <w:sdtContent>
          <w:r w:rsidR="00240914">
            <w:fldChar w:fldCharType="begin"/>
          </w:r>
          <w:r w:rsidR="00240914">
            <w:instrText xml:space="preserve"> CITATION Aln20 \l 1033 </w:instrText>
          </w:r>
          <w:r w:rsidR="00240914">
            <w:fldChar w:fldCharType="separate"/>
          </w:r>
          <w:r w:rsidR="00240914">
            <w:rPr>
              <w:noProof/>
            </w:rPr>
            <w:t>(Alnuaimi &amp; Nobanee, 2020)</w:t>
          </w:r>
          <w:r w:rsidR="00240914">
            <w:fldChar w:fldCharType="end"/>
          </w:r>
        </w:sdtContent>
      </w:sdt>
      <w:r w:rsidR="00240914">
        <w:t xml:space="preserve">. </w:t>
      </w:r>
      <w:r>
        <w:t xml:space="preserve">This is evident in SEC through their </w:t>
      </w:r>
      <w:r w:rsidR="00F9721F">
        <w:t xml:space="preserve">liquidity </w:t>
      </w:r>
      <w:r>
        <w:t xml:space="preserve">results, since it </w:t>
      </w:r>
      <w:r w:rsidR="00EB703D">
        <w:t xml:space="preserve">defines the </w:t>
      </w:r>
      <w:r w:rsidR="00240914">
        <w:t xml:space="preserve">company </w:t>
      </w:r>
      <w:r w:rsidR="00EB703D">
        <w:t>to have</w:t>
      </w:r>
      <w:r w:rsidR="00240914">
        <w:t xml:space="preserve"> extremely low chances of bankruptcy, </w:t>
      </w:r>
      <w:r w:rsidR="00EB703D">
        <w:t>and this is</w:t>
      </w:r>
      <w:r w:rsidR="00240914">
        <w:t xml:space="preserve"> attractive to investors and creditors as it shows that there are high chances of earning repayments. Moreover, SEC is seen to be financially healthy in terms of their debt ratios as results shows that their assets </w:t>
      </w:r>
      <w:r w:rsidR="00EB703D">
        <w:t>is</w:t>
      </w:r>
      <w:r w:rsidR="00240914">
        <w:t xml:space="preserve"> </w:t>
      </w:r>
      <w:r w:rsidR="00F9721F">
        <w:t xml:space="preserve">enough to be </w:t>
      </w:r>
      <w:r w:rsidR="00240914">
        <w:t>capable of paying off their liabilities, which is another factor that investors and creditors can desire at this current time</w:t>
      </w:r>
      <w:r w:rsidR="00EB703D">
        <w:t>,</w:t>
      </w:r>
      <w:r w:rsidR="00240914">
        <w:t xml:space="preserve"> as it indicates that the company is able to pay them back despite of the unstable economic environment </w:t>
      </w:r>
      <w:r w:rsidR="00EB703D">
        <w:t>caused</w:t>
      </w:r>
      <w:r w:rsidR="00240914">
        <w:t xml:space="preserve"> </w:t>
      </w:r>
      <w:r w:rsidR="00EB703D">
        <w:t>by the</w:t>
      </w:r>
      <w:r w:rsidR="00240914">
        <w:t xml:space="preserve"> ongoing pandemic. However, the Time Interest Earned Ratio contrasts the improved results of the debt ratio as it had declined over time, although</w:t>
      </w:r>
      <w:r w:rsidR="00EB703D">
        <w:t>,</w:t>
      </w:r>
      <w:r w:rsidR="00240914">
        <w:t xml:space="preserve"> </w:t>
      </w:r>
      <w:r w:rsidR="00EB703D">
        <w:t>this ratio</w:t>
      </w:r>
      <w:r w:rsidR="00240914">
        <w:t xml:space="preserve"> is not expected to be completely discouraging for </w:t>
      </w:r>
      <w:r w:rsidR="004E730B">
        <w:t xml:space="preserve">financially concerned stakeholders as </w:t>
      </w:r>
      <w:r w:rsidR="00EB703D">
        <w:t>result</w:t>
      </w:r>
      <w:r w:rsidR="004E730B">
        <w:t xml:space="preserve">s </w:t>
      </w:r>
      <w:r w:rsidR="00EB703D">
        <w:t xml:space="preserve">is </w:t>
      </w:r>
      <w:r w:rsidR="004E730B">
        <w:t>depicted to still be very high</w:t>
      </w:r>
      <w:r w:rsidR="00EB703D">
        <w:t xml:space="preserve">, which </w:t>
      </w:r>
      <w:r w:rsidR="004E730B">
        <w:t>indicate</w:t>
      </w:r>
      <w:r w:rsidR="00EB703D">
        <w:t>s</w:t>
      </w:r>
      <w:r w:rsidR="004E730B">
        <w:t xml:space="preserve"> that SEC is able to pay their obligations effectively. </w:t>
      </w:r>
    </w:p>
    <w:p w14:paraId="73BD9468" w14:textId="60F0F1FC" w:rsidR="0008779B" w:rsidRDefault="0008779B" w:rsidP="0008779B">
      <w:pPr>
        <w:spacing w:line="480" w:lineRule="auto"/>
        <w:jc w:val="both"/>
      </w:pPr>
      <w:r>
        <w:t xml:space="preserve">       </w:t>
      </w:r>
      <w:r w:rsidR="004E730B">
        <w:t xml:space="preserve">On the other hand, SEC’s activity ratios depict the company to be less efficient in 2019. They appear to have difficulties in collecting payments from debtors and they are also becoming less effective in utilizing their assets to produce revenues. Contrarily, an improvement has been noticed in their </w:t>
      </w:r>
      <w:r w:rsidR="002570CF">
        <w:t xml:space="preserve">Inventory Turnover </w:t>
      </w:r>
      <w:r w:rsidR="004E730B">
        <w:t xml:space="preserve">in 2019 </w:t>
      </w:r>
      <w:r w:rsidR="002570CF">
        <w:t>as</w:t>
      </w:r>
      <w:r w:rsidR="004E730B">
        <w:t xml:space="preserve"> compared to the </w:t>
      </w:r>
      <w:r w:rsidR="00F9721F">
        <w:t>fall</w:t>
      </w:r>
      <w:r w:rsidR="002570CF">
        <w:t xml:space="preserve">en results shown </w:t>
      </w:r>
      <w:r w:rsidR="004E730B">
        <w:t xml:space="preserve">from 2017 to 2018. </w:t>
      </w:r>
      <w:r>
        <w:t xml:space="preserve">Furthermore, the fall in their sales </w:t>
      </w:r>
      <w:r w:rsidR="00A2101A">
        <w:t xml:space="preserve">could be </w:t>
      </w:r>
      <w:r w:rsidR="00F9721F">
        <w:t>a</w:t>
      </w:r>
      <w:r w:rsidR="00A2101A">
        <w:t xml:space="preserve"> consequence of the changes within the economic environment and </w:t>
      </w:r>
      <w:r w:rsidR="00F9721F">
        <w:t>from</w:t>
      </w:r>
      <w:r w:rsidR="00A2101A">
        <w:t xml:space="preserve"> increasing competition</w:t>
      </w:r>
      <w:r w:rsidR="00F9721F">
        <w:t xml:space="preserve"> in the electronics market</w:t>
      </w:r>
      <w:r>
        <w:t xml:space="preserve">, and this had caused a fall in their profits. This can be further explained from their ROE and ROA, as the ratio’s results has shown that </w:t>
      </w:r>
      <w:r w:rsidR="00C871D6">
        <w:t>the company has been inefficient in utilizing their total assets in generating sales</w:t>
      </w:r>
      <w:r>
        <w:t xml:space="preserve">, which can be </w:t>
      </w:r>
      <w:r w:rsidR="00C871D6">
        <w:t xml:space="preserve">discouraging for potential investors </w:t>
      </w:r>
      <w:r>
        <w:t xml:space="preserve">when they notice that the current SEC’s shareholder’s equity is not being utilized efficiently to generate profits. </w:t>
      </w:r>
    </w:p>
    <w:p w14:paraId="3BFDECD2" w14:textId="21338FD9" w:rsidR="001D5A67" w:rsidRPr="00E203B4" w:rsidRDefault="0008779B" w:rsidP="0008779B">
      <w:pPr>
        <w:spacing w:line="480" w:lineRule="auto"/>
        <w:jc w:val="both"/>
      </w:pPr>
      <w:r>
        <w:t xml:space="preserve">       Finally,</w:t>
      </w:r>
      <w:r w:rsidR="00EB4103">
        <w:t xml:space="preserve"> in the year 2020</w:t>
      </w:r>
      <w:r>
        <w:t>, the economic environment is predicted to be more unstable due to the current pandemic, and this may affect their financial performance even more</w:t>
      </w:r>
      <w:r w:rsidR="00EB4103">
        <w:t xml:space="preserve">. </w:t>
      </w:r>
      <w:r>
        <w:t>However, the overall results of SEC’s ratio’s analysis is not deeming the company to be at its worst state over its entire lifespan</w:t>
      </w:r>
      <w:r w:rsidR="006B4269">
        <w:t xml:space="preserve"> as of now</w:t>
      </w:r>
      <w:r>
        <w:t>, but rather they are facing challenges that many can expect for the business to overcome across time, as they can still be seen to be financially healthy on the basis of their liquidity and their structure of capital. Hence, it is still advisable for SEC to be a choice for investor</w:t>
      </w:r>
      <w:r w:rsidR="00F9721F">
        <w:t>s</w:t>
      </w:r>
      <w:r w:rsidR="006B4269">
        <w:t xml:space="preserve"> and creditors, however, it is still important for the firm to execute effective managerial decisions that would solve the issues that is revealed from their activity and profitability ratios. </w:t>
      </w:r>
    </w:p>
    <w:sdt>
      <w:sdtPr>
        <w:rPr>
          <w:rFonts w:ascii="Times New Roman" w:eastAsia="Times New Roman" w:hAnsi="Times New Roman" w:cs="Times New Roman"/>
          <w:b w:val="0"/>
          <w:bCs w:val="0"/>
          <w:color w:val="auto"/>
          <w:sz w:val="24"/>
          <w:szCs w:val="24"/>
          <w:lang w:bidi="ar-SA"/>
        </w:rPr>
        <w:id w:val="1976023684"/>
        <w:docPartObj>
          <w:docPartGallery w:val="Bibliographies"/>
          <w:docPartUnique/>
        </w:docPartObj>
      </w:sdtPr>
      <w:sdtEndPr/>
      <w:sdtContent>
        <w:p w14:paraId="6914E42E" w14:textId="01C0033B" w:rsidR="00FC7C01" w:rsidRPr="005938AD" w:rsidRDefault="00E203B4" w:rsidP="00EB4103">
          <w:pPr>
            <w:pStyle w:val="Heading1"/>
            <w:spacing w:line="480" w:lineRule="auto"/>
            <w:rPr>
              <w:color w:val="0C2188"/>
            </w:rPr>
          </w:pPr>
          <w:r w:rsidRPr="005938AD">
            <w:rPr>
              <w:rFonts w:asciiTheme="majorBidi" w:hAnsiTheme="majorBidi"/>
              <w:color w:val="0C2188"/>
            </w:rPr>
            <w:t>References:</w:t>
          </w:r>
        </w:p>
        <w:p w14:paraId="0EE91C29" w14:textId="19B287EE" w:rsidR="00185D96" w:rsidRDefault="00185D96" w:rsidP="00D55B0E">
          <w:pPr>
            <w:pStyle w:val="Bibliography"/>
            <w:spacing w:line="480" w:lineRule="auto"/>
            <w:ind w:left="720" w:hanging="720"/>
            <w:rPr>
              <w:noProof/>
            </w:rPr>
          </w:pPr>
          <w:r w:rsidRPr="00185D96">
            <w:rPr>
              <w:noProof/>
            </w:rPr>
            <w:t xml:space="preserve">Al Ahbabi, Al Reem and Nobanee, Haitham, Conceptual Building of Sustainable Financial Management &amp; Sustainable Financial Growth (October 19, 2019). Available at SSRN: https://ssrn.com/abstract=3472313  or </w:t>
          </w:r>
          <w:hyperlink r:id="rId18" w:history="1">
            <w:r w:rsidRPr="008D15DF">
              <w:rPr>
                <w:rStyle w:val="Hyperlink"/>
                <w:noProof/>
              </w:rPr>
              <w:t>http://dx.doi.org/10.2139/ssrn.3472313</w:t>
            </w:r>
          </w:hyperlink>
        </w:p>
        <w:p w14:paraId="5FA676FE" w14:textId="77777777" w:rsidR="00185D96" w:rsidRDefault="00185D96" w:rsidP="00D55B0E">
          <w:pPr>
            <w:pStyle w:val="Bibliography"/>
            <w:spacing w:line="480" w:lineRule="auto"/>
            <w:ind w:left="720" w:hanging="720"/>
            <w:rPr>
              <w:noProof/>
            </w:rPr>
          </w:pPr>
        </w:p>
        <w:p w14:paraId="17083096" w14:textId="637BF3DE" w:rsidR="00185D96" w:rsidRPr="00EB4103" w:rsidRDefault="00185D96" w:rsidP="00185D96">
          <w:pPr>
            <w:pStyle w:val="Bibliography"/>
            <w:spacing w:line="480" w:lineRule="auto"/>
            <w:ind w:left="720" w:hanging="720"/>
            <w:rPr>
              <w:noProof/>
            </w:rPr>
          </w:pPr>
          <w:r w:rsidRPr="00185D96">
            <w:rPr>
              <w:noProof/>
            </w:rPr>
            <w:t>Alnuaimi, Suhail and Nobanee, Haitham, Working Capital Management and Sustainability: A Mini-Review (2020). Available at SSRN: https://ssrn.com/abstract=3539427  or http://dx.doi.org/10.2139/ssrn.3539427</w:t>
          </w:r>
        </w:p>
        <w:p w14:paraId="18C43450" w14:textId="0FE939C1" w:rsidR="00125467" w:rsidRDefault="00125467" w:rsidP="00D55B0E">
          <w:pPr>
            <w:pStyle w:val="Bibliography"/>
            <w:spacing w:line="480" w:lineRule="auto"/>
            <w:ind w:left="720" w:hanging="720"/>
            <w:rPr>
              <w:noProof/>
            </w:rPr>
          </w:pPr>
          <w:r>
            <w:rPr>
              <w:noProof/>
            </w:rPr>
            <w:t xml:space="preserve">Burris, M. (2020, February 3). </w:t>
          </w:r>
          <w:r>
            <w:rPr>
              <w:i/>
              <w:iCs/>
              <w:noProof/>
            </w:rPr>
            <w:t>The History of Samsung (1938-Present)</w:t>
          </w:r>
          <w:r>
            <w:rPr>
              <w:noProof/>
            </w:rPr>
            <w:t xml:space="preserve">. Retrieved from Lifewire: </w:t>
          </w:r>
          <w:hyperlink r:id="rId19" w:history="1">
            <w:r w:rsidR="005E5B61" w:rsidRPr="007B30E0">
              <w:rPr>
                <w:rStyle w:val="Hyperlink"/>
                <w:noProof/>
              </w:rPr>
              <w:t>https://www.lifewire.com/history-of-samsung-818809</w:t>
            </w:r>
          </w:hyperlink>
        </w:p>
        <w:p w14:paraId="75282C6B" w14:textId="77777777" w:rsidR="00D55B0E" w:rsidRDefault="005E5B61" w:rsidP="00D55B0E">
          <w:pPr>
            <w:pStyle w:val="Bibliography"/>
            <w:spacing w:line="480" w:lineRule="auto"/>
            <w:ind w:left="720" w:hanging="720"/>
            <w:rPr>
              <w:noProof/>
            </w:rPr>
          </w:pPr>
          <w:r>
            <w:rPr>
              <w:noProof/>
            </w:rPr>
            <w:t xml:space="preserve">Business Times. (2019, July 6). </w:t>
          </w:r>
          <w:r>
            <w:rPr>
              <w:i/>
              <w:iCs/>
              <w:noProof/>
            </w:rPr>
            <w:t>Samsung, stung by trade war, expects a big plunge in profits</w:t>
          </w:r>
          <w:r>
            <w:rPr>
              <w:noProof/>
            </w:rPr>
            <w:t xml:space="preserve">. Retrieved from Business Times: </w:t>
          </w:r>
          <w:hyperlink r:id="rId20" w:history="1">
            <w:r w:rsidRPr="007B30E0">
              <w:rPr>
                <w:rStyle w:val="Hyperlink"/>
                <w:noProof/>
              </w:rPr>
              <w:t>https://www.businesstimes.com.sg/technology/samsung-stung-by-trade-war-expects-a-big-plunge-in-profits</w:t>
            </w:r>
          </w:hyperlink>
          <w:r w:rsidR="00D55B0E" w:rsidRPr="00D55B0E">
            <w:rPr>
              <w:noProof/>
            </w:rPr>
            <w:t xml:space="preserve"> </w:t>
          </w:r>
        </w:p>
        <w:p w14:paraId="0A1AD864" w14:textId="29A302FA" w:rsidR="00D55B0E" w:rsidRPr="00D55B0E" w:rsidRDefault="00D55B0E" w:rsidP="00EC5AD1">
          <w:pPr>
            <w:pStyle w:val="Bibliography"/>
            <w:spacing w:line="480" w:lineRule="auto"/>
            <w:ind w:left="720" w:hanging="720"/>
            <w:rPr>
              <w:noProof/>
            </w:rPr>
          </w:pPr>
          <w:r>
            <w:rPr>
              <w:noProof/>
            </w:rPr>
            <w:t xml:space="preserve">Hayes, A. (2019, May 13). </w:t>
          </w:r>
          <w:r>
            <w:rPr>
              <w:i/>
              <w:iCs/>
              <w:noProof/>
            </w:rPr>
            <w:t>Liquidity Ratio Definition</w:t>
          </w:r>
          <w:r>
            <w:rPr>
              <w:noProof/>
            </w:rPr>
            <w:t>. From Investopedia: https://www.investopedia.com/terms/l/liquidityratios.asp</w:t>
          </w:r>
        </w:p>
        <w:p w14:paraId="1DC45FEC" w14:textId="5010B2BB" w:rsidR="00D55B0E" w:rsidRDefault="00D55B0E" w:rsidP="00D55B0E">
          <w:pPr>
            <w:pStyle w:val="Bibliography"/>
            <w:spacing w:line="480" w:lineRule="auto"/>
            <w:ind w:left="720" w:hanging="720"/>
            <w:rPr>
              <w:noProof/>
            </w:rPr>
          </w:pPr>
          <w:r>
            <w:rPr>
              <w:noProof/>
            </w:rPr>
            <w:t>Kenton, W. (2020</w:t>
          </w:r>
          <w:r w:rsidR="0053296F">
            <w:rPr>
              <w:noProof/>
            </w:rPr>
            <w:t>a</w:t>
          </w:r>
          <w:r>
            <w:rPr>
              <w:noProof/>
            </w:rPr>
            <w:t xml:space="preserve">, March 2). </w:t>
          </w:r>
          <w:r>
            <w:rPr>
              <w:i/>
              <w:iCs/>
              <w:noProof/>
            </w:rPr>
            <w:t>Activity Ratios Definition</w:t>
          </w:r>
          <w:r>
            <w:rPr>
              <w:noProof/>
            </w:rPr>
            <w:t xml:space="preserve">. From Investopedia: </w:t>
          </w:r>
          <w:hyperlink r:id="rId21" w:history="1">
            <w:r w:rsidRPr="00A0263F">
              <w:rPr>
                <w:rStyle w:val="Hyperlink"/>
                <w:noProof/>
              </w:rPr>
              <w:t>https://www.investopedia.com/terms/a/activityratio.asp</w:t>
            </w:r>
          </w:hyperlink>
        </w:p>
        <w:p w14:paraId="5933B72D" w14:textId="2BA5A2A6" w:rsidR="00D55B0E" w:rsidRDefault="00D55B0E" w:rsidP="00D55B0E">
          <w:pPr>
            <w:pStyle w:val="Bibliography"/>
            <w:spacing w:line="480" w:lineRule="auto"/>
            <w:ind w:left="720" w:hanging="720"/>
            <w:rPr>
              <w:noProof/>
            </w:rPr>
          </w:pPr>
          <w:r>
            <w:rPr>
              <w:noProof/>
            </w:rPr>
            <w:t>Kenton, W. (2020</w:t>
          </w:r>
          <w:r w:rsidR="0053296F">
            <w:rPr>
              <w:noProof/>
            </w:rPr>
            <w:t>b</w:t>
          </w:r>
          <w:r>
            <w:rPr>
              <w:noProof/>
            </w:rPr>
            <w:t xml:space="preserve">, May 16). </w:t>
          </w:r>
          <w:r>
            <w:rPr>
              <w:i/>
              <w:iCs/>
              <w:noProof/>
            </w:rPr>
            <w:t>Profitability Definition</w:t>
          </w:r>
          <w:r>
            <w:rPr>
              <w:noProof/>
            </w:rPr>
            <w:t>. From Investopedia: https://www.investopedia.com/terms/p/profitabilityratios.asp</w:t>
          </w:r>
        </w:p>
        <w:p w14:paraId="0A76D513" w14:textId="77777777" w:rsidR="005E5B61" w:rsidRDefault="005E5B61" w:rsidP="00D55B0E">
          <w:pPr>
            <w:pStyle w:val="Bibliography"/>
            <w:spacing w:line="480" w:lineRule="auto"/>
            <w:ind w:left="720" w:hanging="720"/>
            <w:rPr>
              <w:noProof/>
            </w:rPr>
          </w:pPr>
          <w:r>
            <w:rPr>
              <w:noProof/>
            </w:rPr>
            <w:t xml:space="preserve">Mautz, R. D., Jr., &amp; Angell, R. J. (2006). Understanding the Basics of Financial Statement Analysis. </w:t>
          </w:r>
          <w:r>
            <w:rPr>
              <w:i/>
              <w:iCs/>
              <w:noProof/>
            </w:rPr>
            <w:t>Commercial Lending Review</w:t>
          </w:r>
          <w:r>
            <w:rPr>
              <w:noProof/>
            </w:rPr>
            <w:t>, 27-34.</w:t>
          </w:r>
        </w:p>
        <w:p w14:paraId="0BD8F71F" w14:textId="6A9160DA" w:rsidR="005E5B61" w:rsidRDefault="005E5B61" w:rsidP="00D55B0E">
          <w:pPr>
            <w:spacing w:line="480" w:lineRule="auto"/>
            <w:ind w:left="720"/>
            <w:rPr>
              <w:color w:val="000000" w:themeColor="text1"/>
            </w:rPr>
          </w:pPr>
          <w:r>
            <w:t>Retrieved from:</w:t>
          </w:r>
          <w:r w:rsidRPr="00125467">
            <w:rPr>
              <w:color w:val="000000" w:themeColor="text1"/>
            </w:rPr>
            <w:t xml:space="preserve"> </w:t>
          </w:r>
          <w:hyperlink r:id="rId22" w:history="1">
            <w:r w:rsidRPr="00125467">
              <w:rPr>
                <w:rStyle w:val="Hyperlink"/>
                <w:color w:val="000000" w:themeColor="text1"/>
                <w:u w:val="none"/>
              </w:rPr>
              <w:t>https://search-proquest-com.adu-lib-database.idm.oclc.org/central/docview/229680301/fulltext/D90233569FA84593PQ/1?accountid=26149</w:t>
            </w:r>
          </w:hyperlink>
        </w:p>
        <w:p w14:paraId="650D43DE" w14:textId="5E5F0552" w:rsidR="001011BD" w:rsidRDefault="00185D96" w:rsidP="00D55B0E">
          <w:pPr>
            <w:pStyle w:val="Bibliography"/>
            <w:spacing w:line="480" w:lineRule="auto"/>
            <w:ind w:left="720" w:hanging="720"/>
            <w:rPr>
              <w:noProof/>
            </w:rPr>
          </w:pPr>
          <w:r w:rsidRPr="00185D96">
            <w:rPr>
              <w:noProof/>
            </w:rPr>
            <w:t xml:space="preserve">Al Muhairi, Mariam and Nobanee, Haitham, Sustainable Financial Management (2019). Available at SSRN: https://ssrn.com/abstract=3472417  or </w:t>
          </w:r>
          <w:hyperlink r:id="rId23" w:history="1">
            <w:r w:rsidR="001011BD" w:rsidRPr="008D15DF">
              <w:rPr>
                <w:rStyle w:val="Hyperlink"/>
                <w:noProof/>
              </w:rPr>
              <w:t>http://dx.doi.org/10.2139/ssrn.3472417</w:t>
            </w:r>
          </w:hyperlink>
        </w:p>
        <w:p w14:paraId="291232AC" w14:textId="77777777" w:rsidR="001011BD" w:rsidRDefault="001011BD" w:rsidP="00D55B0E">
          <w:pPr>
            <w:pStyle w:val="Bibliography"/>
            <w:spacing w:line="480" w:lineRule="auto"/>
            <w:ind w:left="720" w:hanging="720"/>
            <w:rPr>
              <w:noProof/>
            </w:rPr>
          </w:pPr>
        </w:p>
        <w:p w14:paraId="1C93109E" w14:textId="7E5BF6A6" w:rsidR="005E5B61" w:rsidRDefault="00185D96" w:rsidP="00D55B0E">
          <w:pPr>
            <w:pStyle w:val="Bibliography"/>
            <w:spacing w:line="480" w:lineRule="auto"/>
            <w:ind w:left="720" w:hanging="720"/>
            <w:rPr>
              <w:noProof/>
            </w:rPr>
          </w:pPr>
          <w:r w:rsidRPr="00185D96">
            <w:rPr>
              <w:noProof/>
            </w:rPr>
            <w:t xml:space="preserve"> </w:t>
          </w:r>
          <w:r w:rsidR="005E5B61">
            <w:rPr>
              <w:noProof/>
            </w:rPr>
            <w:t xml:space="preserve">Myšková, R., &amp; Hájek, P. (2017). Comprehensive assessment of firm financial performance using financial ratios and linguistic analysis of annual reports. </w:t>
          </w:r>
          <w:r w:rsidR="005E5B61">
            <w:rPr>
              <w:i/>
              <w:iCs/>
              <w:noProof/>
            </w:rPr>
            <w:t>Journal of International Studies</w:t>
          </w:r>
          <w:r w:rsidR="005E5B61">
            <w:rPr>
              <w:noProof/>
            </w:rPr>
            <w:t>.</w:t>
          </w:r>
        </w:p>
        <w:p w14:paraId="50F142B5" w14:textId="32A4C03C" w:rsidR="005E5B61" w:rsidRDefault="005E5B61" w:rsidP="00D55B0E">
          <w:pPr>
            <w:spacing w:line="480" w:lineRule="auto"/>
            <w:ind w:left="720"/>
            <w:rPr>
              <w:color w:val="000000" w:themeColor="text1"/>
            </w:rPr>
          </w:pPr>
          <w:r>
            <w:t xml:space="preserve">Retrieved from: </w:t>
          </w:r>
          <w:hyperlink r:id="rId24" w:history="1">
            <w:r w:rsidRPr="00125467">
              <w:rPr>
                <w:rStyle w:val="Hyperlink"/>
                <w:color w:val="000000" w:themeColor="text1"/>
                <w:u w:val="none"/>
              </w:rPr>
              <w:t>https://search-proquest-com.adu-lib-database.idm.oclc.org/central/docview/2363730412/72A359F2E37744B7PQ/5?accountid=26149</w:t>
            </w:r>
          </w:hyperlink>
        </w:p>
        <w:p w14:paraId="53DCE81D" w14:textId="77777777" w:rsidR="005E5B61" w:rsidRDefault="005E5B61" w:rsidP="00D55B0E">
          <w:pPr>
            <w:pStyle w:val="Bibliography"/>
            <w:spacing w:line="480" w:lineRule="auto"/>
            <w:ind w:left="720" w:hanging="720"/>
            <w:rPr>
              <w:noProof/>
            </w:rPr>
          </w:pPr>
          <w:r>
            <w:rPr>
              <w:noProof/>
            </w:rPr>
            <w:t xml:space="preserve">Rashid, C. A. (2018). Efficiency of Financial Ratios Analysis for Evaluating Companies’ Liquidity. </w:t>
          </w:r>
          <w:r>
            <w:rPr>
              <w:i/>
              <w:iCs/>
              <w:noProof/>
            </w:rPr>
            <w:t>International Journal of Social Sciences &amp; Educational Studies</w:t>
          </w:r>
          <w:r>
            <w:rPr>
              <w:noProof/>
            </w:rPr>
            <w:t>.</w:t>
          </w:r>
        </w:p>
        <w:p w14:paraId="3BBB3A9C" w14:textId="17B1B62D" w:rsidR="00125467" w:rsidRDefault="005E5B61" w:rsidP="00D55B0E">
          <w:pPr>
            <w:spacing w:line="480" w:lineRule="auto"/>
            <w:ind w:left="720"/>
            <w:rPr>
              <w:color w:val="000000" w:themeColor="text1"/>
            </w:rPr>
          </w:pPr>
          <w:r>
            <w:t xml:space="preserve">Retrieved from: </w:t>
          </w:r>
          <w:hyperlink r:id="rId25" w:history="1">
            <w:r w:rsidRPr="00125467">
              <w:rPr>
                <w:rStyle w:val="Hyperlink"/>
                <w:color w:val="000000" w:themeColor="text1"/>
                <w:u w:val="none"/>
              </w:rPr>
              <w:t>https://search-proquest-com.adu-lib-database.idm.oclc.org/central/docview/2394976285/30E1C9595F2E41AAPQ/5?accountid=26149</w:t>
            </w:r>
          </w:hyperlink>
        </w:p>
        <w:p w14:paraId="6DEAEC2C" w14:textId="77777777" w:rsidR="005E5B61" w:rsidRDefault="005E5B61" w:rsidP="00D55B0E">
          <w:pPr>
            <w:pStyle w:val="Bibliography"/>
            <w:spacing w:line="480" w:lineRule="auto"/>
            <w:ind w:left="720" w:hanging="720"/>
            <w:rPr>
              <w:noProof/>
            </w:rPr>
          </w:pPr>
          <w:r>
            <w:rPr>
              <w:noProof/>
            </w:rPr>
            <w:t xml:space="preserve">SAMSUNG. (2019). </w:t>
          </w:r>
          <w:r>
            <w:rPr>
              <w:i/>
              <w:iCs/>
              <w:noProof/>
            </w:rPr>
            <w:t>SAMSUNG ELECTRONICS Co., Ltd. 2019 Business Report.</w:t>
          </w:r>
          <w:r>
            <w:rPr>
              <w:noProof/>
            </w:rPr>
            <w:t xml:space="preserve"> </w:t>
          </w:r>
        </w:p>
        <w:p w14:paraId="17A69D3D" w14:textId="05A3A201" w:rsidR="005E5B61" w:rsidRPr="005E5B61" w:rsidRDefault="005E5B61" w:rsidP="00D55B0E">
          <w:pPr>
            <w:spacing w:line="480" w:lineRule="auto"/>
            <w:ind w:left="720"/>
          </w:pPr>
          <w:r>
            <w:t xml:space="preserve">Retrieved from: </w:t>
          </w:r>
          <w:hyperlink r:id="rId26" w:history="1">
            <w:r w:rsidRPr="00125467">
              <w:rPr>
                <w:rStyle w:val="Hyperlink"/>
                <w:color w:val="000000" w:themeColor="text1"/>
                <w:u w:val="none"/>
              </w:rPr>
              <w:t>https://images.samsung.com/is/content/samsung/p5/global/ir/docs/2019_Business_Report.pdf</w:t>
            </w:r>
          </w:hyperlink>
        </w:p>
        <w:sdt>
          <w:sdtPr>
            <w:id w:val="111145805"/>
            <w:bibliography/>
          </w:sdtPr>
          <w:sdtEndPr/>
          <w:sdtContent>
            <w:p w14:paraId="4F33EDAA" w14:textId="61E031CA" w:rsidR="00D55B0E" w:rsidRDefault="00FC7C01" w:rsidP="00D55B0E">
              <w:pPr>
                <w:pStyle w:val="Bibliography"/>
                <w:spacing w:line="480" w:lineRule="auto"/>
                <w:rPr>
                  <w:noProof/>
                </w:rPr>
              </w:pPr>
              <w:r>
                <w:fldChar w:fldCharType="begin"/>
              </w:r>
              <w:r>
                <w:instrText xml:space="preserve"> BIBLIOGRAPHY </w:instrText>
              </w:r>
              <w:r>
                <w:fldChar w:fldCharType="separate"/>
              </w:r>
            </w:p>
            <w:p w14:paraId="1D2C4FAC" w14:textId="35F51737" w:rsidR="00D55B0E" w:rsidRPr="00D55B0E" w:rsidRDefault="00D55B0E" w:rsidP="0053296F">
              <w:pPr>
                <w:pStyle w:val="Bibliography"/>
                <w:spacing w:line="480" w:lineRule="auto"/>
                <w:ind w:left="720" w:hanging="720"/>
                <w:rPr>
                  <w:noProof/>
                </w:rPr>
              </w:pPr>
              <w:r>
                <w:rPr>
                  <w:noProof/>
                </w:rPr>
                <w:t xml:space="preserve">Zutter, C. J., &amp; Smart, S. B. (2019). </w:t>
              </w:r>
              <w:r>
                <w:rPr>
                  <w:i/>
                  <w:iCs/>
                  <w:noProof/>
                </w:rPr>
                <w:t>Principles of Managerial Finance, Global Edition, 15th Edition.</w:t>
              </w:r>
              <w:r>
                <w:rPr>
                  <w:noProof/>
                </w:rPr>
                <w:t xml:space="preserve"> Pearson.</w:t>
              </w:r>
              <w:r w:rsidRPr="00D55B0E">
                <w:rPr>
                  <w:noProof/>
                </w:rPr>
                <w:t>[VitalSource Bookshelf]. Retrieved from https://online.vitalsource.com/#/books/9781292261577/</w:t>
              </w:r>
            </w:p>
            <w:p w14:paraId="6182AA73" w14:textId="43638C77" w:rsidR="00FC7C01" w:rsidRDefault="00FC7C01" w:rsidP="00D55B0E">
              <w:pPr>
                <w:spacing w:line="480" w:lineRule="auto"/>
              </w:pPr>
              <w:r>
                <w:rPr>
                  <w:b/>
                  <w:bCs/>
                  <w:noProof/>
                </w:rPr>
                <w:fldChar w:fldCharType="end"/>
              </w:r>
            </w:p>
          </w:sdtContent>
        </w:sdt>
      </w:sdtContent>
    </w:sdt>
    <w:p w14:paraId="58D33549" w14:textId="77777777" w:rsidR="00185D96" w:rsidRDefault="00185D96" w:rsidP="00185D96"/>
    <w:p w14:paraId="3D9D9971" w14:textId="77777777" w:rsidR="00FC7C01" w:rsidRPr="00FC7C01" w:rsidRDefault="00FC7C01" w:rsidP="00513C7F">
      <w:pPr>
        <w:spacing w:line="480" w:lineRule="auto"/>
        <w:jc w:val="both"/>
        <w:rPr>
          <w:b/>
          <w:bCs/>
        </w:rPr>
      </w:pPr>
      <w:bookmarkStart w:id="1" w:name="_GoBack"/>
      <w:bookmarkEnd w:id="1"/>
    </w:p>
    <w:sectPr w:rsidR="00FC7C01" w:rsidRPr="00FC7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274F"/>
    <w:multiLevelType w:val="hybridMultilevel"/>
    <w:tmpl w:val="65BC37F6"/>
    <w:lvl w:ilvl="0" w:tplc="614E7728">
      <w:start w:val="1"/>
      <w:numFmt w:val="bullet"/>
      <w:lvlText w:val="–"/>
      <w:lvlJc w:val="left"/>
      <w:pPr>
        <w:tabs>
          <w:tab w:val="num" w:pos="720"/>
        </w:tabs>
        <w:ind w:left="720" w:hanging="360"/>
      </w:pPr>
      <w:rPr>
        <w:rFonts w:ascii="Arial" w:hAnsi="Arial" w:hint="default"/>
      </w:rPr>
    </w:lvl>
    <w:lvl w:ilvl="1" w:tplc="9FAAE732">
      <w:start w:val="1"/>
      <w:numFmt w:val="bullet"/>
      <w:lvlText w:val="–"/>
      <w:lvlJc w:val="left"/>
      <w:pPr>
        <w:tabs>
          <w:tab w:val="num" w:pos="1440"/>
        </w:tabs>
        <w:ind w:left="1440" w:hanging="360"/>
      </w:pPr>
      <w:rPr>
        <w:rFonts w:ascii="Arial" w:hAnsi="Arial" w:hint="default"/>
      </w:rPr>
    </w:lvl>
    <w:lvl w:ilvl="2" w:tplc="E842E288" w:tentative="1">
      <w:start w:val="1"/>
      <w:numFmt w:val="bullet"/>
      <w:lvlText w:val="–"/>
      <w:lvlJc w:val="left"/>
      <w:pPr>
        <w:tabs>
          <w:tab w:val="num" w:pos="2160"/>
        </w:tabs>
        <w:ind w:left="2160" w:hanging="360"/>
      </w:pPr>
      <w:rPr>
        <w:rFonts w:ascii="Arial" w:hAnsi="Arial" w:hint="default"/>
      </w:rPr>
    </w:lvl>
    <w:lvl w:ilvl="3" w:tplc="4150FB5C" w:tentative="1">
      <w:start w:val="1"/>
      <w:numFmt w:val="bullet"/>
      <w:lvlText w:val="–"/>
      <w:lvlJc w:val="left"/>
      <w:pPr>
        <w:tabs>
          <w:tab w:val="num" w:pos="2880"/>
        </w:tabs>
        <w:ind w:left="2880" w:hanging="360"/>
      </w:pPr>
      <w:rPr>
        <w:rFonts w:ascii="Arial" w:hAnsi="Arial" w:hint="default"/>
      </w:rPr>
    </w:lvl>
    <w:lvl w:ilvl="4" w:tplc="B46E8EB0" w:tentative="1">
      <w:start w:val="1"/>
      <w:numFmt w:val="bullet"/>
      <w:lvlText w:val="–"/>
      <w:lvlJc w:val="left"/>
      <w:pPr>
        <w:tabs>
          <w:tab w:val="num" w:pos="3600"/>
        </w:tabs>
        <w:ind w:left="3600" w:hanging="360"/>
      </w:pPr>
      <w:rPr>
        <w:rFonts w:ascii="Arial" w:hAnsi="Arial" w:hint="default"/>
      </w:rPr>
    </w:lvl>
    <w:lvl w:ilvl="5" w:tplc="76146630" w:tentative="1">
      <w:start w:val="1"/>
      <w:numFmt w:val="bullet"/>
      <w:lvlText w:val="–"/>
      <w:lvlJc w:val="left"/>
      <w:pPr>
        <w:tabs>
          <w:tab w:val="num" w:pos="4320"/>
        </w:tabs>
        <w:ind w:left="4320" w:hanging="360"/>
      </w:pPr>
      <w:rPr>
        <w:rFonts w:ascii="Arial" w:hAnsi="Arial" w:hint="default"/>
      </w:rPr>
    </w:lvl>
    <w:lvl w:ilvl="6" w:tplc="A4E0D034" w:tentative="1">
      <w:start w:val="1"/>
      <w:numFmt w:val="bullet"/>
      <w:lvlText w:val="–"/>
      <w:lvlJc w:val="left"/>
      <w:pPr>
        <w:tabs>
          <w:tab w:val="num" w:pos="5040"/>
        </w:tabs>
        <w:ind w:left="5040" w:hanging="360"/>
      </w:pPr>
      <w:rPr>
        <w:rFonts w:ascii="Arial" w:hAnsi="Arial" w:hint="default"/>
      </w:rPr>
    </w:lvl>
    <w:lvl w:ilvl="7" w:tplc="E206B83A" w:tentative="1">
      <w:start w:val="1"/>
      <w:numFmt w:val="bullet"/>
      <w:lvlText w:val="–"/>
      <w:lvlJc w:val="left"/>
      <w:pPr>
        <w:tabs>
          <w:tab w:val="num" w:pos="5760"/>
        </w:tabs>
        <w:ind w:left="5760" w:hanging="360"/>
      </w:pPr>
      <w:rPr>
        <w:rFonts w:ascii="Arial" w:hAnsi="Arial" w:hint="default"/>
      </w:rPr>
    </w:lvl>
    <w:lvl w:ilvl="8" w:tplc="223A73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E65498"/>
    <w:multiLevelType w:val="hybridMultilevel"/>
    <w:tmpl w:val="A28ED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A3120"/>
    <w:multiLevelType w:val="hybridMultilevel"/>
    <w:tmpl w:val="9DA8BC3E"/>
    <w:lvl w:ilvl="0" w:tplc="262CCB72">
      <w:start w:val="1"/>
      <w:numFmt w:val="bullet"/>
      <w:lvlText w:val="•"/>
      <w:lvlJc w:val="left"/>
      <w:pPr>
        <w:tabs>
          <w:tab w:val="num" w:pos="720"/>
        </w:tabs>
        <w:ind w:left="720" w:hanging="360"/>
      </w:pPr>
      <w:rPr>
        <w:rFonts w:ascii="Arial" w:hAnsi="Arial" w:hint="default"/>
      </w:rPr>
    </w:lvl>
    <w:lvl w:ilvl="1" w:tplc="8C18EB34">
      <w:numFmt w:val="bullet"/>
      <w:lvlText w:val="–"/>
      <w:lvlJc w:val="left"/>
      <w:pPr>
        <w:tabs>
          <w:tab w:val="num" w:pos="1440"/>
        </w:tabs>
        <w:ind w:left="1440" w:hanging="360"/>
      </w:pPr>
      <w:rPr>
        <w:rFonts w:ascii="Arial" w:hAnsi="Arial" w:hint="default"/>
      </w:rPr>
    </w:lvl>
    <w:lvl w:ilvl="2" w:tplc="B1045526" w:tentative="1">
      <w:start w:val="1"/>
      <w:numFmt w:val="bullet"/>
      <w:lvlText w:val="•"/>
      <w:lvlJc w:val="left"/>
      <w:pPr>
        <w:tabs>
          <w:tab w:val="num" w:pos="2160"/>
        </w:tabs>
        <w:ind w:left="2160" w:hanging="360"/>
      </w:pPr>
      <w:rPr>
        <w:rFonts w:ascii="Arial" w:hAnsi="Arial" w:hint="default"/>
      </w:rPr>
    </w:lvl>
    <w:lvl w:ilvl="3" w:tplc="18E4288A" w:tentative="1">
      <w:start w:val="1"/>
      <w:numFmt w:val="bullet"/>
      <w:lvlText w:val="•"/>
      <w:lvlJc w:val="left"/>
      <w:pPr>
        <w:tabs>
          <w:tab w:val="num" w:pos="2880"/>
        </w:tabs>
        <w:ind w:left="2880" w:hanging="360"/>
      </w:pPr>
      <w:rPr>
        <w:rFonts w:ascii="Arial" w:hAnsi="Arial" w:hint="default"/>
      </w:rPr>
    </w:lvl>
    <w:lvl w:ilvl="4" w:tplc="9DD6AD8A" w:tentative="1">
      <w:start w:val="1"/>
      <w:numFmt w:val="bullet"/>
      <w:lvlText w:val="•"/>
      <w:lvlJc w:val="left"/>
      <w:pPr>
        <w:tabs>
          <w:tab w:val="num" w:pos="3600"/>
        </w:tabs>
        <w:ind w:left="3600" w:hanging="360"/>
      </w:pPr>
      <w:rPr>
        <w:rFonts w:ascii="Arial" w:hAnsi="Arial" w:hint="default"/>
      </w:rPr>
    </w:lvl>
    <w:lvl w:ilvl="5" w:tplc="0E6CBCB2" w:tentative="1">
      <w:start w:val="1"/>
      <w:numFmt w:val="bullet"/>
      <w:lvlText w:val="•"/>
      <w:lvlJc w:val="left"/>
      <w:pPr>
        <w:tabs>
          <w:tab w:val="num" w:pos="4320"/>
        </w:tabs>
        <w:ind w:left="4320" w:hanging="360"/>
      </w:pPr>
      <w:rPr>
        <w:rFonts w:ascii="Arial" w:hAnsi="Arial" w:hint="default"/>
      </w:rPr>
    </w:lvl>
    <w:lvl w:ilvl="6" w:tplc="8CAE514C" w:tentative="1">
      <w:start w:val="1"/>
      <w:numFmt w:val="bullet"/>
      <w:lvlText w:val="•"/>
      <w:lvlJc w:val="left"/>
      <w:pPr>
        <w:tabs>
          <w:tab w:val="num" w:pos="5040"/>
        </w:tabs>
        <w:ind w:left="5040" w:hanging="360"/>
      </w:pPr>
      <w:rPr>
        <w:rFonts w:ascii="Arial" w:hAnsi="Arial" w:hint="default"/>
      </w:rPr>
    </w:lvl>
    <w:lvl w:ilvl="7" w:tplc="44C0CBBE" w:tentative="1">
      <w:start w:val="1"/>
      <w:numFmt w:val="bullet"/>
      <w:lvlText w:val="•"/>
      <w:lvlJc w:val="left"/>
      <w:pPr>
        <w:tabs>
          <w:tab w:val="num" w:pos="5760"/>
        </w:tabs>
        <w:ind w:left="5760" w:hanging="360"/>
      </w:pPr>
      <w:rPr>
        <w:rFonts w:ascii="Arial" w:hAnsi="Arial" w:hint="default"/>
      </w:rPr>
    </w:lvl>
    <w:lvl w:ilvl="8" w:tplc="B96C03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826A8F"/>
    <w:multiLevelType w:val="hybridMultilevel"/>
    <w:tmpl w:val="82C2AB7E"/>
    <w:lvl w:ilvl="0" w:tplc="8290475E">
      <w:start w:val="1"/>
      <w:numFmt w:val="bullet"/>
      <w:lvlText w:val="•"/>
      <w:lvlJc w:val="left"/>
      <w:pPr>
        <w:tabs>
          <w:tab w:val="num" w:pos="720"/>
        </w:tabs>
        <w:ind w:left="720" w:hanging="360"/>
      </w:pPr>
      <w:rPr>
        <w:rFonts w:ascii="Arial" w:hAnsi="Arial" w:hint="default"/>
      </w:rPr>
    </w:lvl>
    <w:lvl w:ilvl="1" w:tplc="2D6C1182">
      <w:numFmt w:val="bullet"/>
      <w:lvlText w:val="–"/>
      <w:lvlJc w:val="left"/>
      <w:pPr>
        <w:tabs>
          <w:tab w:val="num" w:pos="1440"/>
        </w:tabs>
        <w:ind w:left="1440" w:hanging="360"/>
      </w:pPr>
      <w:rPr>
        <w:rFonts w:ascii="Arial" w:hAnsi="Arial" w:hint="default"/>
      </w:rPr>
    </w:lvl>
    <w:lvl w:ilvl="2" w:tplc="1742B90C">
      <w:numFmt w:val="bullet"/>
      <w:lvlText w:val="§"/>
      <w:lvlJc w:val="left"/>
      <w:pPr>
        <w:tabs>
          <w:tab w:val="num" w:pos="2160"/>
        </w:tabs>
        <w:ind w:left="2160" w:hanging="360"/>
      </w:pPr>
      <w:rPr>
        <w:rFonts w:ascii="Wingdings" w:hAnsi="Wingdings" w:hint="default"/>
      </w:rPr>
    </w:lvl>
    <w:lvl w:ilvl="3" w:tplc="7B0ABF82">
      <w:numFmt w:val="bullet"/>
      <w:lvlText w:val="–"/>
      <w:lvlJc w:val="left"/>
      <w:pPr>
        <w:tabs>
          <w:tab w:val="num" w:pos="2880"/>
        </w:tabs>
        <w:ind w:left="2880" w:hanging="360"/>
      </w:pPr>
      <w:rPr>
        <w:rFonts w:ascii="Arial" w:hAnsi="Arial" w:hint="default"/>
      </w:rPr>
    </w:lvl>
    <w:lvl w:ilvl="4" w:tplc="8E04DB5E" w:tentative="1">
      <w:start w:val="1"/>
      <w:numFmt w:val="bullet"/>
      <w:lvlText w:val="•"/>
      <w:lvlJc w:val="left"/>
      <w:pPr>
        <w:tabs>
          <w:tab w:val="num" w:pos="3600"/>
        </w:tabs>
        <w:ind w:left="3600" w:hanging="360"/>
      </w:pPr>
      <w:rPr>
        <w:rFonts w:ascii="Arial" w:hAnsi="Arial" w:hint="default"/>
      </w:rPr>
    </w:lvl>
    <w:lvl w:ilvl="5" w:tplc="4D22842E" w:tentative="1">
      <w:start w:val="1"/>
      <w:numFmt w:val="bullet"/>
      <w:lvlText w:val="•"/>
      <w:lvlJc w:val="left"/>
      <w:pPr>
        <w:tabs>
          <w:tab w:val="num" w:pos="4320"/>
        </w:tabs>
        <w:ind w:left="4320" w:hanging="360"/>
      </w:pPr>
      <w:rPr>
        <w:rFonts w:ascii="Arial" w:hAnsi="Arial" w:hint="default"/>
      </w:rPr>
    </w:lvl>
    <w:lvl w:ilvl="6" w:tplc="4B44D32A" w:tentative="1">
      <w:start w:val="1"/>
      <w:numFmt w:val="bullet"/>
      <w:lvlText w:val="•"/>
      <w:lvlJc w:val="left"/>
      <w:pPr>
        <w:tabs>
          <w:tab w:val="num" w:pos="5040"/>
        </w:tabs>
        <w:ind w:left="5040" w:hanging="360"/>
      </w:pPr>
      <w:rPr>
        <w:rFonts w:ascii="Arial" w:hAnsi="Arial" w:hint="default"/>
      </w:rPr>
    </w:lvl>
    <w:lvl w:ilvl="7" w:tplc="7270BAB0" w:tentative="1">
      <w:start w:val="1"/>
      <w:numFmt w:val="bullet"/>
      <w:lvlText w:val="•"/>
      <w:lvlJc w:val="left"/>
      <w:pPr>
        <w:tabs>
          <w:tab w:val="num" w:pos="5760"/>
        </w:tabs>
        <w:ind w:left="5760" w:hanging="360"/>
      </w:pPr>
      <w:rPr>
        <w:rFonts w:ascii="Arial" w:hAnsi="Arial" w:hint="default"/>
      </w:rPr>
    </w:lvl>
    <w:lvl w:ilvl="8" w:tplc="622EEA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AE41C5"/>
    <w:multiLevelType w:val="hybridMultilevel"/>
    <w:tmpl w:val="A28ED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CA"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fr-CA"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yNzY0NTIzN7Q0MjFU0lEKTi0uzszPAykwrgUA7sxSZSwAAAA="/>
  </w:docVars>
  <w:rsids>
    <w:rsidRoot w:val="00732F9E"/>
    <w:rsid w:val="00066485"/>
    <w:rsid w:val="00066952"/>
    <w:rsid w:val="00066F45"/>
    <w:rsid w:val="0008779B"/>
    <w:rsid w:val="000B6300"/>
    <w:rsid w:val="000F526A"/>
    <w:rsid w:val="001011BD"/>
    <w:rsid w:val="00125467"/>
    <w:rsid w:val="0016629A"/>
    <w:rsid w:val="001747EE"/>
    <w:rsid w:val="00185D96"/>
    <w:rsid w:val="001A4343"/>
    <w:rsid w:val="001D02B2"/>
    <w:rsid w:val="001D162C"/>
    <w:rsid w:val="001D5A67"/>
    <w:rsid w:val="001F198F"/>
    <w:rsid w:val="002151CF"/>
    <w:rsid w:val="00217978"/>
    <w:rsid w:val="00220C81"/>
    <w:rsid w:val="00224938"/>
    <w:rsid w:val="002279EF"/>
    <w:rsid w:val="0023037A"/>
    <w:rsid w:val="00240914"/>
    <w:rsid w:val="002570CF"/>
    <w:rsid w:val="00265C28"/>
    <w:rsid w:val="002B5512"/>
    <w:rsid w:val="002B6DFC"/>
    <w:rsid w:val="002B6E4C"/>
    <w:rsid w:val="002F0056"/>
    <w:rsid w:val="00320528"/>
    <w:rsid w:val="00374C33"/>
    <w:rsid w:val="003A52A5"/>
    <w:rsid w:val="003C38E5"/>
    <w:rsid w:val="003C4F4C"/>
    <w:rsid w:val="00406EBF"/>
    <w:rsid w:val="00411A6A"/>
    <w:rsid w:val="00413A42"/>
    <w:rsid w:val="004752A0"/>
    <w:rsid w:val="004A031D"/>
    <w:rsid w:val="004A3BF5"/>
    <w:rsid w:val="004B4661"/>
    <w:rsid w:val="004C1F49"/>
    <w:rsid w:val="004C2A0B"/>
    <w:rsid w:val="004D5166"/>
    <w:rsid w:val="004E730B"/>
    <w:rsid w:val="00513C7F"/>
    <w:rsid w:val="0052366C"/>
    <w:rsid w:val="0053296F"/>
    <w:rsid w:val="005345A8"/>
    <w:rsid w:val="00542FD7"/>
    <w:rsid w:val="00575C60"/>
    <w:rsid w:val="00586D90"/>
    <w:rsid w:val="005938AD"/>
    <w:rsid w:val="005B435A"/>
    <w:rsid w:val="005B5B55"/>
    <w:rsid w:val="005C5381"/>
    <w:rsid w:val="005E5B61"/>
    <w:rsid w:val="0062746B"/>
    <w:rsid w:val="00627749"/>
    <w:rsid w:val="0066549D"/>
    <w:rsid w:val="00677534"/>
    <w:rsid w:val="006A01EA"/>
    <w:rsid w:val="006A3A81"/>
    <w:rsid w:val="006A420C"/>
    <w:rsid w:val="006B25ED"/>
    <w:rsid w:val="006B4269"/>
    <w:rsid w:val="007123A1"/>
    <w:rsid w:val="0071786D"/>
    <w:rsid w:val="00732EEC"/>
    <w:rsid w:val="00732F9E"/>
    <w:rsid w:val="00736957"/>
    <w:rsid w:val="00754FBD"/>
    <w:rsid w:val="007561FC"/>
    <w:rsid w:val="00765C35"/>
    <w:rsid w:val="00767380"/>
    <w:rsid w:val="007677DC"/>
    <w:rsid w:val="007760E7"/>
    <w:rsid w:val="00786580"/>
    <w:rsid w:val="007B0F6D"/>
    <w:rsid w:val="007B6417"/>
    <w:rsid w:val="007D43AA"/>
    <w:rsid w:val="007F743A"/>
    <w:rsid w:val="00807233"/>
    <w:rsid w:val="00817EC9"/>
    <w:rsid w:val="008232E1"/>
    <w:rsid w:val="00833D3B"/>
    <w:rsid w:val="00837164"/>
    <w:rsid w:val="00865A7F"/>
    <w:rsid w:val="0087559F"/>
    <w:rsid w:val="008B0D7E"/>
    <w:rsid w:val="008B2618"/>
    <w:rsid w:val="008E6788"/>
    <w:rsid w:val="008F72E8"/>
    <w:rsid w:val="00905CE2"/>
    <w:rsid w:val="009136FA"/>
    <w:rsid w:val="0096733E"/>
    <w:rsid w:val="0098183D"/>
    <w:rsid w:val="009A1A5F"/>
    <w:rsid w:val="009A6382"/>
    <w:rsid w:val="009B4824"/>
    <w:rsid w:val="009D4450"/>
    <w:rsid w:val="00A2101A"/>
    <w:rsid w:val="00A433BC"/>
    <w:rsid w:val="00AB5D39"/>
    <w:rsid w:val="00AC0ED4"/>
    <w:rsid w:val="00AC45D0"/>
    <w:rsid w:val="00AE446F"/>
    <w:rsid w:val="00AE7097"/>
    <w:rsid w:val="00B15A6F"/>
    <w:rsid w:val="00B26443"/>
    <w:rsid w:val="00B456A6"/>
    <w:rsid w:val="00B76F98"/>
    <w:rsid w:val="00B91EF4"/>
    <w:rsid w:val="00BB2B48"/>
    <w:rsid w:val="00BF5150"/>
    <w:rsid w:val="00C75AF9"/>
    <w:rsid w:val="00C871D6"/>
    <w:rsid w:val="00C95B17"/>
    <w:rsid w:val="00CB1D17"/>
    <w:rsid w:val="00CD3CA1"/>
    <w:rsid w:val="00CE3197"/>
    <w:rsid w:val="00CF075D"/>
    <w:rsid w:val="00CF37E1"/>
    <w:rsid w:val="00D2178C"/>
    <w:rsid w:val="00D3133D"/>
    <w:rsid w:val="00D50DD4"/>
    <w:rsid w:val="00D55B0E"/>
    <w:rsid w:val="00D75AAC"/>
    <w:rsid w:val="00DA3D80"/>
    <w:rsid w:val="00E203B4"/>
    <w:rsid w:val="00E67D77"/>
    <w:rsid w:val="00EB4103"/>
    <w:rsid w:val="00EB54AE"/>
    <w:rsid w:val="00EB703D"/>
    <w:rsid w:val="00EC5AD1"/>
    <w:rsid w:val="00EF1875"/>
    <w:rsid w:val="00F03675"/>
    <w:rsid w:val="00F139C0"/>
    <w:rsid w:val="00F41CB3"/>
    <w:rsid w:val="00F45C80"/>
    <w:rsid w:val="00F53564"/>
    <w:rsid w:val="00F81190"/>
    <w:rsid w:val="00F83DEA"/>
    <w:rsid w:val="00F9721F"/>
    <w:rsid w:val="00FC7C01"/>
    <w:rsid w:val="00FD004D"/>
    <w:rsid w:val="00FD2285"/>
    <w:rsid w:val="00FF4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5961"/>
  <w15:chartTrackingRefBased/>
  <w15:docId w15:val="{91DA0F70-ED48-AA4F-9C46-0835F19D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5ED"/>
    <w:rPr>
      <w:rFonts w:ascii="Times New Roman" w:eastAsia="Times New Roman" w:hAnsi="Times New Roman" w:cs="Times New Roman"/>
    </w:rPr>
  </w:style>
  <w:style w:type="paragraph" w:styleId="Heading1">
    <w:name w:val="heading 1"/>
    <w:basedOn w:val="Normal"/>
    <w:next w:val="Normal"/>
    <w:link w:val="Heading1Char"/>
    <w:uiPriority w:val="9"/>
    <w:qFormat/>
    <w:rsid w:val="00FC7C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F9E"/>
    <w:pPr>
      <w:spacing w:after="200" w:line="276" w:lineRule="auto"/>
      <w:ind w:left="720"/>
      <w:contextualSpacing/>
    </w:pPr>
    <w:rPr>
      <w:rFonts w:ascii="Calibri" w:hAnsi="Calibri"/>
      <w:sz w:val="22"/>
      <w:szCs w:val="22"/>
      <w:lang w:val="fr-CA"/>
    </w:rPr>
  </w:style>
  <w:style w:type="table" w:styleId="TableGrid">
    <w:name w:val="Table Grid"/>
    <w:basedOn w:val="TableNormal"/>
    <w:uiPriority w:val="59"/>
    <w:rsid w:val="00732F9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1786D"/>
    <w:rPr>
      <w:rFonts w:ascii="Times New Roman" w:eastAsia="Times New Roman" w:hAnsi="Times New Roman" w:cs="Times New Roman"/>
    </w:rPr>
  </w:style>
  <w:style w:type="table" w:styleId="TableGridLight">
    <w:name w:val="Grid Table Light"/>
    <w:basedOn w:val="TableNormal"/>
    <w:uiPriority w:val="40"/>
    <w:rsid w:val="00717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17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17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FC7C0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FC7C01"/>
  </w:style>
  <w:style w:type="character" w:styleId="Hyperlink">
    <w:name w:val="Hyperlink"/>
    <w:basedOn w:val="DefaultParagraphFont"/>
    <w:uiPriority w:val="99"/>
    <w:unhideWhenUsed/>
    <w:rsid w:val="003C38E5"/>
    <w:rPr>
      <w:color w:val="0563C1" w:themeColor="hyperlink"/>
      <w:u w:val="single"/>
    </w:rPr>
  </w:style>
  <w:style w:type="character" w:customStyle="1" w:styleId="UnresolvedMention">
    <w:name w:val="Unresolved Mention"/>
    <w:basedOn w:val="DefaultParagraphFont"/>
    <w:uiPriority w:val="99"/>
    <w:semiHidden/>
    <w:unhideWhenUsed/>
    <w:rsid w:val="003C38E5"/>
    <w:rPr>
      <w:color w:val="605E5C"/>
      <w:shd w:val="clear" w:color="auto" w:fill="E1DFDD"/>
    </w:rPr>
  </w:style>
  <w:style w:type="table" w:styleId="GridTable2-Accent1">
    <w:name w:val="Grid Table 2 Accent 1"/>
    <w:basedOn w:val="TableNormal"/>
    <w:uiPriority w:val="47"/>
    <w:rsid w:val="00AE709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AE709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938A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cPr>
      <w:shd w:val="clear" w:color="auto" w:fill="auto"/>
    </w:tc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AE70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1D02B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1">
    <w:name w:val="Grid Table 6 Colorful Accent 1"/>
    <w:basedOn w:val="TableNormal"/>
    <w:uiPriority w:val="51"/>
    <w:rsid w:val="001D02B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1D02B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7Colorful-Accent1">
    <w:name w:val="List Table 7 Colorful Accent 1"/>
    <w:basedOn w:val="TableNormal"/>
    <w:uiPriority w:val="52"/>
    <w:rsid w:val="001D02B2"/>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1D02B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1D02B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F45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28">
      <w:bodyDiv w:val="1"/>
      <w:marLeft w:val="0"/>
      <w:marRight w:val="0"/>
      <w:marTop w:val="0"/>
      <w:marBottom w:val="0"/>
      <w:divBdr>
        <w:top w:val="none" w:sz="0" w:space="0" w:color="auto"/>
        <w:left w:val="none" w:sz="0" w:space="0" w:color="auto"/>
        <w:bottom w:val="none" w:sz="0" w:space="0" w:color="auto"/>
        <w:right w:val="none" w:sz="0" w:space="0" w:color="auto"/>
      </w:divBdr>
    </w:div>
    <w:div w:id="276615">
      <w:bodyDiv w:val="1"/>
      <w:marLeft w:val="0"/>
      <w:marRight w:val="0"/>
      <w:marTop w:val="0"/>
      <w:marBottom w:val="0"/>
      <w:divBdr>
        <w:top w:val="none" w:sz="0" w:space="0" w:color="auto"/>
        <w:left w:val="none" w:sz="0" w:space="0" w:color="auto"/>
        <w:bottom w:val="none" w:sz="0" w:space="0" w:color="auto"/>
        <w:right w:val="none" w:sz="0" w:space="0" w:color="auto"/>
      </w:divBdr>
      <w:divsChild>
        <w:div w:id="1807972242">
          <w:marLeft w:val="403"/>
          <w:marRight w:val="0"/>
          <w:marTop w:val="300"/>
          <w:marBottom w:val="0"/>
          <w:divBdr>
            <w:top w:val="none" w:sz="0" w:space="0" w:color="auto"/>
            <w:left w:val="none" w:sz="0" w:space="0" w:color="auto"/>
            <w:bottom w:val="none" w:sz="0" w:space="0" w:color="auto"/>
            <w:right w:val="none" w:sz="0" w:space="0" w:color="auto"/>
          </w:divBdr>
        </w:div>
        <w:div w:id="2058701192">
          <w:marLeft w:val="1166"/>
          <w:marRight w:val="0"/>
          <w:marTop w:val="120"/>
          <w:marBottom w:val="0"/>
          <w:divBdr>
            <w:top w:val="none" w:sz="0" w:space="0" w:color="auto"/>
            <w:left w:val="none" w:sz="0" w:space="0" w:color="auto"/>
            <w:bottom w:val="none" w:sz="0" w:space="0" w:color="auto"/>
            <w:right w:val="none" w:sz="0" w:space="0" w:color="auto"/>
          </w:divBdr>
        </w:div>
      </w:divsChild>
    </w:div>
    <w:div w:id="2171174">
      <w:bodyDiv w:val="1"/>
      <w:marLeft w:val="0"/>
      <w:marRight w:val="0"/>
      <w:marTop w:val="0"/>
      <w:marBottom w:val="0"/>
      <w:divBdr>
        <w:top w:val="none" w:sz="0" w:space="0" w:color="auto"/>
        <w:left w:val="none" w:sz="0" w:space="0" w:color="auto"/>
        <w:bottom w:val="none" w:sz="0" w:space="0" w:color="auto"/>
        <w:right w:val="none" w:sz="0" w:space="0" w:color="auto"/>
      </w:divBdr>
    </w:div>
    <w:div w:id="9719634">
      <w:bodyDiv w:val="1"/>
      <w:marLeft w:val="0"/>
      <w:marRight w:val="0"/>
      <w:marTop w:val="0"/>
      <w:marBottom w:val="0"/>
      <w:divBdr>
        <w:top w:val="none" w:sz="0" w:space="0" w:color="auto"/>
        <w:left w:val="none" w:sz="0" w:space="0" w:color="auto"/>
        <w:bottom w:val="none" w:sz="0" w:space="0" w:color="auto"/>
        <w:right w:val="none" w:sz="0" w:space="0" w:color="auto"/>
      </w:divBdr>
    </w:div>
    <w:div w:id="12846139">
      <w:bodyDiv w:val="1"/>
      <w:marLeft w:val="0"/>
      <w:marRight w:val="0"/>
      <w:marTop w:val="0"/>
      <w:marBottom w:val="0"/>
      <w:divBdr>
        <w:top w:val="none" w:sz="0" w:space="0" w:color="auto"/>
        <w:left w:val="none" w:sz="0" w:space="0" w:color="auto"/>
        <w:bottom w:val="none" w:sz="0" w:space="0" w:color="auto"/>
        <w:right w:val="none" w:sz="0" w:space="0" w:color="auto"/>
      </w:divBdr>
    </w:div>
    <w:div w:id="19085644">
      <w:bodyDiv w:val="1"/>
      <w:marLeft w:val="0"/>
      <w:marRight w:val="0"/>
      <w:marTop w:val="0"/>
      <w:marBottom w:val="0"/>
      <w:divBdr>
        <w:top w:val="none" w:sz="0" w:space="0" w:color="auto"/>
        <w:left w:val="none" w:sz="0" w:space="0" w:color="auto"/>
        <w:bottom w:val="none" w:sz="0" w:space="0" w:color="auto"/>
        <w:right w:val="none" w:sz="0" w:space="0" w:color="auto"/>
      </w:divBdr>
    </w:div>
    <w:div w:id="20714584">
      <w:bodyDiv w:val="1"/>
      <w:marLeft w:val="0"/>
      <w:marRight w:val="0"/>
      <w:marTop w:val="0"/>
      <w:marBottom w:val="0"/>
      <w:divBdr>
        <w:top w:val="none" w:sz="0" w:space="0" w:color="auto"/>
        <w:left w:val="none" w:sz="0" w:space="0" w:color="auto"/>
        <w:bottom w:val="none" w:sz="0" w:space="0" w:color="auto"/>
        <w:right w:val="none" w:sz="0" w:space="0" w:color="auto"/>
      </w:divBdr>
    </w:div>
    <w:div w:id="24183026">
      <w:bodyDiv w:val="1"/>
      <w:marLeft w:val="0"/>
      <w:marRight w:val="0"/>
      <w:marTop w:val="0"/>
      <w:marBottom w:val="0"/>
      <w:divBdr>
        <w:top w:val="none" w:sz="0" w:space="0" w:color="auto"/>
        <w:left w:val="none" w:sz="0" w:space="0" w:color="auto"/>
        <w:bottom w:val="none" w:sz="0" w:space="0" w:color="auto"/>
        <w:right w:val="none" w:sz="0" w:space="0" w:color="auto"/>
      </w:divBdr>
    </w:div>
    <w:div w:id="24912834">
      <w:bodyDiv w:val="1"/>
      <w:marLeft w:val="0"/>
      <w:marRight w:val="0"/>
      <w:marTop w:val="0"/>
      <w:marBottom w:val="0"/>
      <w:divBdr>
        <w:top w:val="none" w:sz="0" w:space="0" w:color="auto"/>
        <w:left w:val="none" w:sz="0" w:space="0" w:color="auto"/>
        <w:bottom w:val="none" w:sz="0" w:space="0" w:color="auto"/>
        <w:right w:val="none" w:sz="0" w:space="0" w:color="auto"/>
      </w:divBdr>
    </w:div>
    <w:div w:id="34040355">
      <w:bodyDiv w:val="1"/>
      <w:marLeft w:val="0"/>
      <w:marRight w:val="0"/>
      <w:marTop w:val="0"/>
      <w:marBottom w:val="0"/>
      <w:divBdr>
        <w:top w:val="none" w:sz="0" w:space="0" w:color="auto"/>
        <w:left w:val="none" w:sz="0" w:space="0" w:color="auto"/>
        <w:bottom w:val="none" w:sz="0" w:space="0" w:color="auto"/>
        <w:right w:val="none" w:sz="0" w:space="0" w:color="auto"/>
      </w:divBdr>
    </w:div>
    <w:div w:id="36855714">
      <w:bodyDiv w:val="1"/>
      <w:marLeft w:val="0"/>
      <w:marRight w:val="0"/>
      <w:marTop w:val="0"/>
      <w:marBottom w:val="0"/>
      <w:divBdr>
        <w:top w:val="none" w:sz="0" w:space="0" w:color="auto"/>
        <w:left w:val="none" w:sz="0" w:space="0" w:color="auto"/>
        <w:bottom w:val="none" w:sz="0" w:space="0" w:color="auto"/>
        <w:right w:val="none" w:sz="0" w:space="0" w:color="auto"/>
      </w:divBdr>
      <w:divsChild>
        <w:div w:id="1120030480">
          <w:marLeft w:val="0"/>
          <w:marRight w:val="0"/>
          <w:marTop w:val="0"/>
          <w:marBottom w:val="0"/>
          <w:divBdr>
            <w:top w:val="none" w:sz="0" w:space="0" w:color="auto"/>
            <w:left w:val="none" w:sz="0" w:space="0" w:color="auto"/>
            <w:bottom w:val="none" w:sz="0" w:space="0" w:color="auto"/>
            <w:right w:val="none" w:sz="0" w:space="0" w:color="auto"/>
          </w:divBdr>
          <w:divsChild>
            <w:div w:id="2023822659">
              <w:marLeft w:val="0"/>
              <w:marRight w:val="0"/>
              <w:marTop w:val="0"/>
              <w:marBottom w:val="0"/>
              <w:divBdr>
                <w:top w:val="none" w:sz="0" w:space="0" w:color="auto"/>
                <w:left w:val="none" w:sz="0" w:space="0" w:color="auto"/>
                <w:bottom w:val="none" w:sz="0" w:space="0" w:color="auto"/>
                <w:right w:val="none" w:sz="0" w:space="0" w:color="auto"/>
              </w:divBdr>
              <w:divsChild>
                <w:div w:id="710107082">
                  <w:marLeft w:val="0"/>
                  <w:marRight w:val="0"/>
                  <w:marTop w:val="0"/>
                  <w:marBottom w:val="0"/>
                  <w:divBdr>
                    <w:top w:val="none" w:sz="0" w:space="0" w:color="auto"/>
                    <w:left w:val="none" w:sz="0" w:space="0" w:color="auto"/>
                    <w:bottom w:val="none" w:sz="0" w:space="0" w:color="auto"/>
                    <w:right w:val="none" w:sz="0" w:space="0" w:color="auto"/>
                  </w:divBdr>
                  <w:divsChild>
                    <w:div w:id="145556171">
                      <w:marLeft w:val="0"/>
                      <w:marRight w:val="0"/>
                      <w:marTop w:val="0"/>
                      <w:marBottom w:val="0"/>
                      <w:divBdr>
                        <w:top w:val="none" w:sz="0" w:space="0" w:color="auto"/>
                        <w:left w:val="none" w:sz="0" w:space="0" w:color="auto"/>
                        <w:bottom w:val="none" w:sz="0" w:space="0" w:color="auto"/>
                        <w:right w:val="none" w:sz="0" w:space="0" w:color="auto"/>
                      </w:divBdr>
                      <w:divsChild>
                        <w:div w:id="1126199808">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sChild>
            </w:div>
          </w:divsChild>
        </w:div>
        <w:div w:id="36783716">
          <w:marLeft w:val="0"/>
          <w:marRight w:val="0"/>
          <w:marTop w:val="0"/>
          <w:marBottom w:val="0"/>
          <w:divBdr>
            <w:top w:val="none" w:sz="0" w:space="0" w:color="auto"/>
            <w:left w:val="none" w:sz="0" w:space="0" w:color="auto"/>
            <w:bottom w:val="none" w:sz="0" w:space="0" w:color="auto"/>
            <w:right w:val="none" w:sz="0" w:space="0" w:color="auto"/>
          </w:divBdr>
          <w:divsChild>
            <w:div w:id="8764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8518">
      <w:bodyDiv w:val="1"/>
      <w:marLeft w:val="0"/>
      <w:marRight w:val="0"/>
      <w:marTop w:val="0"/>
      <w:marBottom w:val="0"/>
      <w:divBdr>
        <w:top w:val="none" w:sz="0" w:space="0" w:color="auto"/>
        <w:left w:val="none" w:sz="0" w:space="0" w:color="auto"/>
        <w:bottom w:val="none" w:sz="0" w:space="0" w:color="auto"/>
        <w:right w:val="none" w:sz="0" w:space="0" w:color="auto"/>
      </w:divBdr>
    </w:div>
    <w:div w:id="46799730">
      <w:bodyDiv w:val="1"/>
      <w:marLeft w:val="0"/>
      <w:marRight w:val="0"/>
      <w:marTop w:val="0"/>
      <w:marBottom w:val="0"/>
      <w:divBdr>
        <w:top w:val="none" w:sz="0" w:space="0" w:color="auto"/>
        <w:left w:val="none" w:sz="0" w:space="0" w:color="auto"/>
        <w:bottom w:val="none" w:sz="0" w:space="0" w:color="auto"/>
        <w:right w:val="none" w:sz="0" w:space="0" w:color="auto"/>
      </w:divBdr>
    </w:div>
    <w:div w:id="64644032">
      <w:bodyDiv w:val="1"/>
      <w:marLeft w:val="0"/>
      <w:marRight w:val="0"/>
      <w:marTop w:val="0"/>
      <w:marBottom w:val="0"/>
      <w:divBdr>
        <w:top w:val="none" w:sz="0" w:space="0" w:color="auto"/>
        <w:left w:val="none" w:sz="0" w:space="0" w:color="auto"/>
        <w:bottom w:val="none" w:sz="0" w:space="0" w:color="auto"/>
        <w:right w:val="none" w:sz="0" w:space="0" w:color="auto"/>
      </w:divBdr>
    </w:div>
    <w:div w:id="66919872">
      <w:bodyDiv w:val="1"/>
      <w:marLeft w:val="0"/>
      <w:marRight w:val="0"/>
      <w:marTop w:val="0"/>
      <w:marBottom w:val="0"/>
      <w:divBdr>
        <w:top w:val="none" w:sz="0" w:space="0" w:color="auto"/>
        <w:left w:val="none" w:sz="0" w:space="0" w:color="auto"/>
        <w:bottom w:val="none" w:sz="0" w:space="0" w:color="auto"/>
        <w:right w:val="none" w:sz="0" w:space="0" w:color="auto"/>
      </w:divBdr>
    </w:div>
    <w:div w:id="70544517">
      <w:bodyDiv w:val="1"/>
      <w:marLeft w:val="0"/>
      <w:marRight w:val="0"/>
      <w:marTop w:val="0"/>
      <w:marBottom w:val="0"/>
      <w:divBdr>
        <w:top w:val="none" w:sz="0" w:space="0" w:color="auto"/>
        <w:left w:val="none" w:sz="0" w:space="0" w:color="auto"/>
        <w:bottom w:val="none" w:sz="0" w:space="0" w:color="auto"/>
        <w:right w:val="none" w:sz="0" w:space="0" w:color="auto"/>
      </w:divBdr>
      <w:divsChild>
        <w:div w:id="326322131">
          <w:marLeft w:val="403"/>
          <w:marRight w:val="0"/>
          <w:marTop w:val="300"/>
          <w:marBottom w:val="0"/>
          <w:divBdr>
            <w:top w:val="none" w:sz="0" w:space="0" w:color="auto"/>
            <w:left w:val="none" w:sz="0" w:space="0" w:color="auto"/>
            <w:bottom w:val="none" w:sz="0" w:space="0" w:color="auto"/>
            <w:right w:val="none" w:sz="0" w:space="0" w:color="auto"/>
          </w:divBdr>
        </w:div>
        <w:div w:id="918097900">
          <w:marLeft w:val="1166"/>
          <w:marRight w:val="0"/>
          <w:marTop w:val="120"/>
          <w:marBottom w:val="0"/>
          <w:divBdr>
            <w:top w:val="none" w:sz="0" w:space="0" w:color="auto"/>
            <w:left w:val="none" w:sz="0" w:space="0" w:color="auto"/>
            <w:bottom w:val="none" w:sz="0" w:space="0" w:color="auto"/>
            <w:right w:val="none" w:sz="0" w:space="0" w:color="auto"/>
          </w:divBdr>
        </w:div>
        <w:div w:id="2121756977">
          <w:marLeft w:val="1800"/>
          <w:marRight w:val="0"/>
          <w:marTop w:val="120"/>
          <w:marBottom w:val="0"/>
          <w:divBdr>
            <w:top w:val="none" w:sz="0" w:space="0" w:color="auto"/>
            <w:left w:val="none" w:sz="0" w:space="0" w:color="auto"/>
            <w:bottom w:val="none" w:sz="0" w:space="0" w:color="auto"/>
            <w:right w:val="none" w:sz="0" w:space="0" w:color="auto"/>
          </w:divBdr>
        </w:div>
        <w:div w:id="786657681">
          <w:marLeft w:val="2520"/>
          <w:marRight w:val="0"/>
          <w:marTop w:val="120"/>
          <w:marBottom w:val="0"/>
          <w:divBdr>
            <w:top w:val="none" w:sz="0" w:space="0" w:color="auto"/>
            <w:left w:val="none" w:sz="0" w:space="0" w:color="auto"/>
            <w:bottom w:val="none" w:sz="0" w:space="0" w:color="auto"/>
            <w:right w:val="none" w:sz="0" w:space="0" w:color="auto"/>
          </w:divBdr>
        </w:div>
      </w:divsChild>
    </w:div>
    <w:div w:id="83386516">
      <w:bodyDiv w:val="1"/>
      <w:marLeft w:val="0"/>
      <w:marRight w:val="0"/>
      <w:marTop w:val="0"/>
      <w:marBottom w:val="0"/>
      <w:divBdr>
        <w:top w:val="none" w:sz="0" w:space="0" w:color="auto"/>
        <w:left w:val="none" w:sz="0" w:space="0" w:color="auto"/>
        <w:bottom w:val="none" w:sz="0" w:space="0" w:color="auto"/>
        <w:right w:val="none" w:sz="0" w:space="0" w:color="auto"/>
      </w:divBdr>
    </w:div>
    <w:div w:id="84155084">
      <w:bodyDiv w:val="1"/>
      <w:marLeft w:val="0"/>
      <w:marRight w:val="0"/>
      <w:marTop w:val="0"/>
      <w:marBottom w:val="0"/>
      <w:divBdr>
        <w:top w:val="none" w:sz="0" w:space="0" w:color="auto"/>
        <w:left w:val="none" w:sz="0" w:space="0" w:color="auto"/>
        <w:bottom w:val="none" w:sz="0" w:space="0" w:color="auto"/>
        <w:right w:val="none" w:sz="0" w:space="0" w:color="auto"/>
      </w:divBdr>
    </w:div>
    <w:div w:id="102501467">
      <w:bodyDiv w:val="1"/>
      <w:marLeft w:val="0"/>
      <w:marRight w:val="0"/>
      <w:marTop w:val="0"/>
      <w:marBottom w:val="0"/>
      <w:divBdr>
        <w:top w:val="none" w:sz="0" w:space="0" w:color="auto"/>
        <w:left w:val="none" w:sz="0" w:space="0" w:color="auto"/>
        <w:bottom w:val="none" w:sz="0" w:space="0" w:color="auto"/>
        <w:right w:val="none" w:sz="0" w:space="0" w:color="auto"/>
      </w:divBdr>
      <w:divsChild>
        <w:div w:id="497157564">
          <w:marLeft w:val="0"/>
          <w:marRight w:val="0"/>
          <w:marTop w:val="0"/>
          <w:marBottom w:val="0"/>
          <w:divBdr>
            <w:top w:val="single" w:sz="2" w:space="5" w:color="E0E4E9"/>
            <w:left w:val="single" w:sz="2" w:space="0" w:color="E0E4E9"/>
            <w:bottom w:val="single" w:sz="6" w:space="5" w:color="E0E4E9"/>
            <w:right w:val="single" w:sz="2" w:space="0" w:color="E0E4E9"/>
          </w:divBdr>
        </w:div>
      </w:divsChild>
    </w:div>
    <w:div w:id="104351963">
      <w:bodyDiv w:val="1"/>
      <w:marLeft w:val="0"/>
      <w:marRight w:val="0"/>
      <w:marTop w:val="0"/>
      <w:marBottom w:val="0"/>
      <w:divBdr>
        <w:top w:val="none" w:sz="0" w:space="0" w:color="auto"/>
        <w:left w:val="none" w:sz="0" w:space="0" w:color="auto"/>
        <w:bottom w:val="none" w:sz="0" w:space="0" w:color="auto"/>
        <w:right w:val="none" w:sz="0" w:space="0" w:color="auto"/>
      </w:divBdr>
    </w:div>
    <w:div w:id="104810535">
      <w:bodyDiv w:val="1"/>
      <w:marLeft w:val="0"/>
      <w:marRight w:val="0"/>
      <w:marTop w:val="0"/>
      <w:marBottom w:val="0"/>
      <w:divBdr>
        <w:top w:val="none" w:sz="0" w:space="0" w:color="auto"/>
        <w:left w:val="none" w:sz="0" w:space="0" w:color="auto"/>
        <w:bottom w:val="none" w:sz="0" w:space="0" w:color="auto"/>
        <w:right w:val="none" w:sz="0" w:space="0" w:color="auto"/>
      </w:divBdr>
    </w:div>
    <w:div w:id="105731820">
      <w:bodyDiv w:val="1"/>
      <w:marLeft w:val="0"/>
      <w:marRight w:val="0"/>
      <w:marTop w:val="0"/>
      <w:marBottom w:val="0"/>
      <w:divBdr>
        <w:top w:val="none" w:sz="0" w:space="0" w:color="auto"/>
        <w:left w:val="none" w:sz="0" w:space="0" w:color="auto"/>
        <w:bottom w:val="none" w:sz="0" w:space="0" w:color="auto"/>
        <w:right w:val="none" w:sz="0" w:space="0" w:color="auto"/>
      </w:divBdr>
    </w:div>
    <w:div w:id="122695935">
      <w:bodyDiv w:val="1"/>
      <w:marLeft w:val="0"/>
      <w:marRight w:val="0"/>
      <w:marTop w:val="0"/>
      <w:marBottom w:val="0"/>
      <w:divBdr>
        <w:top w:val="none" w:sz="0" w:space="0" w:color="auto"/>
        <w:left w:val="none" w:sz="0" w:space="0" w:color="auto"/>
        <w:bottom w:val="none" w:sz="0" w:space="0" w:color="auto"/>
        <w:right w:val="none" w:sz="0" w:space="0" w:color="auto"/>
      </w:divBdr>
    </w:div>
    <w:div w:id="141966483">
      <w:bodyDiv w:val="1"/>
      <w:marLeft w:val="0"/>
      <w:marRight w:val="0"/>
      <w:marTop w:val="0"/>
      <w:marBottom w:val="0"/>
      <w:divBdr>
        <w:top w:val="none" w:sz="0" w:space="0" w:color="auto"/>
        <w:left w:val="none" w:sz="0" w:space="0" w:color="auto"/>
        <w:bottom w:val="none" w:sz="0" w:space="0" w:color="auto"/>
        <w:right w:val="none" w:sz="0" w:space="0" w:color="auto"/>
      </w:divBdr>
    </w:div>
    <w:div w:id="145359988">
      <w:bodyDiv w:val="1"/>
      <w:marLeft w:val="0"/>
      <w:marRight w:val="0"/>
      <w:marTop w:val="0"/>
      <w:marBottom w:val="0"/>
      <w:divBdr>
        <w:top w:val="none" w:sz="0" w:space="0" w:color="auto"/>
        <w:left w:val="none" w:sz="0" w:space="0" w:color="auto"/>
        <w:bottom w:val="none" w:sz="0" w:space="0" w:color="auto"/>
        <w:right w:val="none" w:sz="0" w:space="0" w:color="auto"/>
      </w:divBdr>
    </w:div>
    <w:div w:id="154802625">
      <w:bodyDiv w:val="1"/>
      <w:marLeft w:val="0"/>
      <w:marRight w:val="0"/>
      <w:marTop w:val="0"/>
      <w:marBottom w:val="0"/>
      <w:divBdr>
        <w:top w:val="none" w:sz="0" w:space="0" w:color="auto"/>
        <w:left w:val="none" w:sz="0" w:space="0" w:color="auto"/>
        <w:bottom w:val="none" w:sz="0" w:space="0" w:color="auto"/>
        <w:right w:val="none" w:sz="0" w:space="0" w:color="auto"/>
      </w:divBdr>
    </w:div>
    <w:div w:id="163983151">
      <w:bodyDiv w:val="1"/>
      <w:marLeft w:val="0"/>
      <w:marRight w:val="0"/>
      <w:marTop w:val="0"/>
      <w:marBottom w:val="0"/>
      <w:divBdr>
        <w:top w:val="none" w:sz="0" w:space="0" w:color="auto"/>
        <w:left w:val="none" w:sz="0" w:space="0" w:color="auto"/>
        <w:bottom w:val="none" w:sz="0" w:space="0" w:color="auto"/>
        <w:right w:val="none" w:sz="0" w:space="0" w:color="auto"/>
      </w:divBdr>
    </w:div>
    <w:div w:id="164325846">
      <w:bodyDiv w:val="1"/>
      <w:marLeft w:val="0"/>
      <w:marRight w:val="0"/>
      <w:marTop w:val="0"/>
      <w:marBottom w:val="0"/>
      <w:divBdr>
        <w:top w:val="none" w:sz="0" w:space="0" w:color="auto"/>
        <w:left w:val="none" w:sz="0" w:space="0" w:color="auto"/>
        <w:bottom w:val="none" w:sz="0" w:space="0" w:color="auto"/>
        <w:right w:val="none" w:sz="0" w:space="0" w:color="auto"/>
      </w:divBdr>
    </w:div>
    <w:div w:id="187574254">
      <w:bodyDiv w:val="1"/>
      <w:marLeft w:val="0"/>
      <w:marRight w:val="0"/>
      <w:marTop w:val="0"/>
      <w:marBottom w:val="0"/>
      <w:divBdr>
        <w:top w:val="none" w:sz="0" w:space="0" w:color="auto"/>
        <w:left w:val="none" w:sz="0" w:space="0" w:color="auto"/>
        <w:bottom w:val="none" w:sz="0" w:space="0" w:color="auto"/>
        <w:right w:val="none" w:sz="0" w:space="0" w:color="auto"/>
      </w:divBdr>
      <w:divsChild>
        <w:div w:id="1177109833">
          <w:marLeft w:val="1166"/>
          <w:marRight w:val="0"/>
          <w:marTop w:val="120"/>
          <w:marBottom w:val="0"/>
          <w:divBdr>
            <w:top w:val="none" w:sz="0" w:space="0" w:color="auto"/>
            <w:left w:val="none" w:sz="0" w:space="0" w:color="auto"/>
            <w:bottom w:val="none" w:sz="0" w:space="0" w:color="auto"/>
            <w:right w:val="none" w:sz="0" w:space="0" w:color="auto"/>
          </w:divBdr>
        </w:div>
      </w:divsChild>
    </w:div>
    <w:div w:id="194124466">
      <w:bodyDiv w:val="1"/>
      <w:marLeft w:val="0"/>
      <w:marRight w:val="0"/>
      <w:marTop w:val="0"/>
      <w:marBottom w:val="0"/>
      <w:divBdr>
        <w:top w:val="none" w:sz="0" w:space="0" w:color="auto"/>
        <w:left w:val="none" w:sz="0" w:space="0" w:color="auto"/>
        <w:bottom w:val="none" w:sz="0" w:space="0" w:color="auto"/>
        <w:right w:val="none" w:sz="0" w:space="0" w:color="auto"/>
      </w:divBdr>
    </w:div>
    <w:div w:id="209849906">
      <w:bodyDiv w:val="1"/>
      <w:marLeft w:val="0"/>
      <w:marRight w:val="0"/>
      <w:marTop w:val="0"/>
      <w:marBottom w:val="0"/>
      <w:divBdr>
        <w:top w:val="none" w:sz="0" w:space="0" w:color="auto"/>
        <w:left w:val="none" w:sz="0" w:space="0" w:color="auto"/>
        <w:bottom w:val="none" w:sz="0" w:space="0" w:color="auto"/>
        <w:right w:val="none" w:sz="0" w:space="0" w:color="auto"/>
      </w:divBdr>
      <w:divsChild>
        <w:div w:id="739406810">
          <w:marLeft w:val="0"/>
          <w:marRight w:val="0"/>
          <w:marTop w:val="0"/>
          <w:marBottom w:val="0"/>
          <w:divBdr>
            <w:top w:val="single" w:sz="2" w:space="5" w:color="E0E4E9"/>
            <w:left w:val="single" w:sz="2" w:space="0" w:color="E0E4E9"/>
            <w:bottom w:val="single" w:sz="6" w:space="5" w:color="E0E4E9"/>
            <w:right w:val="single" w:sz="2" w:space="0" w:color="E0E4E9"/>
          </w:divBdr>
        </w:div>
      </w:divsChild>
    </w:div>
    <w:div w:id="214120190">
      <w:bodyDiv w:val="1"/>
      <w:marLeft w:val="0"/>
      <w:marRight w:val="0"/>
      <w:marTop w:val="0"/>
      <w:marBottom w:val="0"/>
      <w:divBdr>
        <w:top w:val="none" w:sz="0" w:space="0" w:color="auto"/>
        <w:left w:val="none" w:sz="0" w:space="0" w:color="auto"/>
        <w:bottom w:val="none" w:sz="0" w:space="0" w:color="auto"/>
        <w:right w:val="none" w:sz="0" w:space="0" w:color="auto"/>
      </w:divBdr>
    </w:div>
    <w:div w:id="226765756">
      <w:bodyDiv w:val="1"/>
      <w:marLeft w:val="0"/>
      <w:marRight w:val="0"/>
      <w:marTop w:val="0"/>
      <w:marBottom w:val="0"/>
      <w:divBdr>
        <w:top w:val="none" w:sz="0" w:space="0" w:color="auto"/>
        <w:left w:val="none" w:sz="0" w:space="0" w:color="auto"/>
        <w:bottom w:val="none" w:sz="0" w:space="0" w:color="auto"/>
        <w:right w:val="none" w:sz="0" w:space="0" w:color="auto"/>
      </w:divBdr>
    </w:div>
    <w:div w:id="227421874">
      <w:bodyDiv w:val="1"/>
      <w:marLeft w:val="0"/>
      <w:marRight w:val="0"/>
      <w:marTop w:val="0"/>
      <w:marBottom w:val="0"/>
      <w:divBdr>
        <w:top w:val="none" w:sz="0" w:space="0" w:color="auto"/>
        <w:left w:val="none" w:sz="0" w:space="0" w:color="auto"/>
        <w:bottom w:val="none" w:sz="0" w:space="0" w:color="auto"/>
        <w:right w:val="none" w:sz="0" w:space="0" w:color="auto"/>
      </w:divBdr>
    </w:div>
    <w:div w:id="239290148">
      <w:bodyDiv w:val="1"/>
      <w:marLeft w:val="0"/>
      <w:marRight w:val="0"/>
      <w:marTop w:val="0"/>
      <w:marBottom w:val="0"/>
      <w:divBdr>
        <w:top w:val="none" w:sz="0" w:space="0" w:color="auto"/>
        <w:left w:val="none" w:sz="0" w:space="0" w:color="auto"/>
        <w:bottom w:val="none" w:sz="0" w:space="0" w:color="auto"/>
        <w:right w:val="none" w:sz="0" w:space="0" w:color="auto"/>
      </w:divBdr>
      <w:divsChild>
        <w:div w:id="328408319">
          <w:marLeft w:val="403"/>
          <w:marRight w:val="0"/>
          <w:marTop w:val="300"/>
          <w:marBottom w:val="0"/>
          <w:divBdr>
            <w:top w:val="none" w:sz="0" w:space="0" w:color="auto"/>
            <w:left w:val="none" w:sz="0" w:space="0" w:color="auto"/>
            <w:bottom w:val="none" w:sz="0" w:space="0" w:color="auto"/>
            <w:right w:val="none" w:sz="0" w:space="0" w:color="auto"/>
          </w:divBdr>
        </w:div>
        <w:div w:id="1992589094">
          <w:marLeft w:val="1166"/>
          <w:marRight w:val="0"/>
          <w:marTop w:val="120"/>
          <w:marBottom w:val="0"/>
          <w:divBdr>
            <w:top w:val="none" w:sz="0" w:space="0" w:color="auto"/>
            <w:left w:val="none" w:sz="0" w:space="0" w:color="auto"/>
            <w:bottom w:val="none" w:sz="0" w:space="0" w:color="auto"/>
            <w:right w:val="none" w:sz="0" w:space="0" w:color="auto"/>
          </w:divBdr>
        </w:div>
        <w:div w:id="1591500964">
          <w:marLeft w:val="1800"/>
          <w:marRight w:val="0"/>
          <w:marTop w:val="120"/>
          <w:marBottom w:val="0"/>
          <w:divBdr>
            <w:top w:val="none" w:sz="0" w:space="0" w:color="auto"/>
            <w:left w:val="none" w:sz="0" w:space="0" w:color="auto"/>
            <w:bottom w:val="none" w:sz="0" w:space="0" w:color="auto"/>
            <w:right w:val="none" w:sz="0" w:space="0" w:color="auto"/>
          </w:divBdr>
        </w:div>
        <w:div w:id="380330995">
          <w:marLeft w:val="2520"/>
          <w:marRight w:val="0"/>
          <w:marTop w:val="120"/>
          <w:marBottom w:val="0"/>
          <w:divBdr>
            <w:top w:val="none" w:sz="0" w:space="0" w:color="auto"/>
            <w:left w:val="none" w:sz="0" w:space="0" w:color="auto"/>
            <w:bottom w:val="none" w:sz="0" w:space="0" w:color="auto"/>
            <w:right w:val="none" w:sz="0" w:space="0" w:color="auto"/>
          </w:divBdr>
        </w:div>
      </w:divsChild>
    </w:div>
    <w:div w:id="267615972">
      <w:bodyDiv w:val="1"/>
      <w:marLeft w:val="0"/>
      <w:marRight w:val="0"/>
      <w:marTop w:val="0"/>
      <w:marBottom w:val="0"/>
      <w:divBdr>
        <w:top w:val="none" w:sz="0" w:space="0" w:color="auto"/>
        <w:left w:val="none" w:sz="0" w:space="0" w:color="auto"/>
        <w:bottom w:val="none" w:sz="0" w:space="0" w:color="auto"/>
        <w:right w:val="none" w:sz="0" w:space="0" w:color="auto"/>
      </w:divBdr>
    </w:div>
    <w:div w:id="276647852">
      <w:bodyDiv w:val="1"/>
      <w:marLeft w:val="0"/>
      <w:marRight w:val="0"/>
      <w:marTop w:val="0"/>
      <w:marBottom w:val="0"/>
      <w:divBdr>
        <w:top w:val="none" w:sz="0" w:space="0" w:color="auto"/>
        <w:left w:val="none" w:sz="0" w:space="0" w:color="auto"/>
        <w:bottom w:val="none" w:sz="0" w:space="0" w:color="auto"/>
        <w:right w:val="none" w:sz="0" w:space="0" w:color="auto"/>
      </w:divBdr>
    </w:div>
    <w:div w:id="280113662">
      <w:bodyDiv w:val="1"/>
      <w:marLeft w:val="0"/>
      <w:marRight w:val="0"/>
      <w:marTop w:val="0"/>
      <w:marBottom w:val="0"/>
      <w:divBdr>
        <w:top w:val="none" w:sz="0" w:space="0" w:color="auto"/>
        <w:left w:val="none" w:sz="0" w:space="0" w:color="auto"/>
        <w:bottom w:val="none" w:sz="0" w:space="0" w:color="auto"/>
        <w:right w:val="none" w:sz="0" w:space="0" w:color="auto"/>
      </w:divBdr>
    </w:div>
    <w:div w:id="294412130">
      <w:bodyDiv w:val="1"/>
      <w:marLeft w:val="0"/>
      <w:marRight w:val="0"/>
      <w:marTop w:val="0"/>
      <w:marBottom w:val="0"/>
      <w:divBdr>
        <w:top w:val="none" w:sz="0" w:space="0" w:color="auto"/>
        <w:left w:val="none" w:sz="0" w:space="0" w:color="auto"/>
        <w:bottom w:val="none" w:sz="0" w:space="0" w:color="auto"/>
        <w:right w:val="none" w:sz="0" w:space="0" w:color="auto"/>
      </w:divBdr>
    </w:div>
    <w:div w:id="296685216">
      <w:bodyDiv w:val="1"/>
      <w:marLeft w:val="0"/>
      <w:marRight w:val="0"/>
      <w:marTop w:val="0"/>
      <w:marBottom w:val="0"/>
      <w:divBdr>
        <w:top w:val="none" w:sz="0" w:space="0" w:color="auto"/>
        <w:left w:val="none" w:sz="0" w:space="0" w:color="auto"/>
        <w:bottom w:val="none" w:sz="0" w:space="0" w:color="auto"/>
        <w:right w:val="none" w:sz="0" w:space="0" w:color="auto"/>
      </w:divBdr>
      <w:divsChild>
        <w:div w:id="2057966273">
          <w:marLeft w:val="0"/>
          <w:marRight w:val="0"/>
          <w:marTop w:val="0"/>
          <w:marBottom w:val="0"/>
          <w:divBdr>
            <w:top w:val="none" w:sz="0" w:space="0" w:color="auto"/>
            <w:left w:val="none" w:sz="0" w:space="0" w:color="auto"/>
            <w:bottom w:val="none" w:sz="0" w:space="0" w:color="auto"/>
            <w:right w:val="none" w:sz="0" w:space="0" w:color="auto"/>
          </w:divBdr>
        </w:div>
      </w:divsChild>
    </w:div>
    <w:div w:id="298731788">
      <w:bodyDiv w:val="1"/>
      <w:marLeft w:val="0"/>
      <w:marRight w:val="0"/>
      <w:marTop w:val="0"/>
      <w:marBottom w:val="0"/>
      <w:divBdr>
        <w:top w:val="none" w:sz="0" w:space="0" w:color="auto"/>
        <w:left w:val="none" w:sz="0" w:space="0" w:color="auto"/>
        <w:bottom w:val="none" w:sz="0" w:space="0" w:color="auto"/>
        <w:right w:val="none" w:sz="0" w:space="0" w:color="auto"/>
      </w:divBdr>
    </w:div>
    <w:div w:id="306982792">
      <w:bodyDiv w:val="1"/>
      <w:marLeft w:val="0"/>
      <w:marRight w:val="0"/>
      <w:marTop w:val="0"/>
      <w:marBottom w:val="0"/>
      <w:divBdr>
        <w:top w:val="none" w:sz="0" w:space="0" w:color="auto"/>
        <w:left w:val="none" w:sz="0" w:space="0" w:color="auto"/>
        <w:bottom w:val="none" w:sz="0" w:space="0" w:color="auto"/>
        <w:right w:val="none" w:sz="0" w:space="0" w:color="auto"/>
      </w:divBdr>
    </w:div>
    <w:div w:id="312026185">
      <w:bodyDiv w:val="1"/>
      <w:marLeft w:val="0"/>
      <w:marRight w:val="0"/>
      <w:marTop w:val="0"/>
      <w:marBottom w:val="0"/>
      <w:divBdr>
        <w:top w:val="none" w:sz="0" w:space="0" w:color="auto"/>
        <w:left w:val="none" w:sz="0" w:space="0" w:color="auto"/>
        <w:bottom w:val="none" w:sz="0" w:space="0" w:color="auto"/>
        <w:right w:val="none" w:sz="0" w:space="0" w:color="auto"/>
      </w:divBdr>
    </w:div>
    <w:div w:id="314997927">
      <w:bodyDiv w:val="1"/>
      <w:marLeft w:val="0"/>
      <w:marRight w:val="0"/>
      <w:marTop w:val="0"/>
      <w:marBottom w:val="0"/>
      <w:divBdr>
        <w:top w:val="none" w:sz="0" w:space="0" w:color="auto"/>
        <w:left w:val="none" w:sz="0" w:space="0" w:color="auto"/>
        <w:bottom w:val="none" w:sz="0" w:space="0" w:color="auto"/>
        <w:right w:val="none" w:sz="0" w:space="0" w:color="auto"/>
      </w:divBdr>
    </w:div>
    <w:div w:id="316500565">
      <w:bodyDiv w:val="1"/>
      <w:marLeft w:val="0"/>
      <w:marRight w:val="0"/>
      <w:marTop w:val="0"/>
      <w:marBottom w:val="0"/>
      <w:divBdr>
        <w:top w:val="none" w:sz="0" w:space="0" w:color="auto"/>
        <w:left w:val="none" w:sz="0" w:space="0" w:color="auto"/>
        <w:bottom w:val="none" w:sz="0" w:space="0" w:color="auto"/>
        <w:right w:val="none" w:sz="0" w:space="0" w:color="auto"/>
      </w:divBdr>
    </w:div>
    <w:div w:id="324014279">
      <w:bodyDiv w:val="1"/>
      <w:marLeft w:val="0"/>
      <w:marRight w:val="0"/>
      <w:marTop w:val="0"/>
      <w:marBottom w:val="0"/>
      <w:divBdr>
        <w:top w:val="none" w:sz="0" w:space="0" w:color="auto"/>
        <w:left w:val="none" w:sz="0" w:space="0" w:color="auto"/>
        <w:bottom w:val="none" w:sz="0" w:space="0" w:color="auto"/>
        <w:right w:val="none" w:sz="0" w:space="0" w:color="auto"/>
      </w:divBdr>
    </w:div>
    <w:div w:id="336035593">
      <w:bodyDiv w:val="1"/>
      <w:marLeft w:val="0"/>
      <w:marRight w:val="0"/>
      <w:marTop w:val="0"/>
      <w:marBottom w:val="0"/>
      <w:divBdr>
        <w:top w:val="none" w:sz="0" w:space="0" w:color="auto"/>
        <w:left w:val="none" w:sz="0" w:space="0" w:color="auto"/>
        <w:bottom w:val="none" w:sz="0" w:space="0" w:color="auto"/>
        <w:right w:val="none" w:sz="0" w:space="0" w:color="auto"/>
      </w:divBdr>
    </w:div>
    <w:div w:id="338505586">
      <w:bodyDiv w:val="1"/>
      <w:marLeft w:val="0"/>
      <w:marRight w:val="0"/>
      <w:marTop w:val="0"/>
      <w:marBottom w:val="0"/>
      <w:divBdr>
        <w:top w:val="none" w:sz="0" w:space="0" w:color="auto"/>
        <w:left w:val="none" w:sz="0" w:space="0" w:color="auto"/>
        <w:bottom w:val="none" w:sz="0" w:space="0" w:color="auto"/>
        <w:right w:val="none" w:sz="0" w:space="0" w:color="auto"/>
      </w:divBdr>
    </w:div>
    <w:div w:id="340819252">
      <w:bodyDiv w:val="1"/>
      <w:marLeft w:val="0"/>
      <w:marRight w:val="0"/>
      <w:marTop w:val="0"/>
      <w:marBottom w:val="0"/>
      <w:divBdr>
        <w:top w:val="none" w:sz="0" w:space="0" w:color="auto"/>
        <w:left w:val="none" w:sz="0" w:space="0" w:color="auto"/>
        <w:bottom w:val="none" w:sz="0" w:space="0" w:color="auto"/>
        <w:right w:val="none" w:sz="0" w:space="0" w:color="auto"/>
      </w:divBdr>
    </w:div>
    <w:div w:id="341200162">
      <w:bodyDiv w:val="1"/>
      <w:marLeft w:val="0"/>
      <w:marRight w:val="0"/>
      <w:marTop w:val="0"/>
      <w:marBottom w:val="0"/>
      <w:divBdr>
        <w:top w:val="none" w:sz="0" w:space="0" w:color="auto"/>
        <w:left w:val="none" w:sz="0" w:space="0" w:color="auto"/>
        <w:bottom w:val="none" w:sz="0" w:space="0" w:color="auto"/>
        <w:right w:val="none" w:sz="0" w:space="0" w:color="auto"/>
      </w:divBdr>
    </w:div>
    <w:div w:id="351689788">
      <w:bodyDiv w:val="1"/>
      <w:marLeft w:val="0"/>
      <w:marRight w:val="0"/>
      <w:marTop w:val="0"/>
      <w:marBottom w:val="0"/>
      <w:divBdr>
        <w:top w:val="none" w:sz="0" w:space="0" w:color="auto"/>
        <w:left w:val="none" w:sz="0" w:space="0" w:color="auto"/>
        <w:bottom w:val="none" w:sz="0" w:space="0" w:color="auto"/>
        <w:right w:val="none" w:sz="0" w:space="0" w:color="auto"/>
      </w:divBdr>
    </w:div>
    <w:div w:id="352849442">
      <w:bodyDiv w:val="1"/>
      <w:marLeft w:val="0"/>
      <w:marRight w:val="0"/>
      <w:marTop w:val="0"/>
      <w:marBottom w:val="0"/>
      <w:divBdr>
        <w:top w:val="none" w:sz="0" w:space="0" w:color="auto"/>
        <w:left w:val="none" w:sz="0" w:space="0" w:color="auto"/>
        <w:bottom w:val="none" w:sz="0" w:space="0" w:color="auto"/>
        <w:right w:val="none" w:sz="0" w:space="0" w:color="auto"/>
      </w:divBdr>
    </w:div>
    <w:div w:id="353043341">
      <w:bodyDiv w:val="1"/>
      <w:marLeft w:val="0"/>
      <w:marRight w:val="0"/>
      <w:marTop w:val="0"/>
      <w:marBottom w:val="0"/>
      <w:divBdr>
        <w:top w:val="none" w:sz="0" w:space="0" w:color="auto"/>
        <w:left w:val="none" w:sz="0" w:space="0" w:color="auto"/>
        <w:bottom w:val="none" w:sz="0" w:space="0" w:color="auto"/>
        <w:right w:val="none" w:sz="0" w:space="0" w:color="auto"/>
      </w:divBdr>
    </w:div>
    <w:div w:id="365257286">
      <w:bodyDiv w:val="1"/>
      <w:marLeft w:val="0"/>
      <w:marRight w:val="0"/>
      <w:marTop w:val="0"/>
      <w:marBottom w:val="0"/>
      <w:divBdr>
        <w:top w:val="none" w:sz="0" w:space="0" w:color="auto"/>
        <w:left w:val="none" w:sz="0" w:space="0" w:color="auto"/>
        <w:bottom w:val="none" w:sz="0" w:space="0" w:color="auto"/>
        <w:right w:val="none" w:sz="0" w:space="0" w:color="auto"/>
      </w:divBdr>
    </w:div>
    <w:div w:id="375471388">
      <w:bodyDiv w:val="1"/>
      <w:marLeft w:val="0"/>
      <w:marRight w:val="0"/>
      <w:marTop w:val="0"/>
      <w:marBottom w:val="0"/>
      <w:divBdr>
        <w:top w:val="none" w:sz="0" w:space="0" w:color="auto"/>
        <w:left w:val="none" w:sz="0" w:space="0" w:color="auto"/>
        <w:bottom w:val="none" w:sz="0" w:space="0" w:color="auto"/>
        <w:right w:val="none" w:sz="0" w:space="0" w:color="auto"/>
      </w:divBdr>
    </w:div>
    <w:div w:id="388577772">
      <w:bodyDiv w:val="1"/>
      <w:marLeft w:val="0"/>
      <w:marRight w:val="0"/>
      <w:marTop w:val="0"/>
      <w:marBottom w:val="0"/>
      <w:divBdr>
        <w:top w:val="none" w:sz="0" w:space="0" w:color="auto"/>
        <w:left w:val="none" w:sz="0" w:space="0" w:color="auto"/>
        <w:bottom w:val="none" w:sz="0" w:space="0" w:color="auto"/>
        <w:right w:val="none" w:sz="0" w:space="0" w:color="auto"/>
      </w:divBdr>
    </w:div>
    <w:div w:id="393504691">
      <w:bodyDiv w:val="1"/>
      <w:marLeft w:val="0"/>
      <w:marRight w:val="0"/>
      <w:marTop w:val="0"/>
      <w:marBottom w:val="0"/>
      <w:divBdr>
        <w:top w:val="none" w:sz="0" w:space="0" w:color="auto"/>
        <w:left w:val="none" w:sz="0" w:space="0" w:color="auto"/>
        <w:bottom w:val="none" w:sz="0" w:space="0" w:color="auto"/>
        <w:right w:val="none" w:sz="0" w:space="0" w:color="auto"/>
      </w:divBdr>
    </w:div>
    <w:div w:id="416899566">
      <w:bodyDiv w:val="1"/>
      <w:marLeft w:val="0"/>
      <w:marRight w:val="0"/>
      <w:marTop w:val="0"/>
      <w:marBottom w:val="0"/>
      <w:divBdr>
        <w:top w:val="none" w:sz="0" w:space="0" w:color="auto"/>
        <w:left w:val="none" w:sz="0" w:space="0" w:color="auto"/>
        <w:bottom w:val="none" w:sz="0" w:space="0" w:color="auto"/>
        <w:right w:val="none" w:sz="0" w:space="0" w:color="auto"/>
      </w:divBdr>
    </w:div>
    <w:div w:id="420419507">
      <w:bodyDiv w:val="1"/>
      <w:marLeft w:val="0"/>
      <w:marRight w:val="0"/>
      <w:marTop w:val="0"/>
      <w:marBottom w:val="0"/>
      <w:divBdr>
        <w:top w:val="none" w:sz="0" w:space="0" w:color="auto"/>
        <w:left w:val="none" w:sz="0" w:space="0" w:color="auto"/>
        <w:bottom w:val="none" w:sz="0" w:space="0" w:color="auto"/>
        <w:right w:val="none" w:sz="0" w:space="0" w:color="auto"/>
      </w:divBdr>
      <w:divsChild>
        <w:div w:id="1007245030">
          <w:marLeft w:val="0"/>
          <w:marRight w:val="0"/>
          <w:marTop w:val="0"/>
          <w:marBottom w:val="0"/>
          <w:divBdr>
            <w:top w:val="single" w:sz="2" w:space="5" w:color="E0E4E9"/>
            <w:left w:val="single" w:sz="2" w:space="0" w:color="E0E4E9"/>
            <w:bottom w:val="single" w:sz="6" w:space="5" w:color="E0E4E9"/>
            <w:right w:val="single" w:sz="2" w:space="0" w:color="E0E4E9"/>
          </w:divBdr>
        </w:div>
        <w:div w:id="1280801838">
          <w:marLeft w:val="0"/>
          <w:marRight w:val="0"/>
          <w:marTop w:val="0"/>
          <w:marBottom w:val="0"/>
          <w:divBdr>
            <w:top w:val="single" w:sz="2" w:space="5" w:color="E0E4E9"/>
            <w:left w:val="single" w:sz="2" w:space="0" w:color="E0E4E9"/>
            <w:bottom w:val="single" w:sz="6" w:space="5" w:color="E0E4E9"/>
            <w:right w:val="single" w:sz="2" w:space="0" w:color="E0E4E9"/>
          </w:divBdr>
        </w:div>
      </w:divsChild>
    </w:div>
    <w:div w:id="436101839">
      <w:bodyDiv w:val="1"/>
      <w:marLeft w:val="0"/>
      <w:marRight w:val="0"/>
      <w:marTop w:val="0"/>
      <w:marBottom w:val="0"/>
      <w:divBdr>
        <w:top w:val="none" w:sz="0" w:space="0" w:color="auto"/>
        <w:left w:val="none" w:sz="0" w:space="0" w:color="auto"/>
        <w:bottom w:val="none" w:sz="0" w:space="0" w:color="auto"/>
        <w:right w:val="none" w:sz="0" w:space="0" w:color="auto"/>
      </w:divBdr>
    </w:div>
    <w:div w:id="439036780">
      <w:bodyDiv w:val="1"/>
      <w:marLeft w:val="0"/>
      <w:marRight w:val="0"/>
      <w:marTop w:val="0"/>
      <w:marBottom w:val="0"/>
      <w:divBdr>
        <w:top w:val="none" w:sz="0" w:space="0" w:color="auto"/>
        <w:left w:val="none" w:sz="0" w:space="0" w:color="auto"/>
        <w:bottom w:val="none" w:sz="0" w:space="0" w:color="auto"/>
        <w:right w:val="none" w:sz="0" w:space="0" w:color="auto"/>
      </w:divBdr>
      <w:divsChild>
        <w:div w:id="834304752">
          <w:marLeft w:val="0"/>
          <w:marRight w:val="0"/>
          <w:marTop w:val="0"/>
          <w:marBottom w:val="0"/>
          <w:divBdr>
            <w:top w:val="none" w:sz="0" w:space="6" w:color="E0E4E9"/>
            <w:left w:val="single" w:sz="6" w:space="30" w:color="E0E4E9"/>
            <w:bottom w:val="single" w:sz="6" w:space="6" w:color="E0E4E9"/>
            <w:right w:val="single" w:sz="6" w:space="8" w:color="E0E4E9"/>
          </w:divBdr>
        </w:div>
        <w:div w:id="1859464149">
          <w:marLeft w:val="0"/>
          <w:marRight w:val="0"/>
          <w:marTop w:val="0"/>
          <w:marBottom w:val="0"/>
          <w:divBdr>
            <w:top w:val="single" w:sz="2" w:space="5" w:color="E0E4E9"/>
            <w:left w:val="single" w:sz="2" w:space="0" w:color="E0E4E9"/>
            <w:bottom w:val="single" w:sz="6" w:space="5" w:color="E0E4E9"/>
            <w:right w:val="single" w:sz="2" w:space="0" w:color="E0E4E9"/>
          </w:divBdr>
        </w:div>
      </w:divsChild>
    </w:div>
    <w:div w:id="446241001">
      <w:bodyDiv w:val="1"/>
      <w:marLeft w:val="0"/>
      <w:marRight w:val="0"/>
      <w:marTop w:val="0"/>
      <w:marBottom w:val="0"/>
      <w:divBdr>
        <w:top w:val="none" w:sz="0" w:space="0" w:color="auto"/>
        <w:left w:val="none" w:sz="0" w:space="0" w:color="auto"/>
        <w:bottom w:val="none" w:sz="0" w:space="0" w:color="auto"/>
        <w:right w:val="none" w:sz="0" w:space="0" w:color="auto"/>
      </w:divBdr>
    </w:div>
    <w:div w:id="458256564">
      <w:bodyDiv w:val="1"/>
      <w:marLeft w:val="0"/>
      <w:marRight w:val="0"/>
      <w:marTop w:val="0"/>
      <w:marBottom w:val="0"/>
      <w:divBdr>
        <w:top w:val="none" w:sz="0" w:space="0" w:color="auto"/>
        <w:left w:val="none" w:sz="0" w:space="0" w:color="auto"/>
        <w:bottom w:val="none" w:sz="0" w:space="0" w:color="auto"/>
        <w:right w:val="none" w:sz="0" w:space="0" w:color="auto"/>
      </w:divBdr>
    </w:div>
    <w:div w:id="485904287">
      <w:bodyDiv w:val="1"/>
      <w:marLeft w:val="0"/>
      <w:marRight w:val="0"/>
      <w:marTop w:val="0"/>
      <w:marBottom w:val="0"/>
      <w:divBdr>
        <w:top w:val="none" w:sz="0" w:space="0" w:color="auto"/>
        <w:left w:val="none" w:sz="0" w:space="0" w:color="auto"/>
        <w:bottom w:val="none" w:sz="0" w:space="0" w:color="auto"/>
        <w:right w:val="none" w:sz="0" w:space="0" w:color="auto"/>
      </w:divBdr>
    </w:div>
    <w:div w:id="504634666">
      <w:bodyDiv w:val="1"/>
      <w:marLeft w:val="0"/>
      <w:marRight w:val="0"/>
      <w:marTop w:val="0"/>
      <w:marBottom w:val="0"/>
      <w:divBdr>
        <w:top w:val="none" w:sz="0" w:space="0" w:color="auto"/>
        <w:left w:val="none" w:sz="0" w:space="0" w:color="auto"/>
        <w:bottom w:val="none" w:sz="0" w:space="0" w:color="auto"/>
        <w:right w:val="none" w:sz="0" w:space="0" w:color="auto"/>
      </w:divBdr>
    </w:div>
    <w:div w:id="504899046">
      <w:bodyDiv w:val="1"/>
      <w:marLeft w:val="0"/>
      <w:marRight w:val="0"/>
      <w:marTop w:val="0"/>
      <w:marBottom w:val="0"/>
      <w:divBdr>
        <w:top w:val="none" w:sz="0" w:space="0" w:color="auto"/>
        <w:left w:val="none" w:sz="0" w:space="0" w:color="auto"/>
        <w:bottom w:val="none" w:sz="0" w:space="0" w:color="auto"/>
        <w:right w:val="none" w:sz="0" w:space="0" w:color="auto"/>
      </w:divBdr>
    </w:div>
    <w:div w:id="547381132">
      <w:bodyDiv w:val="1"/>
      <w:marLeft w:val="0"/>
      <w:marRight w:val="0"/>
      <w:marTop w:val="0"/>
      <w:marBottom w:val="0"/>
      <w:divBdr>
        <w:top w:val="none" w:sz="0" w:space="0" w:color="auto"/>
        <w:left w:val="none" w:sz="0" w:space="0" w:color="auto"/>
        <w:bottom w:val="none" w:sz="0" w:space="0" w:color="auto"/>
        <w:right w:val="none" w:sz="0" w:space="0" w:color="auto"/>
      </w:divBdr>
    </w:div>
    <w:div w:id="561058238">
      <w:bodyDiv w:val="1"/>
      <w:marLeft w:val="0"/>
      <w:marRight w:val="0"/>
      <w:marTop w:val="0"/>
      <w:marBottom w:val="0"/>
      <w:divBdr>
        <w:top w:val="none" w:sz="0" w:space="0" w:color="auto"/>
        <w:left w:val="none" w:sz="0" w:space="0" w:color="auto"/>
        <w:bottom w:val="none" w:sz="0" w:space="0" w:color="auto"/>
        <w:right w:val="none" w:sz="0" w:space="0" w:color="auto"/>
      </w:divBdr>
    </w:div>
    <w:div w:id="568349658">
      <w:bodyDiv w:val="1"/>
      <w:marLeft w:val="0"/>
      <w:marRight w:val="0"/>
      <w:marTop w:val="0"/>
      <w:marBottom w:val="0"/>
      <w:divBdr>
        <w:top w:val="none" w:sz="0" w:space="0" w:color="auto"/>
        <w:left w:val="none" w:sz="0" w:space="0" w:color="auto"/>
        <w:bottom w:val="none" w:sz="0" w:space="0" w:color="auto"/>
        <w:right w:val="none" w:sz="0" w:space="0" w:color="auto"/>
      </w:divBdr>
    </w:div>
    <w:div w:id="570774271">
      <w:bodyDiv w:val="1"/>
      <w:marLeft w:val="0"/>
      <w:marRight w:val="0"/>
      <w:marTop w:val="0"/>
      <w:marBottom w:val="0"/>
      <w:divBdr>
        <w:top w:val="none" w:sz="0" w:space="0" w:color="auto"/>
        <w:left w:val="none" w:sz="0" w:space="0" w:color="auto"/>
        <w:bottom w:val="none" w:sz="0" w:space="0" w:color="auto"/>
        <w:right w:val="none" w:sz="0" w:space="0" w:color="auto"/>
      </w:divBdr>
    </w:div>
    <w:div w:id="581446990">
      <w:bodyDiv w:val="1"/>
      <w:marLeft w:val="0"/>
      <w:marRight w:val="0"/>
      <w:marTop w:val="0"/>
      <w:marBottom w:val="0"/>
      <w:divBdr>
        <w:top w:val="none" w:sz="0" w:space="0" w:color="auto"/>
        <w:left w:val="none" w:sz="0" w:space="0" w:color="auto"/>
        <w:bottom w:val="none" w:sz="0" w:space="0" w:color="auto"/>
        <w:right w:val="none" w:sz="0" w:space="0" w:color="auto"/>
      </w:divBdr>
    </w:div>
    <w:div w:id="584337943">
      <w:bodyDiv w:val="1"/>
      <w:marLeft w:val="0"/>
      <w:marRight w:val="0"/>
      <w:marTop w:val="0"/>
      <w:marBottom w:val="0"/>
      <w:divBdr>
        <w:top w:val="none" w:sz="0" w:space="0" w:color="auto"/>
        <w:left w:val="none" w:sz="0" w:space="0" w:color="auto"/>
        <w:bottom w:val="none" w:sz="0" w:space="0" w:color="auto"/>
        <w:right w:val="none" w:sz="0" w:space="0" w:color="auto"/>
      </w:divBdr>
    </w:div>
    <w:div w:id="584648933">
      <w:bodyDiv w:val="1"/>
      <w:marLeft w:val="0"/>
      <w:marRight w:val="0"/>
      <w:marTop w:val="0"/>
      <w:marBottom w:val="0"/>
      <w:divBdr>
        <w:top w:val="none" w:sz="0" w:space="0" w:color="auto"/>
        <w:left w:val="none" w:sz="0" w:space="0" w:color="auto"/>
        <w:bottom w:val="none" w:sz="0" w:space="0" w:color="auto"/>
        <w:right w:val="none" w:sz="0" w:space="0" w:color="auto"/>
      </w:divBdr>
    </w:div>
    <w:div w:id="596913815">
      <w:bodyDiv w:val="1"/>
      <w:marLeft w:val="0"/>
      <w:marRight w:val="0"/>
      <w:marTop w:val="0"/>
      <w:marBottom w:val="0"/>
      <w:divBdr>
        <w:top w:val="none" w:sz="0" w:space="0" w:color="auto"/>
        <w:left w:val="none" w:sz="0" w:space="0" w:color="auto"/>
        <w:bottom w:val="none" w:sz="0" w:space="0" w:color="auto"/>
        <w:right w:val="none" w:sz="0" w:space="0" w:color="auto"/>
      </w:divBdr>
    </w:div>
    <w:div w:id="601491737">
      <w:bodyDiv w:val="1"/>
      <w:marLeft w:val="0"/>
      <w:marRight w:val="0"/>
      <w:marTop w:val="0"/>
      <w:marBottom w:val="0"/>
      <w:divBdr>
        <w:top w:val="none" w:sz="0" w:space="0" w:color="auto"/>
        <w:left w:val="none" w:sz="0" w:space="0" w:color="auto"/>
        <w:bottom w:val="none" w:sz="0" w:space="0" w:color="auto"/>
        <w:right w:val="none" w:sz="0" w:space="0" w:color="auto"/>
      </w:divBdr>
    </w:div>
    <w:div w:id="612640033">
      <w:bodyDiv w:val="1"/>
      <w:marLeft w:val="0"/>
      <w:marRight w:val="0"/>
      <w:marTop w:val="0"/>
      <w:marBottom w:val="0"/>
      <w:divBdr>
        <w:top w:val="none" w:sz="0" w:space="0" w:color="auto"/>
        <w:left w:val="none" w:sz="0" w:space="0" w:color="auto"/>
        <w:bottom w:val="none" w:sz="0" w:space="0" w:color="auto"/>
        <w:right w:val="none" w:sz="0" w:space="0" w:color="auto"/>
      </w:divBdr>
    </w:div>
    <w:div w:id="613291299">
      <w:bodyDiv w:val="1"/>
      <w:marLeft w:val="0"/>
      <w:marRight w:val="0"/>
      <w:marTop w:val="0"/>
      <w:marBottom w:val="0"/>
      <w:divBdr>
        <w:top w:val="none" w:sz="0" w:space="0" w:color="auto"/>
        <w:left w:val="none" w:sz="0" w:space="0" w:color="auto"/>
        <w:bottom w:val="none" w:sz="0" w:space="0" w:color="auto"/>
        <w:right w:val="none" w:sz="0" w:space="0" w:color="auto"/>
      </w:divBdr>
    </w:div>
    <w:div w:id="623393437">
      <w:bodyDiv w:val="1"/>
      <w:marLeft w:val="0"/>
      <w:marRight w:val="0"/>
      <w:marTop w:val="0"/>
      <w:marBottom w:val="0"/>
      <w:divBdr>
        <w:top w:val="none" w:sz="0" w:space="0" w:color="auto"/>
        <w:left w:val="none" w:sz="0" w:space="0" w:color="auto"/>
        <w:bottom w:val="none" w:sz="0" w:space="0" w:color="auto"/>
        <w:right w:val="none" w:sz="0" w:space="0" w:color="auto"/>
      </w:divBdr>
    </w:div>
    <w:div w:id="630669455">
      <w:bodyDiv w:val="1"/>
      <w:marLeft w:val="0"/>
      <w:marRight w:val="0"/>
      <w:marTop w:val="0"/>
      <w:marBottom w:val="0"/>
      <w:divBdr>
        <w:top w:val="none" w:sz="0" w:space="0" w:color="auto"/>
        <w:left w:val="none" w:sz="0" w:space="0" w:color="auto"/>
        <w:bottom w:val="none" w:sz="0" w:space="0" w:color="auto"/>
        <w:right w:val="none" w:sz="0" w:space="0" w:color="auto"/>
      </w:divBdr>
    </w:div>
    <w:div w:id="631329515">
      <w:bodyDiv w:val="1"/>
      <w:marLeft w:val="0"/>
      <w:marRight w:val="0"/>
      <w:marTop w:val="0"/>
      <w:marBottom w:val="0"/>
      <w:divBdr>
        <w:top w:val="none" w:sz="0" w:space="0" w:color="auto"/>
        <w:left w:val="none" w:sz="0" w:space="0" w:color="auto"/>
        <w:bottom w:val="none" w:sz="0" w:space="0" w:color="auto"/>
        <w:right w:val="none" w:sz="0" w:space="0" w:color="auto"/>
      </w:divBdr>
    </w:div>
    <w:div w:id="635909649">
      <w:bodyDiv w:val="1"/>
      <w:marLeft w:val="0"/>
      <w:marRight w:val="0"/>
      <w:marTop w:val="0"/>
      <w:marBottom w:val="0"/>
      <w:divBdr>
        <w:top w:val="none" w:sz="0" w:space="0" w:color="auto"/>
        <w:left w:val="none" w:sz="0" w:space="0" w:color="auto"/>
        <w:bottom w:val="none" w:sz="0" w:space="0" w:color="auto"/>
        <w:right w:val="none" w:sz="0" w:space="0" w:color="auto"/>
      </w:divBdr>
    </w:div>
    <w:div w:id="638193177">
      <w:bodyDiv w:val="1"/>
      <w:marLeft w:val="0"/>
      <w:marRight w:val="0"/>
      <w:marTop w:val="0"/>
      <w:marBottom w:val="0"/>
      <w:divBdr>
        <w:top w:val="none" w:sz="0" w:space="0" w:color="auto"/>
        <w:left w:val="none" w:sz="0" w:space="0" w:color="auto"/>
        <w:bottom w:val="none" w:sz="0" w:space="0" w:color="auto"/>
        <w:right w:val="none" w:sz="0" w:space="0" w:color="auto"/>
      </w:divBdr>
    </w:div>
    <w:div w:id="639116304">
      <w:bodyDiv w:val="1"/>
      <w:marLeft w:val="0"/>
      <w:marRight w:val="0"/>
      <w:marTop w:val="0"/>
      <w:marBottom w:val="0"/>
      <w:divBdr>
        <w:top w:val="none" w:sz="0" w:space="0" w:color="auto"/>
        <w:left w:val="none" w:sz="0" w:space="0" w:color="auto"/>
        <w:bottom w:val="none" w:sz="0" w:space="0" w:color="auto"/>
        <w:right w:val="none" w:sz="0" w:space="0" w:color="auto"/>
      </w:divBdr>
    </w:div>
    <w:div w:id="649946552">
      <w:bodyDiv w:val="1"/>
      <w:marLeft w:val="0"/>
      <w:marRight w:val="0"/>
      <w:marTop w:val="0"/>
      <w:marBottom w:val="0"/>
      <w:divBdr>
        <w:top w:val="none" w:sz="0" w:space="0" w:color="auto"/>
        <w:left w:val="none" w:sz="0" w:space="0" w:color="auto"/>
        <w:bottom w:val="none" w:sz="0" w:space="0" w:color="auto"/>
        <w:right w:val="none" w:sz="0" w:space="0" w:color="auto"/>
      </w:divBdr>
    </w:div>
    <w:div w:id="666440914">
      <w:bodyDiv w:val="1"/>
      <w:marLeft w:val="0"/>
      <w:marRight w:val="0"/>
      <w:marTop w:val="0"/>
      <w:marBottom w:val="0"/>
      <w:divBdr>
        <w:top w:val="none" w:sz="0" w:space="0" w:color="auto"/>
        <w:left w:val="none" w:sz="0" w:space="0" w:color="auto"/>
        <w:bottom w:val="none" w:sz="0" w:space="0" w:color="auto"/>
        <w:right w:val="none" w:sz="0" w:space="0" w:color="auto"/>
      </w:divBdr>
    </w:div>
    <w:div w:id="670182633">
      <w:bodyDiv w:val="1"/>
      <w:marLeft w:val="0"/>
      <w:marRight w:val="0"/>
      <w:marTop w:val="0"/>
      <w:marBottom w:val="0"/>
      <w:divBdr>
        <w:top w:val="none" w:sz="0" w:space="0" w:color="auto"/>
        <w:left w:val="none" w:sz="0" w:space="0" w:color="auto"/>
        <w:bottom w:val="none" w:sz="0" w:space="0" w:color="auto"/>
        <w:right w:val="none" w:sz="0" w:space="0" w:color="auto"/>
      </w:divBdr>
    </w:div>
    <w:div w:id="675116638">
      <w:bodyDiv w:val="1"/>
      <w:marLeft w:val="0"/>
      <w:marRight w:val="0"/>
      <w:marTop w:val="0"/>
      <w:marBottom w:val="0"/>
      <w:divBdr>
        <w:top w:val="none" w:sz="0" w:space="0" w:color="auto"/>
        <w:left w:val="none" w:sz="0" w:space="0" w:color="auto"/>
        <w:bottom w:val="none" w:sz="0" w:space="0" w:color="auto"/>
        <w:right w:val="none" w:sz="0" w:space="0" w:color="auto"/>
      </w:divBdr>
    </w:div>
    <w:div w:id="678579929">
      <w:bodyDiv w:val="1"/>
      <w:marLeft w:val="0"/>
      <w:marRight w:val="0"/>
      <w:marTop w:val="0"/>
      <w:marBottom w:val="0"/>
      <w:divBdr>
        <w:top w:val="none" w:sz="0" w:space="0" w:color="auto"/>
        <w:left w:val="none" w:sz="0" w:space="0" w:color="auto"/>
        <w:bottom w:val="none" w:sz="0" w:space="0" w:color="auto"/>
        <w:right w:val="none" w:sz="0" w:space="0" w:color="auto"/>
      </w:divBdr>
    </w:div>
    <w:div w:id="687099895">
      <w:bodyDiv w:val="1"/>
      <w:marLeft w:val="0"/>
      <w:marRight w:val="0"/>
      <w:marTop w:val="0"/>
      <w:marBottom w:val="0"/>
      <w:divBdr>
        <w:top w:val="none" w:sz="0" w:space="0" w:color="auto"/>
        <w:left w:val="none" w:sz="0" w:space="0" w:color="auto"/>
        <w:bottom w:val="none" w:sz="0" w:space="0" w:color="auto"/>
        <w:right w:val="none" w:sz="0" w:space="0" w:color="auto"/>
      </w:divBdr>
    </w:div>
    <w:div w:id="691030668">
      <w:bodyDiv w:val="1"/>
      <w:marLeft w:val="0"/>
      <w:marRight w:val="0"/>
      <w:marTop w:val="0"/>
      <w:marBottom w:val="0"/>
      <w:divBdr>
        <w:top w:val="none" w:sz="0" w:space="0" w:color="auto"/>
        <w:left w:val="none" w:sz="0" w:space="0" w:color="auto"/>
        <w:bottom w:val="none" w:sz="0" w:space="0" w:color="auto"/>
        <w:right w:val="none" w:sz="0" w:space="0" w:color="auto"/>
      </w:divBdr>
    </w:div>
    <w:div w:id="702246837">
      <w:bodyDiv w:val="1"/>
      <w:marLeft w:val="0"/>
      <w:marRight w:val="0"/>
      <w:marTop w:val="0"/>
      <w:marBottom w:val="0"/>
      <w:divBdr>
        <w:top w:val="none" w:sz="0" w:space="0" w:color="auto"/>
        <w:left w:val="none" w:sz="0" w:space="0" w:color="auto"/>
        <w:bottom w:val="none" w:sz="0" w:space="0" w:color="auto"/>
        <w:right w:val="none" w:sz="0" w:space="0" w:color="auto"/>
      </w:divBdr>
    </w:div>
    <w:div w:id="712463381">
      <w:bodyDiv w:val="1"/>
      <w:marLeft w:val="0"/>
      <w:marRight w:val="0"/>
      <w:marTop w:val="0"/>
      <w:marBottom w:val="0"/>
      <w:divBdr>
        <w:top w:val="none" w:sz="0" w:space="0" w:color="auto"/>
        <w:left w:val="none" w:sz="0" w:space="0" w:color="auto"/>
        <w:bottom w:val="none" w:sz="0" w:space="0" w:color="auto"/>
        <w:right w:val="none" w:sz="0" w:space="0" w:color="auto"/>
      </w:divBdr>
    </w:div>
    <w:div w:id="715081702">
      <w:bodyDiv w:val="1"/>
      <w:marLeft w:val="0"/>
      <w:marRight w:val="0"/>
      <w:marTop w:val="0"/>
      <w:marBottom w:val="0"/>
      <w:divBdr>
        <w:top w:val="none" w:sz="0" w:space="0" w:color="auto"/>
        <w:left w:val="none" w:sz="0" w:space="0" w:color="auto"/>
        <w:bottom w:val="none" w:sz="0" w:space="0" w:color="auto"/>
        <w:right w:val="none" w:sz="0" w:space="0" w:color="auto"/>
      </w:divBdr>
    </w:div>
    <w:div w:id="721712316">
      <w:bodyDiv w:val="1"/>
      <w:marLeft w:val="0"/>
      <w:marRight w:val="0"/>
      <w:marTop w:val="0"/>
      <w:marBottom w:val="0"/>
      <w:divBdr>
        <w:top w:val="none" w:sz="0" w:space="0" w:color="auto"/>
        <w:left w:val="none" w:sz="0" w:space="0" w:color="auto"/>
        <w:bottom w:val="none" w:sz="0" w:space="0" w:color="auto"/>
        <w:right w:val="none" w:sz="0" w:space="0" w:color="auto"/>
      </w:divBdr>
    </w:div>
    <w:div w:id="733352593">
      <w:bodyDiv w:val="1"/>
      <w:marLeft w:val="0"/>
      <w:marRight w:val="0"/>
      <w:marTop w:val="0"/>
      <w:marBottom w:val="0"/>
      <w:divBdr>
        <w:top w:val="none" w:sz="0" w:space="0" w:color="auto"/>
        <w:left w:val="none" w:sz="0" w:space="0" w:color="auto"/>
        <w:bottom w:val="none" w:sz="0" w:space="0" w:color="auto"/>
        <w:right w:val="none" w:sz="0" w:space="0" w:color="auto"/>
      </w:divBdr>
    </w:div>
    <w:div w:id="733744402">
      <w:bodyDiv w:val="1"/>
      <w:marLeft w:val="0"/>
      <w:marRight w:val="0"/>
      <w:marTop w:val="0"/>
      <w:marBottom w:val="0"/>
      <w:divBdr>
        <w:top w:val="none" w:sz="0" w:space="0" w:color="auto"/>
        <w:left w:val="none" w:sz="0" w:space="0" w:color="auto"/>
        <w:bottom w:val="none" w:sz="0" w:space="0" w:color="auto"/>
        <w:right w:val="none" w:sz="0" w:space="0" w:color="auto"/>
      </w:divBdr>
    </w:div>
    <w:div w:id="739330794">
      <w:bodyDiv w:val="1"/>
      <w:marLeft w:val="0"/>
      <w:marRight w:val="0"/>
      <w:marTop w:val="0"/>
      <w:marBottom w:val="0"/>
      <w:divBdr>
        <w:top w:val="none" w:sz="0" w:space="0" w:color="auto"/>
        <w:left w:val="none" w:sz="0" w:space="0" w:color="auto"/>
        <w:bottom w:val="none" w:sz="0" w:space="0" w:color="auto"/>
        <w:right w:val="none" w:sz="0" w:space="0" w:color="auto"/>
      </w:divBdr>
    </w:div>
    <w:div w:id="742995436">
      <w:bodyDiv w:val="1"/>
      <w:marLeft w:val="0"/>
      <w:marRight w:val="0"/>
      <w:marTop w:val="0"/>
      <w:marBottom w:val="0"/>
      <w:divBdr>
        <w:top w:val="none" w:sz="0" w:space="0" w:color="auto"/>
        <w:left w:val="none" w:sz="0" w:space="0" w:color="auto"/>
        <w:bottom w:val="none" w:sz="0" w:space="0" w:color="auto"/>
        <w:right w:val="none" w:sz="0" w:space="0" w:color="auto"/>
      </w:divBdr>
    </w:div>
    <w:div w:id="746222486">
      <w:bodyDiv w:val="1"/>
      <w:marLeft w:val="0"/>
      <w:marRight w:val="0"/>
      <w:marTop w:val="0"/>
      <w:marBottom w:val="0"/>
      <w:divBdr>
        <w:top w:val="none" w:sz="0" w:space="0" w:color="auto"/>
        <w:left w:val="none" w:sz="0" w:space="0" w:color="auto"/>
        <w:bottom w:val="none" w:sz="0" w:space="0" w:color="auto"/>
        <w:right w:val="none" w:sz="0" w:space="0" w:color="auto"/>
      </w:divBdr>
    </w:div>
    <w:div w:id="751391366">
      <w:bodyDiv w:val="1"/>
      <w:marLeft w:val="0"/>
      <w:marRight w:val="0"/>
      <w:marTop w:val="0"/>
      <w:marBottom w:val="0"/>
      <w:divBdr>
        <w:top w:val="none" w:sz="0" w:space="0" w:color="auto"/>
        <w:left w:val="none" w:sz="0" w:space="0" w:color="auto"/>
        <w:bottom w:val="none" w:sz="0" w:space="0" w:color="auto"/>
        <w:right w:val="none" w:sz="0" w:space="0" w:color="auto"/>
      </w:divBdr>
    </w:div>
    <w:div w:id="752160959">
      <w:bodyDiv w:val="1"/>
      <w:marLeft w:val="0"/>
      <w:marRight w:val="0"/>
      <w:marTop w:val="0"/>
      <w:marBottom w:val="0"/>
      <w:divBdr>
        <w:top w:val="none" w:sz="0" w:space="0" w:color="auto"/>
        <w:left w:val="none" w:sz="0" w:space="0" w:color="auto"/>
        <w:bottom w:val="none" w:sz="0" w:space="0" w:color="auto"/>
        <w:right w:val="none" w:sz="0" w:space="0" w:color="auto"/>
      </w:divBdr>
    </w:div>
    <w:div w:id="760108888">
      <w:bodyDiv w:val="1"/>
      <w:marLeft w:val="0"/>
      <w:marRight w:val="0"/>
      <w:marTop w:val="0"/>
      <w:marBottom w:val="0"/>
      <w:divBdr>
        <w:top w:val="none" w:sz="0" w:space="0" w:color="auto"/>
        <w:left w:val="none" w:sz="0" w:space="0" w:color="auto"/>
        <w:bottom w:val="none" w:sz="0" w:space="0" w:color="auto"/>
        <w:right w:val="none" w:sz="0" w:space="0" w:color="auto"/>
      </w:divBdr>
    </w:div>
    <w:div w:id="764958124">
      <w:bodyDiv w:val="1"/>
      <w:marLeft w:val="0"/>
      <w:marRight w:val="0"/>
      <w:marTop w:val="0"/>
      <w:marBottom w:val="0"/>
      <w:divBdr>
        <w:top w:val="none" w:sz="0" w:space="0" w:color="auto"/>
        <w:left w:val="none" w:sz="0" w:space="0" w:color="auto"/>
        <w:bottom w:val="none" w:sz="0" w:space="0" w:color="auto"/>
        <w:right w:val="none" w:sz="0" w:space="0" w:color="auto"/>
      </w:divBdr>
    </w:div>
    <w:div w:id="768887342">
      <w:bodyDiv w:val="1"/>
      <w:marLeft w:val="0"/>
      <w:marRight w:val="0"/>
      <w:marTop w:val="0"/>
      <w:marBottom w:val="0"/>
      <w:divBdr>
        <w:top w:val="none" w:sz="0" w:space="0" w:color="auto"/>
        <w:left w:val="none" w:sz="0" w:space="0" w:color="auto"/>
        <w:bottom w:val="none" w:sz="0" w:space="0" w:color="auto"/>
        <w:right w:val="none" w:sz="0" w:space="0" w:color="auto"/>
      </w:divBdr>
    </w:div>
    <w:div w:id="776412678">
      <w:bodyDiv w:val="1"/>
      <w:marLeft w:val="0"/>
      <w:marRight w:val="0"/>
      <w:marTop w:val="0"/>
      <w:marBottom w:val="0"/>
      <w:divBdr>
        <w:top w:val="none" w:sz="0" w:space="0" w:color="auto"/>
        <w:left w:val="none" w:sz="0" w:space="0" w:color="auto"/>
        <w:bottom w:val="none" w:sz="0" w:space="0" w:color="auto"/>
        <w:right w:val="none" w:sz="0" w:space="0" w:color="auto"/>
      </w:divBdr>
    </w:div>
    <w:div w:id="782070046">
      <w:bodyDiv w:val="1"/>
      <w:marLeft w:val="0"/>
      <w:marRight w:val="0"/>
      <w:marTop w:val="0"/>
      <w:marBottom w:val="0"/>
      <w:divBdr>
        <w:top w:val="none" w:sz="0" w:space="0" w:color="auto"/>
        <w:left w:val="none" w:sz="0" w:space="0" w:color="auto"/>
        <w:bottom w:val="none" w:sz="0" w:space="0" w:color="auto"/>
        <w:right w:val="none" w:sz="0" w:space="0" w:color="auto"/>
      </w:divBdr>
    </w:div>
    <w:div w:id="789512230">
      <w:bodyDiv w:val="1"/>
      <w:marLeft w:val="0"/>
      <w:marRight w:val="0"/>
      <w:marTop w:val="0"/>
      <w:marBottom w:val="0"/>
      <w:divBdr>
        <w:top w:val="none" w:sz="0" w:space="0" w:color="auto"/>
        <w:left w:val="none" w:sz="0" w:space="0" w:color="auto"/>
        <w:bottom w:val="none" w:sz="0" w:space="0" w:color="auto"/>
        <w:right w:val="none" w:sz="0" w:space="0" w:color="auto"/>
      </w:divBdr>
    </w:div>
    <w:div w:id="804660629">
      <w:bodyDiv w:val="1"/>
      <w:marLeft w:val="0"/>
      <w:marRight w:val="0"/>
      <w:marTop w:val="0"/>
      <w:marBottom w:val="0"/>
      <w:divBdr>
        <w:top w:val="none" w:sz="0" w:space="0" w:color="auto"/>
        <w:left w:val="none" w:sz="0" w:space="0" w:color="auto"/>
        <w:bottom w:val="none" w:sz="0" w:space="0" w:color="auto"/>
        <w:right w:val="none" w:sz="0" w:space="0" w:color="auto"/>
      </w:divBdr>
    </w:div>
    <w:div w:id="814109746">
      <w:bodyDiv w:val="1"/>
      <w:marLeft w:val="0"/>
      <w:marRight w:val="0"/>
      <w:marTop w:val="0"/>
      <w:marBottom w:val="0"/>
      <w:divBdr>
        <w:top w:val="none" w:sz="0" w:space="0" w:color="auto"/>
        <w:left w:val="none" w:sz="0" w:space="0" w:color="auto"/>
        <w:bottom w:val="none" w:sz="0" w:space="0" w:color="auto"/>
        <w:right w:val="none" w:sz="0" w:space="0" w:color="auto"/>
      </w:divBdr>
    </w:div>
    <w:div w:id="821510609">
      <w:marLeft w:val="0"/>
      <w:marRight w:val="0"/>
      <w:marTop w:val="0"/>
      <w:marBottom w:val="0"/>
      <w:divBdr>
        <w:top w:val="none" w:sz="0" w:space="0" w:color="auto"/>
        <w:left w:val="none" w:sz="0" w:space="0" w:color="auto"/>
        <w:bottom w:val="none" w:sz="0" w:space="0" w:color="auto"/>
        <w:right w:val="none" w:sz="0" w:space="0" w:color="auto"/>
      </w:divBdr>
      <w:divsChild>
        <w:div w:id="6298090">
          <w:marLeft w:val="0"/>
          <w:marRight w:val="0"/>
          <w:marTop w:val="0"/>
          <w:marBottom w:val="0"/>
          <w:divBdr>
            <w:top w:val="none" w:sz="0" w:space="0" w:color="auto"/>
            <w:left w:val="none" w:sz="0" w:space="0" w:color="auto"/>
            <w:bottom w:val="none" w:sz="0" w:space="0" w:color="auto"/>
            <w:right w:val="none" w:sz="0" w:space="0" w:color="auto"/>
          </w:divBdr>
          <w:divsChild>
            <w:div w:id="1437215146">
              <w:marLeft w:val="0"/>
              <w:marRight w:val="0"/>
              <w:marTop w:val="0"/>
              <w:marBottom w:val="0"/>
              <w:divBdr>
                <w:top w:val="none" w:sz="0" w:space="0" w:color="auto"/>
                <w:left w:val="none" w:sz="0" w:space="0" w:color="auto"/>
                <w:bottom w:val="none" w:sz="0" w:space="0" w:color="auto"/>
                <w:right w:val="none" w:sz="0" w:space="0" w:color="auto"/>
              </w:divBdr>
              <w:divsChild>
                <w:div w:id="1513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9603">
      <w:bodyDiv w:val="1"/>
      <w:marLeft w:val="0"/>
      <w:marRight w:val="0"/>
      <w:marTop w:val="0"/>
      <w:marBottom w:val="0"/>
      <w:divBdr>
        <w:top w:val="none" w:sz="0" w:space="0" w:color="auto"/>
        <w:left w:val="none" w:sz="0" w:space="0" w:color="auto"/>
        <w:bottom w:val="none" w:sz="0" w:space="0" w:color="auto"/>
        <w:right w:val="none" w:sz="0" w:space="0" w:color="auto"/>
      </w:divBdr>
    </w:div>
    <w:div w:id="847327894">
      <w:bodyDiv w:val="1"/>
      <w:marLeft w:val="0"/>
      <w:marRight w:val="0"/>
      <w:marTop w:val="0"/>
      <w:marBottom w:val="0"/>
      <w:divBdr>
        <w:top w:val="none" w:sz="0" w:space="0" w:color="auto"/>
        <w:left w:val="none" w:sz="0" w:space="0" w:color="auto"/>
        <w:bottom w:val="none" w:sz="0" w:space="0" w:color="auto"/>
        <w:right w:val="none" w:sz="0" w:space="0" w:color="auto"/>
      </w:divBdr>
    </w:div>
    <w:div w:id="856235756">
      <w:bodyDiv w:val="1"/>
      <w:marLeft w:val="0"/>
      <w:marRight w:val="0"/>
      <w:marTop w:val="0"/>
      <w:marBottom w:val="0"/>
      <w:divBdr>
        <w:top w:val="none" w:sz="0" w:space="0" w:color="auto"/>
        <w:left w:val="none" w:sz="0" w:space="0" w:color="auto"/>
        <w:bottom w:val="none" w:sz="0" w:space="0" w:color="auto"/>
        <w:right w:val="none" w:sz="0" w:space="0" w:color="auto"/>
      </w:divBdr>
    </w:div>
    <w:div w:id="858853955">
      <w:bodyDiv w:val="1"/>
      <w:marLeft w:val="0"/>
      <w:marRight w:val="0"/>
      <w:marTop w:val="0"/>
      <w:marBottom w:val="0"/>
      <w:divBdr>
        <w:top w:val="none" w:sz="0" w:space="0" w:color="auto"/>
        <w:left w:val="none" w:sz="0" w:space="0" w:color="auto"/>
        <w:bottom w:val="none" w:sz="0" w:space="0" w:color="auto"/>
        <w:right w:val="none" w:sz="0" w:space="0" w:color="auto"/>
      </w:divBdr>
    </w:div>
    <w:div w:id="860238359">
      <w:bodyDiv w:val="1"/>
      <w:marLeft w:val="0"/>
      <w:marRight w:val="0"/>
      <w:marTop w:val="0"/>
      <w:marBottom w:val="0"/>
      <w:divBdr>
        <w:top w:val="none" w:sz="0" w:space="0" w:color="auto"/>
        <w:left w:val="none" w:sz="0" w:space="0" w:color="auto"/>
        <w:bottom w:val="none" w:sz="0" w:space="0" w:color="auto"/>
        <w:right w:val="none" w:sz="0" w:space="0" w:color="auto"/>
      </w:divBdr>
    </w:div>
    <w:div w:id="870918293">
      <w:bodyDiv w:val="1"/>
      <w:marLeft w:val="0"/>
      <w:marRight w:val="0"/>
      <w:marTop w:val="0"/>
      <w:marBottom w:val="0"/>
      <w:divBdr>
        <w:top w:val="none" w:sz="0" w:space="0" w:color="auto"/>
        <w:left w:val="none" w:sz="0" w:space="0" w:color="auto"/>
        <w:bottom w:val="none" w:sz="0" w:space="0" w:color="auto"/>
        <w:right w:val="none" w:sz="0" w:space="0" w:color="auto"/>
      </w:divBdr>
    </w:div>
    <w:div w:id="884871932">
      <w:bodyDiv w:val="1"/>
      <w:marLeft w:val="0"/>
      <w:marRight w:val="0"/>
      <w:marTop w:val="0"/>
      <w:marBottom w:val="0"/>
      <w:divBdr>
        <w:top w:val="none" w:sz="0" w:space="0" w:color="auto"/>
        <w:left w:val="none" w:sz="0" w:space="0" w:color="auto"/>
        <w:bottom w:val="none" w:sz="0" w:space="0" w:color="auto"/>
        <w:right w:val="none" w:sz="0" w:space="0" w:color="auto"/>
      </w:divBdr>
    </w:div>
    <w:div w:id="891622587">
      <w:bodyDiv w:val="1"/>
      <w:marLeft w:val="0"/>
      <w:marRight w:val="0"/>
      <w:marTop w:val="0"/>
      <w:marBottom w:val="0"/>
      <w:divBdr>
        <w:top w:val="none" w:sz="0" w:space="0" w:color="auto"/>
        <w:left w:val="none" w:sz="0" w:space="0" w:color="auto"/>
        <w:bottom w:val="none" w:sz="0" w:space="0" w:color="auto"/>
        <w:right w:val="none" w:sz="0" w:space="0" w:color="auto"/>
      </w:divBdr>
    </w:div>
    <w:div w:id="892231527">
      <w:bodyDiv w:val="1"/>
      <w:marLeft w:val="0"/>
      <w:marRight w:val="0"/>
      <w:marTop w:val="0"/>
      <w:marBottom w:val="0"/>
      <w:divBdr>
        <w:top w:val="none" w:sz="0" w:space="0" w:color="auto"/>
        <w:left w:val="none" w:sz="0" w:space="0" w:color="auto"/>
        <w:bottom w:val="none" w:sz="0" w:space="0" w:color="auto"/>
        <w:right w:val="none" w:sz="0" w:space="0" w:color="auto"/>
      </w:divBdr>
    </w:div>
    <w:div w:id="894777844">
      <w:bodyDiv w:val="1"/>
      <w:marLeft w:val="0"/>
      <w:marRight w:val="0"/>
      <w:marTop w:val="0"/>
      <w:marBottom w:val="0"/>
      <w:divBdr>
        <w:top w:val="none" w:sz="0" w:space="0" w:color="auto"/>
        <w:left w:val="none" w:sz="0" w:space="0" w:color="auto"/>
        <w:bottom w:val="none" w:sz="0" w:space="0" w:color="auto"/>
        <w:right w:val="none" w:sz="0" w:space="0" w:color="auto"/>
      </w:divBdr>
    </w:div>
    <w:div w:id="935405099">
      <w:bodyDiv w:val="1"/>
      <w:marLeft w:val="0"/>
      <w:marRight w:val="0"/>
      <w:marTop w:val="0"/>
      <w:marBottom w:val="0"/>
      <w:divBdr>
        <w:top w:val="none" w:sz="0" w:space="0" w:color="auto"/>
        <w:left w:val="none" w:sz="0" w:space="0" w:color="auto"/>
        <w:bottom w:val="none" w:sz="0" w:space="0" w:color="auto"/>
        <w:right w:val="none" w:sz="0" w:space="0" w:color="auto"/>
      </w:divBdr>
    </w:div>
    <w:div w:id="949359421">
      <w:bodyDiv w:val="1"/>
      <w:marLeft w:val="0"/>
      <w:marRight w:val="0"/>
      <w:marTop w:val="0"/>
      <w:marBottom w:val="0"/>
      <w:divBdr>
        <w:top w:val="none" w:sz="0" w:space="0" w:color="auto"/>
        <w:left w:val="none" w:sz="0" w:space="0" w:color="auto"/>
        <w:bottom w:val="none" w:sz="0" w:space="0" w:color="auto"/>
        <w:right w:val="none" w:sz="0" w:space="0" w:color="auto"/>
      </w:divBdr>
    </w:div>
    <w:div w:id="950743301">
      <w:bodyDiv w:val="1"/>
      <w:marLeft w:val="0"/>
      <w:marRight w:val="0"/>
      <w:marTop w:val="0"/>
      <w:marBottom w:val="0"/>
      <w:divBdr>
        <w:top w:val="none" w:sz="0" w:space="0" w:color="auto"/>
        <w:left w:val="none" w:sz="0" w:space="0" w:color="auto"/>
        <w:bottom w:val="none" w:sz="0" w:space="0" w:color="auto"/>
        <w:right w:val="none" w:sz="0" w:space="0" w:color="auto"/>
      </w:divBdr>
    </w:div>
    <w:div w:id="957949618">
      <w:bodyDiv w:val="1"/>
      <w:marLeft w:val="0"/>
      <w:marRight w:val="0"/>
      <w:marTop w:val="0"/>
      <w:marBottom w:val="0"/>
      <w:divBdr>
        <w:top w:val="none" w:sz="0" w:space="0" w:color="auto"/>
        <w:left w:val="none" w:sz="0" w:space="0" w:color="auto"/>
        <w:bottom w:val="none" w:sz="0" w:space="0" w:color="auto"/>
        <w:right w:val="none" w:sz="0" w:space="0" w:color="auto"/>
      </w:divBdr>
    </w:div>
    <w:div w:id="966086664">
      <w:bodyDiv w:val="1"/>
      <w:marLeft w:val="0"/>
      <w:marRight w:val="0"/>
      <w:marTop w:val="0"/>
      <w:marBottom w:val="0"/>
      <w:divBdr>
        <w:top w:val="none" w:sz="0" w:space="0" w:color="auto"/>
        <w:left w:val="none" w:sz="0" w:space="0" w:color="auto"/>
        <w:bottom w:val="none" w:sz="0" w:space="0" w:color="auto"/>
        <w:right w:val="none" w:sz="0" w:space="0" w:color="auto"/>
      </w:divBdr>
    </w:div>
    <w:div w:id="969939435">
      <w:bodyDiv w:val="1"/>
      <w:marLeft w:val="0"/>
      <w:marRight w:val="0"/>
      <w:marTop w:val="0"/>
      <w:marBottom w:val="0"/>
      <w:divBdr>
        <w:top w:val="none" w:sz="0" w:space="0" w:color="auto"/>
        <w:left w:val="none" w:sz="0" w:space="0" w:color="auto"/>
        <w:bottom w:val="none" w:sz="0" w:space="0" w:color="auto"/>
        <w:right w:val="none" w:sz="0" w:space="0" w:color="auto"/>
      </w:divBdr>
    </w:div>
    <w:div w:id="972835325">
      <w:bodyDiv w:val="1"/>
      <w:marLeft w:val="0"/>
      <w:marRight w:val="0"/>
      <w:marTop w:val="0"/>
      <w:marBottom w:val="0"/>
      <w:divBdr>
        <w:top w:val="none" w:sz="0" w:space="0" w:color="auto"/>
        <w:left w:val="none" w:sz="0" w:space="0" w:color="auto"/>
        <w:bottom w:val="none" w:sz="0" w:space="0" w:color="auto"/>
        <w:right w:val="none" w:sz="0" w:space="0" w:color="auto"/>
      </w:divBdr>
    </w:div>
    <w:div w:id="974484580">
      <w:bodyDiv w:val="1"/>
      <w:marLeft w:val="0"/>
      <w:marRight w:val="0"/>
      <w:marTop w:val="0"/>
      <w:marBottom w:val="0"/>
      <w:divBdr>
        <w:top w:val="none" w:sz="0" w:space="0" w:color="auto"/>
        <w:left w:val="none" w:sz="0" w:space="0" w:color="auto"/>
        <w:bottom w:val="none" w:sz="0" w:space="0" w:color="auto"/>
        <w:right w:val="none" w:sz="0" w:space="0" w:color="auto"/>
      </w:divBdr>
    </w:div>
    <w:div w:id="983042786">
      <w:bodyDiv w:val="1"/>
      <w:marLeft w:val="0"/>
      <w:marRight w:val="0"/>
      <w:marTop w:val="0"/>
      <w:marBottom w:val="0"/>
      <w:divBdr>
        <w:top w:val="none" w:sz="0" w:space="0" w:color="auto"/>
        <w:left w:val="none" w:sz="0" w:space="0" w:color="auto"/>
        <w:bottom w:val="none" w:sz="0" w:space="0" w:color="auto"/>
        <w:right w:val="none" w:sz="0" w:space="0" w:color="auto"/>
      </w:divBdr>
    </w:div>
    <w:div w:id="986663811">
      <w:bodyDiv w:val="1"/>
      <w:marLeft w:val="0"/>
      <w:marRight w:val="0"/>
      <w:marTop w:val="0"/>
      <w:marBottom w:val="0"/>
      <w:divBdr>
        <w:top w:val="none" w:sz="0" w:space="0" w:color="auto"/>
        <w:left w:val="none" w:sz="0" w:space="0" w:color="auto"/>
        <w:bottom w:val="none" w:sz="0" w:space="0" w:color="auto"/>
        <w:right w:val="none" w:sz="0" w:space="0" w:color="auto"/>
      </w:divBdr>
    </w:div>
    <w:div w:id="999456383">
      <w:bodyDiv w:val="1"/>
      <w:marLeft w:val="0"/>
      <w:marRight w:val="0"/>
      <w:marTop w:val="0"/>
      <w:marBottom w:val="0"/>
      <w:divBdr>
        <w:top w:val="none" w:sz="0" w:space="0" w:color="auto"/>
        <w:left w:val="none" w:sz="0" w:space="0" w:color="auto"/>
        <w:bottom w:val="none" w:sz="0" w:space="0" w:color="auto"/>
        <w:right w:val="none" w:sz="0" w:space="0" w:color="auto"/>
      </w:divBdr>
    </w:div>
    <w:div w:id="1005399753">
      <w:bodyDiv w:val="1"/>
      <w:marLeft w:val="0"/>
      <w:marRight w:val="0"/>
      <w:marTop w:val="0"/>
      <w:marBottom w:val="0"/>
      <w:divBdr>
        <w:top w:val="none" w:sz="0" w:space="0" w:color="auto"/>
        <w:left w:val="none" w:sz="0" w:space="0" w:color="auto"/>
        <w:bottom w:val="none" w:sz="0" w:space="0" w:color="auto"/>
        <w:right w:val="none" w:sz="0" w:space="0" w:color="auto"/>
      </w:divBdr>
      <w:divsChild>
        <w:div w:id="147594841">
          <w:marLeft w:val="0"/>
          <w:marRight w:val="0"/>
          <w:marTop w:val="0"/>
          <w:marBottom w:val="0"/>
          <w:divBdr>
            <w:top w:val="none" w:sz="0" w:space="0" w:color="auto"/>
            <w:left w:val="none" w:sz="0" w:space="0" w:color="auto"/>
            <w:bottom w:val="none" w:sz="0" w:space="0" w:color="auto"/>
            <w:right w:val="none" w:sz="0" w:space="0" w:color="auto"/>
          </w:divBdr>
        </w:div>
      </w:divsChild>
    </w:div>
    <w:div w:id="1006588934">
      <w:bodyDiv w:val="1"/>
      <w:marLeft w:val="0"/>
      <w:marRight w:val="0"/>
      <w:marTop w:val="0"/>
      <w:marBottom w:val="0"/>
      <w:divBdr>
        <w:top w:val="none" w:sz="0" w:space="0" w:color="auto"/>
        <w:left w:val="none" w:sz="0" w:space="0" w:color="auto"/>
        <w:bottom w:val="none" w:sz="0" w:space="0" w:color="auto"/>
        <w:right w:val="none" w:sz="0" w:space="0" w:color="auto"/>
      </w:divBdr>
    </w:div>
    <w:div w:id="1023359638">
      <w:bodyDiv w:val="1"/>
      <w:marLeft w:val="0"/>
      <w:marRight w:val="0"/>
      <w:marTop w:val="0"/>
      <w:marBottom w:val="0"/>
      <w:divBdr>
        <w:top w:val="none" w:sz="0" w:space="0" w:color="auto"/>
        <w:left w:val="none" w:sz="0" w:space="0" w:color="auto"/>
        <w:bottom w:val="none" w:sz="0" w:space="0" w:color="auto"/>
        <w:right w:val="none" w:sz="0" w:space="0" w:color="auto"/>
      </w:divBdr>
    </w:div>
    <w:div w:id="1035353224">
      <w:bodyDiv w:val="1"/>
      <w:marLeft w:val="0"/>
      <w:marRight w:val="0"/>
      <w:marTop w:val="0"/>
      <w:marBottom w:val="0"/>
      <w:divBdr>
        <w:top w:val="none" w:sz="0" w:space="0" w:color="auto"/>
        <w:left w:val="none" w:sz="0" w:space="0" w:color="auto"/>
        <w:bottom w:val="none" w:sz="0" w:space="0" w:color="auto"/>
        <w:right w:val="none" w:sz="0" w:space="0" w:color="auto"/>
      </w:divBdr>
    </w:div>
    <w:div w:id="1044907183">
      <w:bodyDiv w:val="1"/>
      <w:marLeft w:val="0"/>
      <w:marRight w:val="0"/>
      <w:marTop w:val="0"/>
      <w:marBottom w:val="0"/>
      <w:divBdr>
        <w:top w:val="none" w:sz="0" w:space="0" w:color="auto"/>
        <w:left w:val="none" w:sz="0" w:space="0" w:color="auto"/>
        <w:bottom w:val="none" w:sz="0" w:space="0" w:color="auto"/>
        <w:right w:val="none" w:sz="0" w:space="0" w:color="auto"/>
      </w:divBdr>
    </w:div>
    <w:div w:id="1055161090">
      <w:bodyDiv w:val="1"/>
      <w:marLeft w:val="0"/>
      <w:marRight w:val="0"/>
      <w:marTop w:val="0"/>
      <w:marBottom w:val="0"/>
      <w:divBdr>
        <w:top w:val="none" w:sz="0" w:space="0" w:color="auto"/>
        <w:left w:val="none" w:sz="0" w:space="0" w:color="auto"/>
        <w:bottom w:val="none" w:sz="0" w:space="0" w:color="auto"/>
        <w:right w:val="none" w:sz="0" w:space="0" w:color="auto"/>
      </w:divBdr>
    </w:div>
    <w:div w:id="1069575922">
      <w:bodyDiv w:val="1"/>
      <w:marLeft w:val="0"/>
      <w:marRight w:val="0"/>
      <w:marTop w:val="0"/>
      <w:marBottom w:val="0"/>
      <w:divBdr>
        <w:top w:val="none" w:sz="0" w:space="0" w:color="auto"/>
        <w:left w:val="none" w:sz="0" w:space="0" w:color="auto"/>
        <w:bottom w:val="none" w:sz="0" w:space="0" w:color="auto"/>
        <w:right w:val="none" w:sz="0" w:space="0" w:color="auto"/>
      </w:divBdr>
    </w:div>
    <w:div w:id="1073897321">
      <w:bodyDiv w:val="1"/>
      <w:marLeft w:val="0"/>
      <w:marRight w:val="0"/>
      <w:marTop w:val="0"/>
      <w:marBottom w:val="0"/>
      <w:divBdr>
        <w:top w:val="none" w:sz="0" w:space="0" w:color="auto"/>
        <w:left w:val="none" w:sz="0" w:space="0" w:color="auto"/>
        <w:bottom w:val="none" w:sz="0" w:space="0" w:color="auto"/>
        <w:right w:val="none" w:sz="0" w:space="0" w:color="auto"/>
      </w:divBdr>
    </w:div>
    <w:div w:id="1075319314">
      <w:bodyDiv w:val="1"/>
      <w:marLeft w:val="0"/>
      <w:marRight w:val="0"/>
      <w:marTop w:val="0"/>
      <w:marBottom w:val="0"/>
      <w:divBdr>
        <w:top w:val="none" w:sz="0" w:space="0" w:color="auto"/>
        <w:left w:val="none" w:sz="0" w:space="0" w:color="auto"/>
        <w:bottom w:val="none" w:sz="0" w:space="0" w:color="auto"/>
        <w:right w:val="none" w:sz="0" w:space="0" w:color="auto"/>
      </w:divBdr>
    </w:div>
    <w:div w:id="1089498312">
      <w:bodyDiv w:val="1"/>
      <w:marLeft w:val="0"/>
      <w:marRight w:val="0"/>
      <w:marTop w:val="0"/>
      <w:marBottom w:val="0"/>
      <w:divBdr>
        <w:top w:val="none" w:sz="0" w:space="0" w:color="auto"/>
        <w:left w:val="none" w:sz="0" w:space="0" w:color="auto"/>
        <w:bottom w:val="none" w:sz="0" w:space="0" w:color="auto"/>
        <w:right w:val="none" w:sz="0" w:space="0" w:color="auto"/>
      </w:divBdr>
    </w:div>
    <w:div w:id="1090854312">
      <w:bodyDiv w:val="1"/>
      <w:marLeft w:val="0"/>
      <w:marRight w:val="0"/>
      <w:marTop w:val="0"/>
      <w:marBottom w:val="0"/>
      <w:divBdr>
        <w:top w:val="none" w:sz="0" w:space="0" w:color="auto"/>
        <w:left w:val="none" w:sz="0" w:space="0" w:color="auto"/>
        <w:bottom w:val="none" w:sz="0" w:space="0" w:color="auto"/>
        <w:right w:val="none" w:sz="0" w:space="0" w:color="auto"/>
      </w:divBdr>
    </w:div>
    <w:div w:id="1091005912">
      <w:bodyDiv w:val="1"/>
      <w:marLeft w:val="0"/>
      <w:marRight w:val="0"/>
      <w:marTop w:val="0"/>
      <w:marBottom w:val="0"/>
      <w:divBdr>
        <w:top w:val="none" w:sz="0" w:space="0" w:color="auto"/>
        <w:left w:val="none" w:sz="0" w:space="0" w:color="auto"/>
        <w:bottom w:val="none" w:sz="0" w:space="0" w:color="auto"/>
        <w:right w:val="none" w:sz="0" w:space="0" w:color="auto"/>
      </w:divBdr>
    </w:div>
    <w:div w:id="1094088907">
      <w:bodyDiv w:val="1"/>
      <w:marLeft w:val="0"/>
      <w:marRight w:val="0"/>
      <w:marTop w:val="0"/>
      <w:marBottom w:val="0"/>
      <w:divBdr>
        <w:top w:val="none" w:sz="0" w:space="0" w:color="auto"/>
        <w:left w:val="none" w:sz="0" w:space="0" w:color="auto"/>
        <w:bottom w:val="none" w:sz="0" w:space="0" w:color="auto"/>
        <w:right w:val="none" w:sz="0" w:space="0" w:color="auto"/>
      </w:divBdr>
    </w:div>
    <w:div w:id="1095176346">
      <w:bodyDiv w:val="1"/>
      <w:marLeft w:val="0"/>
      <w:marRight w:val="0"/>
      <w:marTop w:val="0"/>
      <w:marBottom w:val="0"/>
      <w:divBdr>
        <w:top w:val="none" w:sz="0" w:space="0" w:color="auto"/>
        <w:left w:val="none" w:sz="0" w:space="0" w:color="auto"/>
        <w:bottom w:val="none" w:sz="0" w:space="0" w:color="auto"/>
        <w:right w:val="none" w:sz="0" w:space="0" w:color="auto"/>
      </w:divBdr>
    </w:div>
    <w:div w:id="1116175739">
      <w:bodyDiv w:val="1"/>
      <w:marLeft w:val="0"/>
      <w:marRight w:val="0"/>
      <w:marTop w:val="0"/>
      <w:marBottom w:val="0"/>
      <w:divBdr>
        <w:top w:val="none" w:sz="0" w:space="0" w:color="auto"/>
        <w:left w:val="none" w:sz="0" w:space="0" w:color="auto"/>
        <w:bottom w:val="none" w:sz="0" w:space="0" w:color="auto"/>
        <w:right w:val="none" w:sz="0" w:space="0" w:color="auto"/>
      </w:divBdr>
      <w:divsChild>
        <w:div w:id="1545824220">
          <w:marLeft w:val="0"/>
          <w:marRight w:val="0"/>
          <w:marTop w:val="0"/>
          <w:marBottom w:val="0"/>
          <w:divBdr>
            <w:top w:val="none" w:sz="0" w:space="0" w:color="auto"/>
            <w:left w:val="none" w:sz="0" w:space="0" w:color="auto"/>
            <w:bottom w:val="none" w:sz="0" w:space="0" w:color="auto"/>
            <w:right w:val="none" w:sz="0" w:space="0" w:color="auto"/>
          </w:divBdr>
        </w:div>
      </w:divsChild>
    </w:div>
    <w:div w:id="1125149839">
      <w:bodyDiv w:val="1"/>
      <w:marLeft w:val="0"/>
      <w:marRight w:val="0"/>
      <w:marTop w:val="0"/>
      <w:marBottom w:val="0"/>
      <w:divBdr>
        <w:top w:val="none" w:sz="0" w:space="0" w:color="auto"/>
        <w:left w:val="none" w:sz="0" w:space="0" w:color="auto"/>
        <w:bottom w:val="none" w:sz="0" w:space="0" w:color="auto"/>
        <w:right w:val="none" w:sz="0" w:space="0" w:color="auto"/>
      </w:divBdr>
    </w:div>
    <w:div w:id="1125267863">
      <w:bodyDiv w:val="1"/>
      <w:marLeft w:val="0"/>
      <w:marRight w:val="0"/>
      <w:marTop w:val="0"/>
      <w:marBottom w:val="0"/>
      <w:divBdr>
        <w:top w:val="none" w:sz="0" w:space="0" w:color="auto"/>
        <w:left w:val="none" w:sz="0" w:space="0" w:color="auto"/>
        <w:bottom w:val="none" w:sz="0" w:space="0" w:color="auto"/>
        <w:right w:val="none" w:sz="0" w:space="0" w:color="auto"/>
      </w:divBdr>
    </w:div>
    <w:div w:id="1128744637">
      <w:bodyDiv w:val="1"/>
      <w:marLeft w:val="0"/>
      <w:marRight w:val="0"/>
      <w:marTop w:val="0"/>
      <w:marBottom w:val="0"/>
      <w:divBdr>
        <w:top w:val="none" w:sz="0" w:space="0" w:color="auto"/>
        <w:left w:val="none" w:sz="0" w:space="0" w:color="auto"/>
        <w:bottom w:val="none" w:sz="0" w:space="0" w:color="auto"/>
        <w:right w:val="none" w:sz="0" w:space="0" w:color="auto"/>
      </w:divBdr>
    </w:div>
    <w:div w:id="1137145826">
      <w:bodyDiv w:val="1"/>
      <w:marLeft w:val="0"/>
      <w:marRight w:val="0"/>
      <w:marTop w:val="0"/>
      <w:marBottom w:val="0"/>
      <w:divBdr>
        <w:top w:val="none" w:sz="0" w:space="0" w:color="auto"/>
        <w:left w:val="none" w:sz="0" w:space="0" w:color="auto"/>
        <w:bottom w:val="none" w:sz="0" w:space="0" w:color="auto"/>
        <w:right w:val="none" w:sz="0" w:space="0" w:color="auto"/>
      </w:divBdr>
    </w:div>
    <w:div w:id="1139105904">
      <w:bodyDiv w:val="1"/>
      <w:marLeft w:val="0"/>
      <w:marRight w:val="0"/>
      <w:marTop w:val="0"/>
      <w:marBottom w:val="0"/>
      <w:divBdr>
        <w:top w:val="none" w:sz="0" w:space="0" w:color="auto"/>
        <w:left w:val="none" w:sz="0" w:space="0" w:color="auto"/>
        <w:bottom w:val="none" w:sz="0" w:space="0" w:color="auto"/>
        <w:right w:val="none" w:sz="0" w:space="0" w:color="auto"/>
      </w:divBdr>
    </w:div>
    <w:div w:id="1140659568">
      <w:bodyDiv w:val="1"/>
      <w:marLeft w:val="0"/>
      <w:marRight w:val="0"/>
      <w:marTop w:val="0"/>
      <w:marBottom w:val="0"/>
      <w:divBdr>
        <w:top w:val="none" w:sz="0" w:space="0" w:color="auto"/>
        <w:left w:val="none" w:sz="0" w:space="0" w:color="auto"/>
        <w:bottom w:val="none" w:sz="0" w:space="0" w:color="auto"/>
        <w:right w:val="none" w:sz="0" w:space="0" w:color="auto"/>
      </w:divBdr>
    </w:div>
    <w:div w:id="1144197874">
      <w:bodyDiv w:val="1"/>
      <w:marLeft w:val="0"/>
      <w:marRight w:val="0"/>
      <w:marTop w:val="0"/>
      <w:marBottom w:val="0"/>
      <w:divBdr>
        <w:top w:val="none" w:sz="0" w:space="0" w:color="auto"/>
        <w:left w:val="none" w:sz="0" w:space="0" w:color="auto"/>
        <w:bottom w:val="none" w:sz="0" w:space="0" w:color="auto"/>
        <w:right w:val="none" w:sz="0" w:space="0" w:color="auto"/>
      </w:divBdr>
    </w:div>
    <w:div w:id="1151479492">
      <w:bodyDiv w:val="1"/>
      <w:marLeft w:val="0"/>
      <w:marRight w:val="0"/>
      <w:marTop w:val="0"/>
      <w:marBottom w:val="0"/>
      <w:divBdr>
        <w:top w:val="none" w:sz="0" w:space="0" w:color="auto"/>
        <w:left w:val="none" w:sz="0" w:space="0" w:color="auto"/>
        <w:bottom w:val="none" w:sz="0" w:space="0" w:color="auto"/>
        <w:right w:val="none" w:sz="0" w:space="0" w:color="auto"/>
      </w:divBdr>
    </w:div>
    <w:div w:id="1155335848">
      <w:bodyDiv w:val="1"/>
      <w:marLeft w:val="0"/>
      <w:marRight w:val="0"/>
      <w:marTop w:val="0"/>
      <w:marBottom w:val="0"/>
      <w:divBdr>
        <w:top w:val="none" w:sz="0" w:space="0" w:color="auto"/>
        <w:left w:val="none" w:sz="0" w:space="0" w:color="auto"/>
        <w:bottom w:val="none" w:sz="0" w:space="0" w:color="auto"/>
        <w:right w:val="none" w:sz="0" w:space="0" w:color="auto"/>
      </w:divBdr>
    </w:div>
    <w:div w:id="1158771087">
      <w:bodyDiv w:val="1"/>
      <w:marLeft w:val="0"/>
      <w:marRight w:val="0"/>
      <w:marTop w:val="0"/>
      <w:marBottom w:val="0"/>
      <w:divBdr>
        <w:top w:val="none" w:sz="0" w:space="0" w:color="auto"/>
        <w:left w:val="none" w:sz="0" w:space="0" w:color="auto"/>
        <w:bottom w:val="none" w:sz="0" w:space="0" w:color="auto"/>
        <w:right w:val="none" w:sz="0" w:space="0" w:color="auto"/>
      </w:divBdr>
    </w:div>
    <w:div w:id="1161198150">
      <w:bodyDiv w:val="1"/>
      <w:marLeft w:val="0"/>
      <w:marRight w:val="0"/>
      <w:marTop w:val="0"/>
      <w:marBottom w:val="0"/>
      <w:divBdr>
        <w:top w:val="none" w:sz="0" w:space="0" w:color="auto"/>
        <w:left w:val="none" w:sz="0" w:space="0" w:color="auto"/>
        <w:bottom w:val="none" w:sz="0" w:space="0" w:color="auto"/>
        <w:right w:val="none" w:sz="0" w:space="0" w:color="auto"/>
      </w:divBdr>
    </w:div>
    <w:div w:id="1163593185">
      <w:bodyDiv w:val="1"/>
      <w:marLeft w:val="0"/>
      <w:marRight w:val="0"/>
      <w:marTop w:val="0"/>
      <w:marBottom w:val="0"/>
      <w:divBdr>
        <w:top w:val="none" w:sz="0" w:space="0" w:color="auto"/>
        <w:left w:val="none" w:sz="0" w:space="0" w:color="auto"/>
        <w:bottom w:val="none" w:sz="0" w:space="0" w:color="auto"/>
        <w:right w:val="none" w:sz="0" w:space="0" w:color="auto"/>
      </w:divBdr>
    </w:div>
    <w:div w:id="1183936785">
      <w:bodyDiv w:val="1"/>
      <w:marLeft w:val="0"/>
      <w:marRight w:val="0"/>
      <w:marTop w:val="0"/>
      <w:marBottom w:val="0"/>
      <w:divBdr>
        <w:top w:val="none" w:sz="0" w:space="0" w:color="auto"/>
        <w:left w:val="none" w:sz="0" w:space="0" w:color="auto"/>
        <w:bottom w:val="none" w:sz="0" w:space="0" w:color="auto"/>
        <w:right w:val="none" w:sz="0" w:space="0" w:color="auto"/>
      </w:divBdr>
    </w:div>
    <w:div w:id="1207644068">
      <w:bodyDiv w:val="1"/>
      <w:marLeft w:val="0"/>
      <w:marRight w:val="0"/>
      <w:marTop w:val="0"/>
      <w:marBottom w:val="0"/>
      <w:divBdr>
        <w:top w:val="none" w:sz="0" w:space="0" w:color="auto"/>
        <w:left w:val="none" w:sz="0" w:space="0" w:color="auto"/>
        <w:bottom w:val="none" w:sz="0" w:space="0" w:color="auto"/>
        <w:right w:val="none" w:sz="0" w:space="0" w:color="auto"/>
      </w:divBdr>
    </w:div>
    <w:div w:id="1237085488">
      <w:bodyDiv w:val="1"/>
      <w:marLeft w:val="0"/>
      <w:marRight w:val="0"/>
      <w:marTop w:val="0"/>
      <w:marBottom w:val="0"/>
      <w:divBdr>
        <w:top w:val="none" w:sz="0" w:space="0" w:color="auto"/>
        <w:left w:val="none" w:sz="0" w:space="0" w:color="auto"/>
        <w:bottom w:val="none" w:sz="0" w:space="0" w:color="auto"/>
        <w:right w:val="none" w:sz="0" w:space="0" w:color="auto"/>
      </w:divBdr>
    </w:div>
    <w:div w:id="1241061329">
      <w:bodyDiv w:val="1"/>
      <w:marLeft w:val="0"/>
      <w:marRight w:val="0"/>
      <w:marTop w:val="0"/>
      <w:marBottom w:val="0"/>
      <w:divBdr>
        <w:top w:val="none" w:sz="0" w:space="0" w:color="auto"/>
        <w:left w:val="none" w:sz="0" w:space="0" w:color="auto"/>
        <w:bottom w:val="none" w:sz="0" w:space="0" w:color="auto"/>
        <w:right w:val="none" w:sz="0" w:space="0" w:color="auto"/>
      </w:divBdr>
    </w:div>
    <w:div w:id="1262757313">
      <w:bodyDiv w:val="1"/>
      <w:marLeft w:val="0"/>
      <w:marRight w:val="0"/>
      <w:marTop w:val="0"/>
      <w:marBottom w:val="0"/>
      <w:divBdr>
        <w:top w:val="none" w:sz="0" w:space="0" w:color="auto"/>
        <w:left w:val="none" w:sz="0" w:space="0" w:color="auto"/>
        <w:bottom w:val="none" w:sz="0" w:space="0" w:color="auto"/>
        <w:right w:val="none" w:sz="0" w:space="0" w:color="auto"/>
      </w:divBdr>
    </w:div>
    <w:div w:id="1264192860">
      <w:bodyDiv w:val="1"/>
      <w:marLeft w:val="0"/>
      <w:marRight w:val="0"/>
      <w:marTop w:val="0"/>
      <w:marBottom w:val="0"/>
      <w:divBdr>
        <w:top w:val="none" w:sz="0" w:space="0" w:color="auto"/>
        <w:left w:val="none" w:sz="0" w:space="0" w:color="auto"/>
        <w:bottom w:val="none" w:sz="0" w:space="0" w:color="auto"/>
        <w:right w:val="none" w:sz="0" w:space="0" w:color="auto"/>
      </w:divBdr>
      <w:divsChild>
        <w:div w:id="1702434046">
          <w:marLeft w:val="0"/>
          <w:marRight w:val="0"/>
          <w:marTop w:val="0"/>
          <w:marBottom w:val="0"/>
          <w:divBdr>
            <w:top w:val="none" w:sz="0" w:space="6" w:color="E0E4E9"/>
            <w:left w:val="single" w:sz="6" w:space="30" w:color="E0E4E9"/>
            <w:bottom w:val="single" w:sz="6" w:space="6" w:color="E0E4E9"/>
            <w:right w:val="single" w:sz="6" w:space="8" w:color="E0E4E9"/>
          </w:divBdr>
        </w:div>
        <w:div w:id="1876505192">
          <w:marLeft w:val="0"/>
          <w:marRight w:val="0"/>
          <w:marTop w:val="0"/>
          <w:marBottom w:val="0"/>
          <w:divBdr>
            <w:top w:val="single" w:sz="2" w:space="5" w:color="E0E4E9"/>
            <w:left w:val="single" w:sz="2" w:space="0" w:color="E0E4E9"/>
            <w:bottom w:val="single" w:sz="6" w:space="5" w:color="E0E4E9"/>
            <w:right w:val="single" w:sz="2" w:space="0" w:color="E0E4E9"/>
          </w:divBdr>
        </w:div>
      </w:divsChild>
    </w:div>
    <w:div w:id="1271619474">
      <w:bodyDiv w:val="1"/>
      <w:marLeft w:val="0"/>
      <w:marRight w:val="0"/>
      <w:marTop w:val="0"/>
      <w:marBottom w:val="0"/>
      <w:divBdr>
        <w:top w:val="none" w:sz="0" w:space="0" w:color="auto"/>
        <w:left w:val="none" w:sz="0" w:space="0" w:color="auto"/>
        <w:bottom w:val="none" w:sz="0" w:space="0" w:color="auto"/>
        <w:right w:val="none" w:sz="0" w:space="0" w:color="auto"/>
      </w:divBdr>
    </w:div>
    <w:div w:id="1272980571">
      <w:bodyDiv w:val="1"/>
      <w:marLeft w:val="0"/>
      <w:marRight w:val="0"/>
      <w:marTop w:val="0"/>
      <w:marBottom w:val="0"/>
      <w:divBdr>
        <w:top w:val="none" w:sz="0" w:space="0" w:color="auto"/>
        <w:left w:val="none" w:sz="0" w:space="0" w:color="auto"/>
        <w:bottom w:val="none" w:sz="0" w:space="0" w:color="auto"/>
        <w:right w:val="none" w:sz="0" w:space="0" w:color="auto"/>
      </w:divBdr>
    </w:div>
    <w:div w:id="1288008510">
      <w:bodyDiv w:val="1"/>
      <w:marLeft w:val="0"/>
      <w:marRight w:val="0"/>
      <w:marTop w:val="0"/>
      <w:marBottom w:val="0"/>
      <w:divBdr>
        <w:top w:val="none" w:sz="0" w:space="0" w:color="auto"/>
        <w:left w:val="none" w:sz="0" w:space="0" w:color="auto"/>
        <w:bottom w:val="none" w:sz="0" w:space="0" w:color="auto"/>
        <w:right w:val="none" w:sz="0" w:space="0" w:color="auto"/>
      </w:divBdr>
    </w:div>
    <w:div w:id="1289817965">
      <w:bodyDiv w:val="1"/>
      <w:marLeft w:val="0"/>
      <w:marRight w:val="0"/>
      <w:marTop w:val="0"/>
      <w:marBottom w:val="0"/>
      <w:divBdr>
        <w:top w:val="none" w:sz="0" w:space="0" w:color="auto"/>
        <w:left w:val="none" w:sz="0" w:space="0" w:color="auto"/>
        <w:bottom w:val="none" w:sz="0" w:space="0" w:color="auto"/>
        <w:right w:val="none" w:sz="0" w:space="0" w:color="auto"/>
      </w:divBdr>
    </w:div>
    <w:div w:id="1291207110">
      <w:bodyDiv w:val="1"/>
      <w:marLeft w:val="0"/>
      <w:marRight w:val="0"/>
      <w:marTop w:val="0"/>
      <w:marBottom w:val="0"/>
      <w:divBdr>
        <w:top w:val="none" w:sz="0" w:space="0" w:color="auto"/>
        <w:left w:val="none" w:sz="0" w:space="0" w:color="auto"/>
        <w:bottom w:val="none" w:sz="0" w:space="0" w:color="auto"/>
        <w:right w:val="none" w:sz="0" w:space="0" w:color="auto"/>
      </w:divBdr>
    </w:div>
    <w:div w:id="1306163189">
      <w:bodyDiv w:val="1"/>
      <w:marLeft w:val="0"/>
      <w:marRight w:val="0"/>
      <w:marTop w:val="0"/>
      <w:marBottom w:val="0"/>
      <w:divBdr>
        <w:top w:val="none" w:sz="0" w:space="0" w:color="auto"/>
        <w:left w:val="none" w:sz="0" w:space="0" w:color="auto"/>
        <w:bottom w:val="none" w:sz="0" w:space="0" w:color="auto"/>
        <w:right w:val="none" w:sz="0" w:space="0" w:color="auto"/>
      </w:divBdr>
    </w:div>
    <w:div w:id="1306353857">
      <w:bodyDiv w:val="1"/>
      <w:marLeft w:val="0"/>
      <w:marRight w:val="0"/>
      <w:marTop w:val="0"/>
      <w:marBottom w:val="0"/>
      <w:divBdr>
        <w:top w:val="none" w:sz="0" w:space="0" w:color="auto"/>
        <w:left w:val="none" w:sz="0" w:space="0" w:color="auto"/>
        <w:bottom w:val="none" w:sz="0" w:space="0" w:color="auto"/>
        <w:right w:val="none" w:sz="0" w:space="0" w:color="auto"/>
      </w:divBdr>
    </w:div>
    <w:div w:id="1321739915">
      <w:bodyDiv w:val="1"/>
      <w:marLeft w:val="0"/>
      <w:marRight w:val="0"/>
      <w:marTop w:val="0"/>
      <w:marBottom w:val="0"/>
      <w:divBdr>
        <w:top w:val="none" w:sz="0" w:space="0" w:color="auto"/>
        <w:left w:val="none" w:sz="0" w:space="0" w:color="auto"/>
        <w:bottom w:val="none" w:sz="0" w:space="0" w:color="auto"/>
        <w:right w:val="none" w:sz="0" w:space="0" w:color="auto"/>
      </w:divBdr>
    </w:div>
    <w:div w:id="1332248387">
      <w:bodyDiv w:val="1"/>
      <w:marLeft w:val="0"/>
      <w:marRight w:val="0"/>
      <w:marTop w:val="0"/>
      <w:marBottom w:val="0"/>
      <w:divBdr>
        <w:top w:val="none" w:sz="0" w:space="0" w:color="auto"/>
        <w:left w:val="none" w:sz="0" w:space="0" w:color="auto"/>
        <w:bottom w:val="none" w:sz="0" w:space="0" w:color="auto"/>
        <w:right w:val="none" w:sz="0" w:space="0" w:color="auto"/>
      </w:divBdr>
    </w:div>
    <w:div w:id="1343631059">
      <w:bodyDiv w:val="1"/>
      <w:marLeft w:val="0"/>
      <w:marRight w:val="0"/>
      <w:marTop w:val="0"/>
      <w:marBottom w:val="0"/>
      <w:divBdr>
        <w:top w:val="none" w:sz="0" w:space="0" w:color="auto"/>
        <w:left w:val="none" w:sz="0" w:space="0" w:color="auto"/>
        <w:bottom w:val="none" w:sz="0" w:space="0" w:color="auto"/>
        <w:right w:val="none" w:sz="0" w:space="0" w:color="auto"/>
      </w:divBdr>
    </w:div>
    <w:div w:id="1358892686">
      <w:bodyDiv w:val="1"/>
      <w:marLeft w:val="0"/>
      <w:marRight w:val="0"/>
      <w:marTop w:val="0"/>
      <w:marBottom w:val="0"/>
      <w:divBdr>
        <w:top w:val="none" w:sz="0" w:space="0" w:color="auto"/>
        <w:left w:val="none" w:sz="0" w:space="0" w:color="auto"/>
        <w:bottom w:val="none" w:sz="0" w:space="0" w:color="auto"/>
        <w:right w:val="none" w:sz="0" w:space="0" w:color="auto"/>
      </w:divBdr>
    </w:div>
    <w:div w:id="1403680891">
      <w:bodyDiv w:val="1"/>
      <w:marLeft w:val="0"/>
      <w:marRight w:val="0"/>
      <w:marTop w:val="0"/>
      <w:marBottom w:val="0"/>
      <w:divBdr>
        <w:top w:val="none" w:sz="0" w:space="0" w:color="auto"/>
        <w:left w:val="none" w:sz="0" w:space="0" w:color="auto"/>
        <w:bottom w:val="none" w:sz="0" w:space="0" w:color="auto"/>
        <w:right w:val="none" w:sz="0" w:space="0" w:color="auto"/>
      </w:divBdr>
    </w:div>
    <w:div w:id="1413042620">
      <w:bodyDiv w:val="1"/>
      <w:marLeft w:val="0"/>
      <w:marRight w:val="0"/>
      <w:marTop w:val="0"/>
      <w:marBottom w:val="0"/>
      <w:divBdr>
        <w:top w:val="none" w:sz="0" w:space="0" w:color="auto"/>
        <w:left w:val="none" w:sz="0" w:space="0" w:color="auto"/>
        <w:bottom w:val="none" w:sz="0" w:space="0" w:color="auto"/>
        <w:right w:val="none" w:sz="0" w:space="0" w:color="auto"/>
      </w:divBdr>
    </w:div>
    <w:div w:id="1421171443">
      <w:bodyDiv w:val="1"/>
      <w:marLeft w:val="0"/>
      <w:marRight w:val="0"/>
      <w:marTop w:val="0"/>
      <w:marBottom w:val="0"/>
      <w:divBdr>
        <w:top w:val="none" w:sz="0" w:space="0" w:color="auto"/>
        <w:left w:val="none" w:sz="0" w:space="0" w:color="auto"/>
        <w:bottom w:val="none" w:sz="0" w:space="0" w:color="auto"/>
        <w:right w:val="none" w:sz="0" w:space="0" w:color="auto"/>
      </w:divBdr>
    </w:div>
    <w:div w:id="1433823187">
      <w:bodyDiv w:val="1"/>
      <w:marLeft w:val="0"/>
      <w:marRight w:val="0"/>
      <w:marTop w:val="0"/>
      <w:marBottom w:val="0"/>
      <w:divBdr>
        <w:top w:val="none" w:sz="0" w:space="0" w:color="auto"/>
        <w:left w:val="none" w:sz="0" w:space="0" w:color="auto"/>
        <w:bottom w:val="none" w:sz="0" w:space="0" w:color="auto"/>
        <w:right w:val="none" w:sz="0" w:space="0" w:color="auto"/>
      </w:divBdr>
    </w:div>
    <w:div w:id="1439520984">
      <w:bodyDiv w:val="1"/>
      <w:marLeft w:val="0"/>
      <w:marRight w:val="0"/>
      <w:marTop w:val="0"/>
      <w:marBottom w:val="0"/>
      <w:divBdr>
        <w:top w:val="none" w:sz="0" w:space="0" w:color="auto"/>
        <w:left w:val="none" w:sz="0" w:space="0" w:color="auto"/>
        <w:bottom w:val="none" w:sz="0" w:space="0" w:color="auto"/>
        <w:right w:val="none" w:sz="0" w:space="0" w:color="auto"/>
      </w:divBdr>
    </w:div>
    <w:div w:id="1448547084">
      <w:bodyDiv w:val="1"/>
      <w:marLeft w:val="0"/>
      <w:marRight w:val="0"/>
      <w:marTop w:val="0"/>
      <w:marBottom w:val="0"/>
      <w:divBdr>
        <w:top w:val="none" w:sz="0" w:space="0" w:color="auto"/>
        <w:left w:val="none" w:sz="0" w:space="0" w:color="auto"/>
        <w:bottom w:val="none" w:sz="0" w:space="0" w:color="auto"/>
        <w:right w:val="none" w:sz="0" w:space="0" w:color="auto"/>
      </w:divBdr>
    </w:div>
    <w:div w:id="1449857262">
      <w:bodyDiv w:val="1"/>
      <w:marLeft w:val="0"/>
      <w:marRight w:val="0"/>
      <w:marTop w:val="0"/>
      <w:marBottom w:val="0"/>
      <w:divBdr>
        <w:top w:val="none" w:sz="0" w:space="0" w:color="auto"/>
        <w:left w:val="none" w:sz="0" w:space="0" w:color="auto"/>
        <w:bottom w:val="none" w:sz="0" w:space="0" w:color="auto"/>
        <w:right w:val="none" w:sz="0" w:space="0" w:color="auto"/>
      </w:divBdr>
    </w:div>
    <w:div w:id="1451625130">
      <w:bodyDiv w:val="1"/>
      <w:marLeft w:val="0"/>
      <w:marRight w:val="0"/>
      <w:marTop w:val="0"/>
      <w:marBottom w:val="0"/>
      <w:divBdr>
        <w:top w:val="none" w:sz="0" w:space="0" w:color="auto"/>
        <w:left w:val="none" w:sz="0" w:space="0" w:color="auto"/>
        <w:bottom w:val="none" w:sz="0" w:space="0" w:color="auto"/>
        <w:right w:val="none" w:sz="0" w:space="0" w:color="auto"/>
      </w:divBdr>
    </w:div>
    <w:div w:id="1471363339">
      <w:bodyDiv w:val="1"/>
      <w:marLeft w:val="0"/>
      <w:marRight w:val="0"/>
      <w:marTop w:val="0"/>
      <w:marBottom w:val="0"/>
      <w:divBdr>
        <w:top w:val="none" w:sz="0" w:space="0" w:color="auto"/>
        <w:left w:val="none" w:sz="0" w:space="0" w:color="auto"/>
        <w:bottom w:val="none" w:sz="0" w:space="0" w:color="auto"/>
        <w:right w:val="none" w:sz="0" w:space="0" w:color="auto"/>
      </w:divBdr>
    </w:div>
    <w:div w:id="1472820906">
      <w:bodyDiv w:val="1"/>
      <w:marLeft w:val="0"/>
      <w:marRight w:val="0"/>
      <w:marTop w:val="0"/>
      <w:marBottom w:val="0"/>
      <w:divBdr>
        <w:top w:val="none" w:sz="0" w:space="0" w:color="auto"/>
        <w:left w:val="none" w:sz="0" w:space="0" w:color="auto"/>
        <w:bottom w:val="none" w:sz="0" w:space="0" w:color="auto"/>
        <w:right w:val="none" w:sz="0" w:space="0" w:color="auto"/>
      </w:divBdr>
    </w:div>
    <w:div w:id="1479880430">
      <w:bodyDiv w:val="1"/>
      <w:marLeft w:val="0"/>
      <w:marRight w:val="0"/>
      <w:marTop w:val="0"/>
      <w:marBottom w:val="0"/>
      <w:divBdr>
        <w:top w:val="none" w:sz="0" w:space="0" w:color="auto"/>
        <w:left w:val="none" w:sz="0" w:space="0" w:color="auto"/>
        <w:bottom w:val="none" w:sz="0" w:space="0" w:color="auto"/>
        <w:right w:val="none" w:sz="0" w:space="0" w:color="auto"/>
      </w:divBdr>
    </w:div>
    <w:div w:id="1496610224">
      <w:bodyDiv w:val="1"/>
      <w:marLeft w:val="0"/>
      <w:marRight w:val="0"/>
      <w:marTop w:val="0"/>
      <w:marBottom w:val="0"/>
      <w:divBdr>
        <w:top w:val="none" w:sz="0" w:space="0" w:color="auto"/>
        <w:left w:val="none" w:sz="0" w:space="0" w:color="auto"/>
        <w:bottom w:val="none" w:sz="0" w:space="0" w:color="auto"/>
        <w:right w:val="none" w:sz="0" w:space="0" w:color="auto"/>
      </w:divBdr>
    </w:div>
    <w:div w:id="1503008449">
      <w:bodyDiv w:val="1"/>
      <w:marLeft w:val="0"/>
      <w:marRight w:val="0"/>
      <w:marTop w:val="0"/>
      <w:marBottom w:val="0"/>
      <w:divBdr>
        <w:top w:val="none" w:sz="0" w:space="0" w:color="auto"/>
        <w:left w:val="none" w:sz="0" w:space="0" w:color="auto"/>
        <w:bottom w:val="none" w:sz="0" w:space="0" w:color="auto"/>
        <w:right w:val="none" w:sz="0" w:space="0" w:color="auto"/>
      </w:divBdr>
    </w:div>
    <w:div w:id="1503593140">
      <w:bodyDiv w:val="1"/>
      <w:marLeft w:val="0"/>
      <w:marRight w:val="0"/>
      <w:marTop w:val="0"/>
      <w:marBottom w:val="0"/>
      <w:divBdr>
        <w:top w:val="none" w:sz="0" w:space="0" w:color="auto"/>
        <w:left w:val="none" w:sz="0" w:space="0" w:color="auto"/>
        <w:bottom w:val="none" w:sz="0" w:space="0" w:color="auto"/>
        <w:right w:val="none" w:sz="0" w:space="0" w:color="auto"/>
      </w:divBdr>
    </w:div>
    <w:div w:id="1517034020">
      <w:bodyDiv w:val="1"/>
      <w:marLeft w:val="0"/>
      <w:marRight w:val="0"/>
      <w:marTop w:val="0"/>
      <w:marBottom w:val="0"/>
      <w:divBdr>
        <w:top w:val="none" w:sz="0" w:space="0" w:color="auto"/>
        <w:left w:val="none" w:sz="0" w:space="0" w:color="auto"/>
        <w:bottom w:val="none" w:sz="0" w:space="0" w:color="auto"/>
        <w:right w:val="none" w:sz="0" w:space="0" w:color="auto"/>
      </w:divBdr>
    </w:div>
    <w:div w:id="1542673123">
      <w:bodyDiv w:val="1"/>
      <w:marLeft w:val="0"/>
      <w:marRight w:val="0"/>
      <w:marTop w:val="0"/>
      <w:marBottom w:val="0"/>
      <w:divBdr>
        <w:top w:val="none" w:sz="0" w:space="0" w:color="auto"/>
        <w:left w:val="none" w:sz="0" w:space="0" w:color="auto"/>
        <w:bottom w:val="none" w:sz="0" w:space="0" w:color="auto"/>
        <w:right w:val="none" w:sz="0" w:space="0" w:color="auto"/>
      </w:divBdr>
    </w:div>
    <w:div w:id="1564483351">
      <w:bodyDiv w:val="1"/>
      <w:marLeft w:val="0"/>
      <w:marRight w:val="0"/>
      <w:marTop w:val="0"/>
      <w:marBottom w:val="0"/>
      <w:divBdr>
        <w:top w:val="none" w:sz="0" w:space="0" w:color="auto"/>
        <w:left w:val="none" w:sz="0" w:space="0" w:color="auto"/>
        <w:bottom w:val="none" w:sz="0" w:space="0" w:color="auto"/>
        <w:right w:val="none" w:sz="0" w:space="0" w:color="auto"/>
      </w:divBdr>
    </w:div>
    <w:div w:id="1567371398">
      <w:bodyDiv w:val="1"/>
      <w:marLeft w:val="0"/>
      <w:marRight w:val="0"/>
      <w:marTop w:val="0"/>
      <w:marBottom w:val="0"/>
      <w:divBdr>
        <w:top w:val="none" w:sz="0" w:space="0" w:color="auto"/>
        <w:left w:val="none" w:sz="0" w:space="0" w:color="auto"/>
        <w:bottom w:val="none" w:sz="0" w:space="0" w:color="auto"/>
        <w:right w:val="none" w:sz="0" w:space="0" w:color="auto"/>
      </w:divBdr>
    </w:div>
    <w:div w:id="1573927560">
      <w:bodyDiv w:val="1"/>
      <w:marLeft w:val="0"/>
      <w:marRight w:val="0"/>
      <w:marTop w:val="0"/>
      <w:marBottom w:val="0"/>
      <w:divBdr>
        <w:top w:val="none" w:sz="0" w:space="0" w:color="auto"/>
        <w:left w:val="none" w:sz="0" w:space="0" w:color="auto"/>
        <w:bottom w:val="none" w:sz="0" w:space="0" w:color="auto"/>
        <w:right w:val="none" w:sz="0" w:space="0" w:color="auto"/>
      </w:divBdr>
    </w:div>
    <w:div w:id="1574314310">
      <w:marLeft w:val="0"/>
      <w:marRight w:val="0"/>
      <w:marTop w:val="0"/>
      <w:marBottom w:val="0"/>
      <w:divBdr>
        <w:top w:val="none" w:sz="0" w:space="0" w:color="auto"/>
        <w:left w:val="none" w:sz="0" w:space="0" w:color="auto"/>
        <w:bottom w:val="none" w:sz="0" w:space="0" w:color="auto"/>
        <w:right w:val="none" w:sz="0" w:space="0" w:color="auto"/>
      </w:divBdr>
      <w:divsChild>
        <w:div w:id="2123262365">
          <w:marLeft w:val="0"/>
          <w:marRight w:val="0"/>
          <w:marTop w:val="0"/>
          <w:marBottom w:val="0"/>
          <w:divBdr>
            <w:top w:val="none" w:sz="0" w:space="0" w:color="auto"/>
            <w:left w:val="none" w:sz="0" w:space="0" w:color="auto"/>
            <w:bottom w:val="none" w:sz="0" w:space="0" w:color="auto"/>
            <w:right w:val="none" w:sz="0" w:space="0" w:color="auto"/>
          </w:divBdr>
          <w:divsChild>
            <w:div w:id="370375435">
              <w:marLeft w:val="0"/>
              <w:marRight w:val="0"/>
              <w:marTop w:val="0"/>
              <w:marBottom w:val="0"/>
              <w:divBdr>
                <w:top w:val="none" w:sz="0" w:space="0" w:color="auto"/>
                <w:left w:val="none" w:sz="0" w:space="0" w:color="auto"/>
                <w:bottom w:val="none" w:sz="0" w:space="0" w:color="auto"/>
                <w:right w:val="none" w:sz="0" w:space="0" w:color="auto"/>
              </w:divBdr>
              <w:divsChild>
                <w:div w:id="11942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7029">
      <w:bodyDiv w:val="1"/>
      <w:marLeft w:val="0"/>
      <w:marRight w:val="0"/>
      <w:marTop w:val="0"/>
      <w:marBottom w:val="0"/>
      <w:divBdr>
        <w:top w:val="none" w:sz="0" w:space="0" w:color="auto"/>
        <w:left w:val="none" w:sz="0" w:space="0" w:color="auto"/>
        <w:bottom w:val="none" w:sz="0" w:space="0" w:color="auto"/>
        <w:right w:val="none" w:sz="0" w:space="0" w:color="auto"/>
      </w:divBdr>
      <w:divsChild>
        <w:div w:id="1058284468">
          <w:marLeft w:val="0"/>
          <w:marRight w:val="0"/>
          <w:marTop w:val="0"/>
          <w:marBottom w:val="0"/>
          <w:divBdr>
            <w:top w:val="none" w:sz="0" w:space="6" w:color="E0E4E9"/>
            <w:left w:val="single" w:sz="6" w:space="30" w:color="E0E4E9"/>
            <w:bottom w:val="single" w:sz="6" w:space="6" w:color="E0E4E9"/>
            <w:right w:val="single" w:sz="6" w:space="8" w:color="E0E4E9"/>
          </w:divBdr>
        </w:div>
        <w:div w:id="1129981984">
          <w:marLeft w:val="0"/>
          <w:marRight w:val="0"/>
          <w:marTop w:val="0"/>
          <w:marBottom w:val="0"/>
          <w:divBdr>
            <w:top w:val="single" w:sz="2" w:space="5" w:color="E0E4E9"/>
            <w:left w:val="single" w:sz="2" w:space="0" w:color="E0E4E9"/>
            <w:bottom w:val="single" w:sz="6" w:space="5" w:color="E0E4E9"/>
            <w:right w:val="single" w:sz="2" w:space="0" w:color="E0E4E9"/>
          </w:divBdr>
        </w:div>
      </w:divsChild>
    </w:div>
    <w:div w:id="1593467500">
      <w:bodyDiv w:val="1"/>
      <w:marLeft w:val="0"/>
      <w:marRight w:val="0"/>
      <w:marTop w:val="0"/>
      <w:marBottom w:val="0"/>
      <w:divBdr>
        <w:top w:val="none" w:sz="0" w:space="0" w:color="auto"/>
        <w:left w:val="none" w:sz="0" w:space="0" w:color="auto"/>
        <w:bottom w:val="none" w:sz="0" w:space="0" w:color="auto"/>
        <w:right w:val="none" w:sz="0" w:space="0" w:color="auto"/>
      </w:divBdr>
    </w:div>
    <w:div w:id="1595939311">
      <w:bodyDiv w:val="1"/>
      <w:marLeft w:val="0"/>
      <w:marRight w:val="0"/>
      <w:marTop w:val="0"/>
      <w:marBottom w:val="0"/>
      <w:divBdr>
        <w:top w:val="none" w:sz="0" w:space="0" w:color="auto"/>
        <w:left w:val="none" w:sz="0" w:space="0" w:color="auto"/>
        <w:bottom w:val="none" w:sz="0" w:space="0" w:color="auto"/>
        <w:right w:val="none" w:sz="0" w:space="0" w:color="auto"/>
      </w:divBdr>
    </w:div>
    <w:div w:id="1628926025">
      <w:bodyDiv w:val="1"/>
      <w:marLeft w:val="0"/>
      <w:marRight w:val="0"/>
      <w:marTop w:val="0"/>
      <w:marBottom w:val="0"/>
      <w:divBdr>
        <w:top w:val="none" w:sz="0" w:space="0" w:color="auto"/>
        <w:left w:val="none" w:sz="0" w:space="0" w:color="auto"/>
        <w:bottom w:val="none" w:sz="0" w:space="0" w:color="auto"/>
        <w:right w:val="none" w:sz="0" w:space="0" w:color="auto"/>
      </w:divBdr>
    </w:div>
    <w:div w:id="1641424900">
      <w:bodyDiv w:val="1"/>
      <w:marLeft w:val="0"/>
      <w:marRight w:val="0"/>
      <w:marTop w:val="0"/>
      <w:marBottom w:val="0"/>
      <w:divBdr>
        <w:top w:val="none" w:sz="0" w:space="0" w:color="auto"/>
        <w:left w:val="none" w:sz="0" w:space="0" w:color="auto"/>
        <w:bottom w:val="none" w:sz="0" w:space="0" w:color="auto"/>
        <w:right w:val="none" w:sz="0" w:space="0" w:color="auto"/>
      </w:divBdr>
    </w:div>
    <w:div w:id="1653606566">
      <w:bodyDiv w:val="1"/>
      <w:marLeft w:val="0"/>
      <w:marRight w:val="0"/>
      <w:marTop w:val="0"/>
      <w:marBottom w:val="0"/>
      <w:divBdr>
        <w:top w:val="none" w:sz="0" w:space="0" w:color="auto"/>
        <w:left w:val="none" w:sz="0" w:space="0" w:color="auto"/>
        <w:bottom w:val="none" w:sz="0" w:space="0" w:color="auto"/>
        <w:right w:val="none" w:sz="0" w:space="0" w:color="auto"/>
      </w:divBdr>
    </w:div>
    <w:div w:id="1666280985">
      <w:bodyDiv w:val="1"/>
      <w:marLeft w:val="0"/>
      <w:marRight w:val="0"/>
      <w:marTop w:val="0"/>
      <w:marBottom w:val="0"/>
      <w:divBdr>
        <w:top w:val="none" w:sz="0" w:space="0" w:color="auto"/>
        <w:left w:val="none" w:sz="0" w:space="0" w:color="auto"/>
        <w:bottom w:val="none" w:sz="0" w:space="0" w:color="auto"/>
        <w:right w:val="none" w:sz="0" w:space="0" w:color="auto"/>
      </w:divBdr>
    </w:div>
    <w:div w:id="1700928362">
      <w:bodyDiv w:val="1"/>
      <w:marLeft w:val="0"/>
      <w:marRight w:val="0"/>
      <w:marTop w:val="0"/>
      <w:marBottom w:val="0"/>
      <w:divBdr>
        <w:top w:val="none" w:sz="0" w:space="0" w:color="auto"/>
        <w:left w:val="none" w:sz="0" w:space="0" w:color="auto"/>
        <w:bottom w:val="none" w:sz="0" w:space="0" w:color="auto"/>
        <w:right w:val="none" w:sz="0" w:space="0" w:color="auto"/>
      </w:divBdr>
    </w:div>
    <w:div w:id="1708918469">
      <w:bodyDiv w:val="1"/>
      <w:marLeft w:val="0"/>
      <w:marRight w:val="0"/>
      <w:marTop w:val="0"/>
      <w:marBottom w:val="0"/>
      <w:divBdr>
        <w:top w:val="none" w:sz="0" w:space="0" w:color="auto"/>
        <w:left w:val="none" w:sz="0" w:space="0" w:color="auto"/>
        <w:bottom w:val="none" w:sz="0" w:space="0" w:color="auto"/>
        <w:right w:val="none" w:sz="0" w:space="0" w:color="auto"/>
      </w:divBdr>
    </w:div>
    <w:div w:id="1724862910">
      <w:bodyDiv w:val="1"/>
      <w:marLeft w:val="0"/>
      <w:marRight w:val="0"/>
      <w:marTop w:val="0"/>
      <w:marBottom w:val="0"/>
      <w:divBdr>
        <w:top w:val="none" w:sz="0" w:space="0" w:color="auto"/>
        <w:left w:val="none" w:sz="0" w:space="0" w:color="auto"/>
        <w:bottom w:val="none" w:sz="0" w:space="0" w:color="auto"/>
        <w:right w:val="none" w:sz="0" w:space="0" w:color="auto"/>
      </w:divBdr>
    </w:div>
    <w:div w:id="1724869910">
      <w:bodyDiv w:val="1"/>
      <w:marLeft w:val="0"/>
      <w:marRight w:val="0"/>
      <w:marTop w:val="0"/>
      <w:marBottom w:val="0"/>
      <w:divBdr>
        <w:top w:val="none" w:sz="0" w:space="0" w:color="auto"/>
        <w:left w:val="none" w:sz="0" w:space="0" w:color="auto"/>
        <w:bottom w:val="none" w:sz="0" w:space="0" w:color="auto"/>
        <w:right w:val="none" w:sz="0" w:space="0" w:color="auto"/>
      </w:divBdr>
    </w:div>
    <w:div w:id="1729960924">
      <w:bodyDiv w:val="1"/>
      <w:marLeft w:val="0"/>
      <w:marRight w:val="0"/>
      <w:marTop w:val="0"/>
      <w:marBottom w:val="0"/>
      <w:divBdr>
        <w:top w:val="none" w:sz="0" w:space="0" w:color="auto"/>
        <w:left w:val="none" w:sz="0" w:space="0" w:color="auto"/>
        <w:bottom w:val="none" w:sz="0" w:space="0" w:color="auto"/>
        <w:right w:val="none" w:sz="0" w:space="0" w:color="auto"/>
      </w:divBdr>
    </w:div>
    <w:div w:id="1743794327">
      <w:bodyDiv w:val="1"/>
      <w:marLeft w:val="0"/>
      <w:marRight w:val="0"/>
      <w:marTop w:val="0"/>
      <w:marBottom w:val="0"/>
      <w:divBdr>
        <w:top w:val="none" w:sz="0" w:space="0" w:color="auto"/>
        <w:left w:val="none" w:sz="0" w:space="0" w:color="auto"/>
        <w:bottom w:val="none" w:sz="0" w:space="0" w:color="auto"/>
        <w:right w:val="none" w:sz="0" w:space="0" w:color="auto"/>
      </w:divBdr>
    </w:div>
    <w:div w:id="1747875438">
      <w:bodyDiv w:val="1"/>
      <w:marLeft w:val="0"/>
      <w:marRight w:val="0"/>
      <w:marTop w:val="0"/>
      <w:marBottom w:val="0"/>
      <w:divBdr>
        <w:top w:val="none" w:sz="0" w:space="0" w:color="auto"/>
        <w:left w:val="none" w:sz="0" w:space="0" w:color="auto"/>
        <w:bottom w:val="none" w:sz="0" w:space="0" w:color="auto"/>
        <w:right w:val="none" w:sz="0" w:space="0" w:color="auto"/>
      </w:divBdr>
    </w:div>
    <w:div w:id="1768697395">
      <w:bodyDiv w:val="1"/>
      <w:marLeft w:val="0"/>
      <w:marRight w:val="0"/>
      <w:marTop w:val="0"/>
      <w:marBottom w:val="0"/>
      <w:divBdr>
        <w:top w:val="none" w:sz="0" w:space="0" w:color="auto"/>
        <w:left w:val="none" w:sz="0" w:space="0" w:color="auto"/>
        <w:bottom w:val="none" w:sz="0" w:space="0" w:color="auto"/>
        <w:right w:val="none" w:sz="0" w:space="0" w:color="auto"/>
      </w:divBdr>
    </w:div>
    <w:div w:id="1769110981">
      <w:bodyDiv w:val="1"/>
      <w:marLeft w:val="0"/>
      <w:marRight w:val="0"/>
      <w:marTop w:val="0"/>
      <w:marBottom w:val="0"/>
      <w:divBdr>
        <w:top w:val="none" w:sz="0" w:space="0" w:color="auto"/>
        <w:left w:val="none" w:sz="0" w:space="0" w:color="auto"/>
        <w:bottom w:val="none" w:sz="0" w:space="0" w:color="auto"/>
        <w:right w:val="none" w:sz="0" w:space="0" w:color="auto"/>
      </w:divBdr>
    </w:div>
    <w:div w:id="1778520774">
      <w:bodyDiv w:val="1"/>
      <w:marLeft w:val="0"/>
      <w:marRight w:val="0"/>
      <w:marTop w:val="0"/>
      <w:marBottom w:val="0"/>
      <w:divBdr>
        <w:top w:val="none" w:sz="0" w:space="0" w:color="auto"/>
        <w:left w:val="none" w:sz="0" w:space="0" w:color="auto"/>
        <w:bottom w:val="none" w:sz="0" w:space="0" w:color="auto"/>
        <w:right w:val="none" w:sz="0" w:space="0" w:color="auto"/>
      </w:divBdr>
    </w:div>
    <w:div w:id="1800412951">
      <w:bodyDiv w:val="1"/>
      <w:marLeft w:val="0"/>
      <w:marRight w:val="0"/>
      <w:marTop w:val="0"/>
      <w:marBottom w:val="0"/>
      <w:divBdr>
        <w:top w:val="none" w:sz="0" w:space="0" w:color="auto"/>
        <w:left w:val="none" w:sz="0" w:space="0" w:color="auto"/>
        <w:bottom w:val="none" w:sz="0" w:space="0" w:color="auto"/>
        <w:right w:val="none" w:sz="0" w:space="0" w:color="auto"/>
      </w:divBdr>
    </w:div>
    <w:div w:id="1804275862">
      <w:bodyDiv w:val="1"/>
      <w:marLeft w:val="0"/>
      <w:marRight w:val="0"/>
      <w:marTop w:val="0"/>
      <w:marBottom w:val="0"/>
      <w:divBdr>
        <w:top w:val="none" w:sz="0" w:space="0" w:color="auto"/>
        <w:left w:val="none" w:sz="0" w:space="0" w:color="auto"/>
        <w:bottom w:val="none" w:sz="0" w:space="0" w:color="auto"/>
        <w:right w:val="none" w:sz="0" w:space="0" w:color="auto"/>
      </w:divBdr>
    </w:div>
    <w:div w:id="1825275094">
      <w:bodyDiv w:val="1"/>
      <w:marLeft w:val="0"/>
      <w:marRight w:val="0"/>
      <w:marTop w:val="0"/>
      <w:marBottom w:val="0"/>
      <w:divBdr>
        <w:top w:val="none" w:sz="0" w:space="0" w:color="auto"/>
        <w:left w:val="none" w:sz="0" w:space="0" w:color="auto"/>
        <w:bottom w:val="none" w:sz="0" w:space="0" w:color="auto"/>
        <w:right w:val="none" w:sz="0" w:space="0" w:color="auto"/>
      </w:divBdr>
      <w:divsChild>
        <w:div w:id="811753471">
          <w:marLeft w:val="1166"/>
          <w:marRight w:val="0"/>
          <w:marTop w:val="120"/>
          <w:marBottom w:val="0"/>
          <w:divBdr>
            <w:top w:val="none" w:sz="0" w:space="0" w:color="auto"/>
            <w:left w:val="none" w:sz="0" w:space="0" w:color="auto"/>
            <w:bottom w:val="none" w:sz="0" w:space="0" w:color="auto"/>
            <w:right w:val="none" w:sz="0" w:space="0" w:color="auto"/>
          </w:divBdr>
        </w:div>
      </w:divsChild>
    </w:div>
    <w:div w:id="1825656189">
      <w:bodyDiv w:val="1"/>
      <w:marLeft w:val="0"/>
      <w:marRight w:val="0"/>
      <w:marTop w:val="0"/>
      <w:marBottom w:val="0"/>
      <w:divBdr>
        <w:top w:val="none" w:sz="0" w:space="0" w:color="auto"/>
        <w:left w:val="none" w:sz="0" w:space="0" w:color="auto"/>
        <w:bottom w:val="none" w:sz="0" w:space="0" w:color="auto"/>
        <w:right w:val="none" w:sz="0" w:space="0" w:color="auto"/>
      </w:divBdr>
    </w:div>
    <w:div w:id="1825930767">
      <w:bodyDiv w:val="1"/>
      <w:marLeft w:val="0"/>
      <w:marRight w:val="0"/>
      <w:marTop w:val="0"/>
      <w:marBottom w:val="0"/>
      <w:divBdr>
        <w:top w:val="none" w:sz="0" w:space="0" w:color="auto"/>
        <w:left w:val="none" w:sz="0" w:space="0" w:color="auto"/>
        <w:bottom w:val="none" w:sz="0" w:space="0" w:color="auto"/>
        <w:right w:val="none" w:sz="0" w:space="0" w:color="auto"/>
      </w:divBdr>
    </w:div>
    <w:div w:id="1843467394">
      <w:bodyDiv w:val="1"/>
      <w:marLeft w:val="0"/>
      <w:marRight w:val="0"/>
      <w:marTop w:val="0"/>
      <w:marBottom w:val="0"/>
      <w:divBdr>
        <w:top w:val="none" w:sz="0" w:space="0" w:color="auto"/>
        <w:left w:val="none" w:sz="0" w:space="0" w:color="auto"/>
        <w:bottom w:val="none" w:sz="0" w:space="0" w:color="auto"/>
        <w:right w:val="none" w:sz="0" w:space="0" w:color="auto"/>
      </w:divBdr>
    </w:div>
    <w:div w:id="1843860081">
      <w:bodyDiv w:val="1"/>
      <w:marLeft w:val="0"/>
      <w:marRight w:val="0"/>
      <w:marTop w:val="0"/>
      <w:marBottom w:val="0"/>
      <w:divBdr>
        <w:top w:val="none" w:sz="0" w:space="0" w:color="auto"/>
        <w:left w:val="none" w:sz="0" w:space="0" w:color="auto"/>
        <w:bottom w:val="none" w:sz="0" w:space="0" w:color="auto"/>
        <w:right w:val="none" w:sz="0" w:space="0" w:color="auto"/>
      </w:divBdr>
    </w:div>
    <w:div w:id="1846747611">
      <w:bodyDiv w:val="1"/>
      <w:marLeft w:val="0"/>
      <w:marRight w:val="0"/>
      <w:marTop w:val="0"/>
      <w:marBottom w:val="0"/>
      <w:divBdr>
        <w:top w:val="none" w:sz="0" w:space="0" w:color="auto"/>
        <w:left w:val="none" w:sz="0" w:space="0" w:color="auto"/>
        <w:bottom w:val="none" w:sz="0" w:space="0" w:color="auto"/>
        <w:right w:val="none" w:sz="0" w:space="0" w:color="auto"/>
      </w:divBdr>
    </w:div>
    <w:div w:id="1861964519">
      <w:bodyDiv w:val="1"/>
      <w:marLeft w:val="0"/>
      <w:marRight w:val="0"/>
      <w:marTop w:val="0"/>
      <w:marBottom w:val="0"/>
      <w:divBdr>
        <w:top w:val="none" w:sz="0" w:space="0" w:color="auto"/>
        <w:left w:val="none" w:sz="0" w:space="0" w:color="auto"/>
        <w:bottom w:val="none" w:sz="0" w:space="0" w:color="auto"/>
        <w:right w:val="none" w:sz="0" w:space="0" w:color="auto"/>
      </w:divBdr>
    </w:div>
    <w:div w:id="1887987585">
      <w:bodyDiv w:val="1"/>
      <w:marLeft w:val="0"/>
      <w:marRight w:val="0"/>
      <w:marTop w:val="0"/>
      <w:marBottom w:val="0"/>
      <w:divBdr>
        <w:top w:val="none" w:sz="0" w:space="0" w:color="auto"/>
        <w:left w:val="none" w:sz="0" w:space="0" w:color="auto"/>
        <w:bottom w:val="none" w:sz="0" w:space="0" w:color="auto"/>
        <w:right w:val="none" w:sz="0" w:space="0" w:color="auto"/>
      </w:divBdr>
    </w:div>
    <w:div w:id="1898590152">
      <w:bodyDiv w:val="1"/>
      <w:marLeft w:val="0"/>
      <w:marRight w:val="0"/>
      <w:marTop w:val="0"/>
      <w:marBottom w:val="0"/>
      <w:divBdr>
        <w:top w:val="none" w:sz="0" w:space="0" w:color="auto"/>
        <w:left w:val="none" w:sz="0" w:space="0" w:color="auto"/>
        <w:bottom w:val="none" w:sz="0" w:space="0" w:color="auto"/>
        <w:right w:val="none" w:sz="0" w:space="0" w:color="auto"/>
      </w:divBdr>
    </w:div>
    <w:div w:id="1902788328">
      <w:bodyDiv w:val="1"/>
      <w:marLeft w:val="0"/>
      <w:marRight w:val="0"/>
      <w:marTop w:val="0"/>
      <w:marBottom w:val="0"/>
      <w:divBdr>
        <w:top w:val="none" w:sz="0" w:space="0" w:color="auto"/>
        <w:left w:val="none" w:sz="0" w:space="0" w:color="auto"/>
        <w:bottom w:val="none" w:sz="0" w:space="0" w:color="auto"/>
        <w:right w:val="none" w:sz="0" w:space="0" w:color="auto"/>
      </w:divBdr>
    </w:div>
    <w:div w:id="1904217864">
      <w:bodyDiv w:val="1"/>
      <w:marLeft w:val="0"/>
      <w:marRight w:val="0"/>
      <w:marTop w:val="0"/>
      <w:marBottom w:val="0"/>
      <w:divBdr>
        <w:top w:val="none" w:sz="0" w:space="0" w:color="auto"/>
        <w:left w:val="none" w:sz="0" w:space="0" w:color="auto"/>
        <w:bottom w:val="none" w:sz="0" w:space="0" w:color="auto"/>
        <w:right w:val="none" w:sz="0" w:space="0" w:color="auto"/>
      </w:divBdr>
    </w:div>
    <w:div w:id="1917201736">
      <w:bodyDiv w:val="1"/>
      <w:marLeft w:val="0"/>
      <w:marRight w:val="0"/>
      <w:marTop w:val="0"/>
      <w:marBottom w:val="0"/>
      <w:divBdr>
        <w:top w:val="none" w:sz="0" w:space="0" w:color="auto"/>
        <w:left w:val="none" w:sz="0" w:space="0" w:color="auto"/>
        <w:bottom w:val="none" w:sz="0" w:space="0" w:color="auto"/>
        <w:right w:val="none" w:sz="0" w:space="0" w:color="auto"/>
      </w:divBdr>
      <w:divsChild>
        <w:div w:id="160705953">
          <w:marLeft w:val="0"/>
          <w:marRight w:val="0"/>
          <w:marTop w:val="0"/>
          <w:marBottom w:val="0"/>
          <w:divBdr>
            <w:top w:val="none" w:sz="0" w:space="0" w:color="auto"/>
            <w:left w:val="none" w:sz="0" w:space="0" w:color="auto"/>
            <w:bottom w:val="none" w:sz="0" w:space="0" w:color="auto"/>
            <w:right w:val="none" w:sz="0" w:space="0" w:color="auto"/>
          </w:divBdr>
          <w:divsChild>
            <w:div w:id="673534642">
              <w:marLeft w:val="0"/>
              <w:marRight w:val="0"/>
              <w:marTop w:val="0"/>
              <w:marBottom w:val="0"/>
              <w:divBdr>
                <w:top w:val="none" w:sz="0" w:space="0" w:color="auto"/>
                <w:left w:val="none" w:sz="0" w:space="0" w:color="auto"/>
                <w:bottom w:val="none" w:sz="0" w:space="0" w:color="auto"/>
                <w:right w:val="none" w:sz="0" w:space="0" w:color="auto"/>
              </w:divBdr>
              <w:divsChild>
                <w:div w:id="1737700003">
                  <w:marLeft w:val="0"/>
                  <w:marRight w:val="0"/>
                  <w:marTop w:val="0"/>
                  <w:marBottom w:val="0"/>
                  <w:divBdr>
                    <w:top w:val="none" w:sz="0" w:space="0" w:color="auto"/>
                    <w:left w:val="none" w:sz="0" w:space="0" w:color="auto"/>
                    <w:bottom w:val="none" w:sz="0" w:space="0" w:color="auto"/>
                    <w:right w:val="none" w:sz="0" w:space="0" w:color="auto"/>
                  </w:divBdr>
                  <w:divsChild>
                    <w:div w:id="101800792">
                      <w:marLeft w:val="0"/>
                      <w:marRight w:val="0"/>
                      <w:marTop w:val="0"/>
                      <w:marBottom w:val="0"/>
                      <w:divBdr>
                        <w:top w:val="none" w:sz="0" w:space="0" w:color="auto"/>
                        <w:left w:val="none" w:sz="0" w:space="0" w:color="auto"/>
                        <w:bottom w:val="none" w:sz="0" w:space="0" w:color="auto"/>
                        <w:right w:val="none" w:sz="0" w:space="0" w:color="auto"/>
                      </w:divBdr>
                      <w:divsChild>
                        <w:div w:id="392704874">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sChild>
            </w:div>
          </w:divsChild>
        </w:div>
        <w:div w:id="880091368">
          <w:marLeft w:val="0"/>
          <w:marRight w:val="0"/>
          <w:marTop w:val="0"/>
          <w:marBottom w:val="0"/>
          <w:divBdr>
            <w:top w:val="none" w:sz="0" w:space="0" w:color="auto"/>
            <w:left w:val="none" w:sz="0" w:space="0" w:color="auto"/>
            <w:bottom w:val="none" w:sz="0" w:space="0" w:color="auto"/>
            <w:right w:val="none" w:sz="0" w:space="0" w:color="auto"/>
          </w:divBdr>
          <w:divsChild>
            <w:div w:id="2994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9575">
      <w:bodyDiv w:val="1"/>
      <w:marLeft w:val="0"/>
      <w:marRight w:val="0"/>
      <w:marTop w:val="0"/>
      <w:marBottom w:val="0"/>
      <w:divBdr>
        <w:top w:val="none" w:sz="0" w:space="0" w:color="auto"/>
        <w:left w:val="none" w:sz="0" w:space="0" w:color="auto"/>
        <w:bottom w:val="none" w:sz="0" w:space="0" w:color="auto"/>
        <w:right w:val="none" w:sz="0" w:space="0" w:color="auto"/>
      </w:divBdr>
    </w:div>
    <w:div w:id="1936356722">
      <w:bodyDiv w:val="1"/>
      <w:marLeft w:val="0"/>
      <w:marRight w:val="0"/>
      <w:marTop w:val="0"/>
      <w:marBottom w:val="0"/>
      <w:divBdr>
        <w:top w:val="none" w:sz="0" w:space="0" w:color="auto"/>
        <w:left w:val="none" w:sz="0" w:space="0" w:color="auto"/>
        <w:bottom w:val="none" w:sz="0" w:space="0" w:color="auto"/>
        <w:right w:val="none" w:sz="0" w:space="0" w:color="auto"/>
      </w:divBdr>
    </w:div>
    <w:div w:id="1937207631">
      <w:bodyDiv w:val="1"/>
      <w:marLeft w:val="0"/>
      <w:marRight w:val="0"/>
      <w:marTop w:val="0"/>
      <w:marBottom w:val="0"/>
      <w:divBdr>
        <w:top w:val="none" w:sz="0" w:space="0" w:color="auto"/>
        <w:left w:val="none" w:sz="0" w:space="0" w:color="auto"/>
        <w:bottom w:val="none" w:sz="0" w:space="0" w:color="auto"/>
        <w:right w:val="none" w:sz="0" w:space="0" w:color="auto"/>
      </w:divBdr>
    </w:div>
    <w:div w:id="1938441598">
      <w:bodyDiv w:val="1"/>
      <w:marLeft w:val="0"/>
      <w:marRight w:val="0"/>
      <w:marTop w:val="0"/>
      <w:marBottom w:val="0"/>
      <w:divBdr>
        <w:top w:val="none" w:sz="0" w:space="0" w:color="auto"/>
        <w:left w:val="none" w:sz="0" w:space="0" w:color="auto"/>
        <w:bottom w:val="none" w:sz="0" w:space="0" w:color="auto"/>
        <w:right w:val="none" w:sz="0" w:space="0" w:color="auto"/>
      </w:divBdr>
    </w:div>
    <w:div w:id="1955598940">
      <w:bodyDiv w:val="1"/>
      <w:marLeft w:val="0"/>
      <w:marRight w:val="0"/>
      <w:marTop w:val="0"/>
      <w:marBottom w:val="0"/>
      <w:divBdr>
        <w:top w:val="none" w:sz="0" w:space="0" w:color="auto"/>
        <w:left w:val="none" w:sz="0" w:space="0" w:color="auto"/>
        <w:bottom w:val="none" w:sz="0" w:space="0" w:color="auto"/>
        <w:right w:val="none" w:sz="0" w:space="0" w:color="auto"/>
      </w:divBdr>
    </w:div>
    <w:div w:id="1980452208">
      <w:bodyDiv w:val="1"/>
      <w:marLeft w:val="0"/>
      <w:marRight w:val="0"/>
      <w:marTop w:val="0"/>
      <w:marBottom w:val="0"/>
      <w:divBdr>
        <w:top w:val="none" w:sz="0" w:space="0" w:color="auto"/>
        <w:left w:val="none" w:sz="0" w:space="0" w:color="auto"/>
        <w:bottom w:val="none" w:sz="0" w:space="0" w:color="auto"/>
        <w:right w:val="none" w:sz="0" w:space="0" w:color="auto"/>
      </w:divBdr>
    </w:div>
    <w:div w:id="1989312118">
      <w:bodyDiv w:val="1"/>
      <w:marLeft w:val="0"/>
      <w:marRight w:val="0"/>
      <w:marTop w:val="0"/>
      <w:marBottom w:val="0"/>
      <w:divBdr>
        <w:top w:val="none" w:sz="0" w:space="0" w:color="auto"/>
        <w:left w:val="none" w:sz="0" w:space="0" w:color="auto"/>
        <w:bottom w:val="none" w:sz="0" w:space="0" w:color="auto"/>
        <w:right w:val="none" w:sz="0" w:space="0" w:color="auto"/>
      </w:divBdr>
    </w:div>
    <w:div w:id="1989632072">
      <w:bodyDiv w:val="1"/>
      <w:marLeft w:val="0"/>
      <w:marRight w:val="0"/>
      <w:marTop w:val="0"/>
      <w:marBottom w:val="0"/>
      <w:divBdr>
        <w:top w:val="none" w:sz="0" w:space="0" w:color="auto"/>
        <w:left w:val="none" w:sz="0" w:space="0" w:color="auto"/>
        <w:bottom w:val="none" w:sz="0" w:space="0" w:color="auto"/>
        <w:right w:val="none" w:sz="0" w:space="0" w:color="auto"/>
      </w:divBdr>
    </w:div>
    <w:div w:id="1997805658">
      <w:bodyDiv w:val="1"/>
      <w:marLeft w:val="0"/>
      <w:marRight w:val="0"/>
      <w:marTop w:val="0"/>
      <w:marBottom w:val="0"/>
      <w:divBdr>
        <w:top w:val="none" w:sz="0" w:space="0" w:color="auto"/>
        <w:left w:val="none" w:sz="0" w:space="0" w:color="auto"/>
        <w:bottom w:val="none" w:sz="0" w:space="0" w:color="auto"/>
        <w:right w:val="none" w:sz="0" w:space="0" w:color="auto"/>
      </w:divBdr>
    </w:div>
    <w:div w:id="2000964300">
      <w:bodyDiv w:val="1"/>
      <w:marLeft w:val="0"/>
      <w:marRight w:val="0"/>
      <w:marTop w:val="0"/>
      <w:marBottom w:val="0"/>
      <w:divBdr>
        <w:top w:val="none" w:sz="0" w:space="0" w:color="auto"/>
        <w:left w:val="none" w:sz="0" w:space="0" w:color="auto"/>
        <w:bottom w:val="none" w:sz="0" w:space="0" w:color="auto"/>
        <w:right w:val="none" w:sz="0" w:space="0" w:color="auto"/>
      </w:divBdr>
    </w:div>
    <w:div w:id="2003586846">
      <w:bodyDiv w:val="1"/>
      <w:marLeft w:val="0"/>
      <w:marRight w:val="0"/>
      <w:marTop w:val="0"/>
      <w:marBottom w:val="0"/>
      <w:divBdr>
        <w:top w:val="none" w:sz="0" w:space="0" w:color="auto"/>
        <w:left w:val="none" w:sz="0" w:space="0" w:color="auto"/>
        <w:bottom w:val="none" w:sz="0" w:space="0" w:color="auto"/>
        <w:right w:val="none" w:sz="0" w:space="0" w:color="auto"/>
      </w:divBdr>
    </w:div>
    <w:div w:id="2004159257">
      <w:bodyDiv w:val="1"/>
      <w:marLeft w:val="0"/>
      <w:marRight w:val="0"/>
      <w:marTop w:val="0"/>
      <w:marBottom w:val="0"/>
      <w:divBdr>
        <w:top w:val="none" w:sz="0" w:space="0" w:color="auto"/>
        <w:left w:val="none" w:sz="0" w:space="0" w:color="auto"/>
        <w:bottom w:val="none" w:sz="0" w:space="0" w:color="auto"/>
        <w:right w:val="none" w:sz="0" w:space="0" w:color="auto"/>
      </w:divBdr>
      <w:divsChild>
        <w:div w:id="1529291731">
          <w:marLeft w:val="0"/>
          <w:marRight w:val="0"/>
          <w:marTop w:val="0"/>
          <w:marBottom w:val="0"/>
          <w:divBdr>
            <w:top w:val="single" w:sz="2" w:space="5" w:color="E0E4E9"/>
            <w:left w:val="single" w:sz="2" w:space="0" w:color="E0E4E9"/>
            <w:bottom w:val="single" w:sz="6" w:space="5" w:color="E0E4E9"/>
            <w:right w:val="single" w:sz="2" w:space="0" w:color="E0E4E9"/>
          </w:divBdr>
        </w:div>
      </w:divsChild>
    </w:div>
    <w:div w:id="2004817215">
      <w:bodyDiv w:val="1"/>
      <w:marLeft w:val="0"/>
      <w:marRight w:val="0"/>
      <w:marTop w:val="0"/>
      <w:marBottom w:val="0"/>
      <w:divBdr>
        <w:top w:val="none" w:sz="0" w:space="0" w:color="auto"/>
        <w:left w:val="none" w:sz="0" w:space="0" w:color="auto"/>
        <w:bottom w:val="none" w:sz="0" w:space="0" w:color="auto"/>
        <w:right w:val="none" w:sz="0" w:space="0" w:color="auto"/>
      </w:divBdr>
    </w:div>
    <w:div w:id="2006471440">
      <w:bodyDiv w:val="1"/>
      <w:marLeft w:val="0"/>
      <w:marRight w:val="0"/>
      <w:marTop w:val="0"/>
      <w:marBottom w:val="0"/>
      <w:divBdr>
        <w:top w:val="none" w:sz="0" w:space="0" w:color="auto"/>
        <w:left w:val="none" w:sz="0" w:space="0" w:color="auto"/>
        <w:bottom w:val="none" w:sz="0" w:space="0" w:color="auto"/>
        <w:right w:val="none" w:sz="0" w:space="0" w:color="auto"/>
      </w:divBdr>
    </w:div>
    <w:div w:id="2011641554">
      <w:bodyDiv w:val="1"/>
      <w:marLeft w:val="0"/>
      <w:marRight w:val="0"/>
      <w:marTop w:val="0"/>
      <w:marBottom w:val="0"/>
      <w:divBdr>
        <w:top w:val="none" w:sz="0" w:space="0" w:color="auto"/>
        <w:left w:val="none" w:sz="0" w:space="0" w:color="auto"/>
        <w:bottom w:val="none" w:sz="0" w:space="0" w:color="auto"/>
        <w:right w:val="none" w:sz="0" w:space="0" w:color="auto"/>
      </w:divBdr>
    </w:div>
    <w:div w:id="2017611867">
      <w:bodyDiv w:val="1"/>
      <w:marLeft w:val="0"/>
      <w:marRight w:val="0"/>
      <w:marTop w:val="0"/>
      <w:marBottom w:val="0"/>
      <w:divBdr>
        <w:top w:val="none" w:sz="0" w:space="0" w:color="auto"/>
        <w:left w:val="none" w:sz="0" w:space="0" w:color="auto"/>
        <w:bottom w:val="none" w:sz="0" w:space="0" w:color="auto"/>
        <w:right w:val="none" w:sz="0" w:space="0" w:color="auto"/>
      </w:divBdr>
    </w:div>
    <w:div w:id="2026011952">
      <w:bodyDiv w:val="1"/>
      <w:marLeft w:val="0"/>
      <w:marRight w:val="0"/>
      <w:marTop w:val="0"/>
      <w:marBottom w:val="0"/>
      <w:divBdr>
        <w:top w:val="none" w:sz="0" w:space="0" w:color="auto"/>
        <w:left w:val="none" w:sz="0" w:space="0" w:color="auto"/>
        <w:bottom w:val="none" w:sz="0" w:space="0" w:color="auto"/>
        <w:right w:val="none" w:sz="0" w:space="0" w:color="auto"/>
      </w:divBdr>
    </w:div>
    <w:div w:id="2067796184">
      <w:bodyDiv w:val="1"/>
      <w:marLeft w:val="0"/>
      <w:marRight w:val="0"/>
      <w:marTop w:val="0"/>
      <w:marBottom w:val="0"/>
      <w:divBdr>
        <w:top w:val="none" w:sz="0" w:space="0" w:color="auto"/>
        <w:left w:val="none" w:sz="0" w:space="0" w:color="auto"/>
        <w:bottom w:val="none" w:sz="0" w:space="0" w:color="auto"/>
        <w:right w:val="none" w:sz="0" w:space="0" w:color="auto"/>
      </w:divBdr>
    </w:div>
    <w:div w:id="2104566329">
      <w:bodyDiv w:val="1"/>
      <w:marLeft w:val="0"/>
      <w:marRight w:val="0"/>
      <w:marTop w:val="0"/>
      <w:marBottom w:val="0"/>
      <w:divBdr>
        <w:top w:val="none" w:sz="0" w:space="0" w:color="auto"/>
        <w:left w:val="none" w:sz="0" w:space="0" w:color="auto"/>
        <w:bottom w:val="none" w:sz="0" w:space="0" w:color="auto"/>
        <w:right w:val="none" w:sz="0" w:space="0" w:color="auto"/>
      </w:divBdr>
    </w:div>
    <w:div w:id="2117870045">
      <w:bodyDiv w:val="1"/>
      <w:marLeft w:val="0"/>
      <w:marRight w:val="0"/>
      <w:marTop w:val="0"/>
      <w:marBottom w:val="0"/>
      <w:divBdr>
        <w:top w:val="none" w:sz="0" w:space="0" w:color="auto"/>
        <w:left w:val="none" w:sz="0" w:space="0" w:color="auto"/>
        <w:bottom w:val="none" w:sz="0" w:space="0" w:color="auto"/>
        <w:right w:val="none" w:sz="0" w:space="0" w:color="auto"/>
      </w:divBdr>
    </w:div>
    <w:div w:id="2128349325">
      <w:bodyDiv w:val="1"/>
      <w:marLeft w:val="0"/>
      <w:marRight w:val="0"/>
      <w:marTop w:val="0"/>
      <w:marBottom w:val="0"/>
      <w:divBdr>
        <w:top w:val="none" w:sz="0" w:space="0" w:color="auto"/>
        <w:left w:val="none" w:sz="0" w:space="0" w:color="auto"/>
        <w:bottom w:val="none" w:sz="0" w:space="0" w:color="auto"/>
        <w:right w:val="none" w:sz="0" w:space="0" w:color="auto"/>
      </w:divBdr>
      <w:divsChild>
        <w:div w:id="1903129381">
          <w:marLeft w:val="0"/>
          <w:marRight w:val="0"/>
          <w:marTop w:val="0"/>
          <w:marBottom w:val="0"/>
          <w:divBdr>
            <w:top w:val="none" w:sz="0" w:space="0" w:color="auto"/>
            <w:left w:val="none" w:sz="0" w:space="0" w:color="auto"/>
            <w:bottom w:val="none" w:sz="0" w:space="0" w:color="auto"/>
            <w:right w:val="none" w:sz="0" w:space="0" w:color="auto"/>
          </w:divBdr>
          <w:divsChild>
            <w:div w:id="1452557970">
              <w:marLeft w:val="0"/>
              <w:marRight w:val="0"/>
              <w:marTop w:val="0"/>
              <w:marBottom w:val="0"/>
              <w:divBdr>
                <w:top w:val="none" w:sz="0" w:space="0" w:color="auto"/>
                <w:left w:val="none" w:sz="0" w:space="0" w:color="auto"/>
                <w:bottom w:val="none" w:sz="0" w:space="0" w:color="auto"/>
                <w:right w:val="none" w:sz="0" w:space="0" w:color="auto"/>
              </w:divBdr>
              <w:divsChild>
                <w:div w:id="1139881790">
                  <w:marLeft w:val="0"/>
                  <w:marRight w:val="0"/>
                  <w:marTop w:val="0"/>
                  <w:marBottom w:val="0"/>
                  <w:divBdr>
                    <w:top w:val="none" w:sz="0" w:space="0" w:color="auto"/>
                    <w:left w:val="none" w:sz="0" w:space="0" w:color="auto"/>
                    <w:bottom w:val="none" w:sz="0" w:space="0" w:color="auto"/>
                    <w:right w:val="none" w:sz="0" w:space="0" w:color="auto"/>
                  </w:divBdr>
                  <w:divsChild>
                    <w:div w:id="342168385">
                      <w:marLeft w:val="0"/>
                      <w:marRight w:val="0"/>
                      <w:marTop w:val="0"/>
                      <w:marBottom w:val="0"/>
                      <w:divBdr>
                        <w:top w:val="none" w:sz="0" w:space="0" w:color="auto"/>
                        <w:left w:val="none" w:sz="0" w:space="0" w:color="auto"/>
                        <w:bottom w:val="none" w:sz="0" w:space="0" w:color="auto"/>
                        <w:right w:val="none" w:sz="0" w:space="0" w:color="auto"/>
                      </w:divBdr>
                      <w:divsChild>
                        <w:div w:id="2115664531">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sChild>
            </w:div>
          </w:divsChild>
        </w:div>
        <w:div w:id="1886093267">
          <w:marLeft w:val="0"/>
          <w:marRight w:val="0"/>
          <w:marTop w:val="0"/>
          <w:marBottom w:val="0"/>
          <w:divBdr>
            <w:top w:val="none" w:sz="0" w:space="0" w:color="auto"/>
            <w:left w:val="none" w:sz="0" w:space="0" w:color="auto"/>
            <w:bottom w:val="none" w:sz="0" w:space="0" w:color="auto"/>
            <w:right w:val="none" w:sz="0" w:space="0" w:color="auto"/>
          </w:divBdr>
          <w:divsChild>
            <w:div w:id="20186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6585">
      <w:bodyDiv w:val="1"/>
      <w:marLeft w:val="0"/>
      <w:marRight w:val="0"/>
      <w:marTop w:val="0"/>
      <w:marBottom w:val="0"/>
      <w:divBdr>
        <w:top w:val="none" w:sz="0" w:space="0" w:color="auto"/>
        <w:left w:val="none" w:sz="0" w:space="0" w:color="auto"/>
        <w:bottom w:val="none" w:sz="0" w:space="0" w:color="auto"/>
        <w:right w:val="none" w:sz="0" w:space="0" w:color="auto"/>
      </w:divBdr>
    </w:div>
    <w:div w:id="2141024529">
      <w:bodyDiv w:val="1"/>
      <w:marLeft w:val="0"/>
      <w:marRight w:val="0"/>
      <w:marTop w:val="0"/>
      <w:marBottom w:val="0"/>
      <w:divBdr>
        <w:top w:val="none" w:sz="0" w:space="0" w:color="auto"/>
        <w:left w:val="none" w:sz="0" w:space="0" w:color="auto"/>
        <w:bottom w:val="none" w:sz="0" w:space="0" w:color="auto"/>
        <w:right w:val="none" w:sz="0" w:space="0" w:color="auto"/>
      </w:divBdr>
    </w:div>
    <w:div w:id="2142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dx.doi.org/10.2139/ssrn.3472313" TargetMode="External"/><Relationship Id="rId26" Type="http://schemas.openxmlformats.org/officeDocument/2006/relationships/hyperlink" Target="https://images.samsung.com/is/content/samsung/p5/global/ir/docs/2019_Business_Report.pdf" TargetMode="External"/><Relationship Id="rId3" Type="http://schemas.openxmlformats.org/officeDocument/2006/relationships/styles" Target="styles.xml"/><Relationship Id="rId21" Type="http://schemas.openxmlformats.org/officeDocument/2006/relationships/hyperlink" Target="https://www.investopedia.com/terms/a/activityratio.asp" TargetMode="Externa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hyperlink" Target="https://search-proquest-com.adu-lib-database.idm.oclc.org/central/docview/2394976285/30E1C9595F2E41AAPQ/5?accountid=26149" TargetMode="Externa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hyperlink" Target="https://www.businesstimes.com.sg/technology/samsung-stung-by-trade-war-expects-a-big-plunge-in-profits" TargetMode="External"/><Relationship Id="rId1" Type="http://schemas.openxmlformats.org/officeDocument/2006/relationships/customXml" Target="../customXml/item1.xml"/><Relationship Id="rId6" Type="http://schemas.openxmlformats.org/officeDocument/2006/relationships/hyperlink" Target="mailto:1070232@students.adu.ac.ae" TargetMode="External"/><Relationship Id="rId11" Type="http://schemas.openxmlformats.org/officeDocument/2006/relationships/chart" Target="charts/chart5.xml"/><Relationship Id="rId24" Type="http://schemas.openxmlformats.org/officeDocument/2006/relationships/hyperlink" Target="https://search-proquest-com.adu-lib-database.idm.oclc.org/central/docview/2363730412/72A359F2E37744B7PQ/5?accountid=26149" TargetMode="Externa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hyperlink" Target="http://dx.doi.org/10.2139/ssrn.3472417" TargetMode="External"/><Relationship Id="rId28"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hyperlink" Target="https://www.lifewire.com/history-of-samsung-818809" TargetMode="Externa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hyperlink" Target="https://search-proquest-com.adu-lib-database.idm.oclc.org/central/docview/229680301/fulltext/D90233569FA84593PQ/1?accountid=26149"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060716\Desktop\Ratios%20Calcul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solidFill>
                <a:latin typeface="Times New Roman" panose="02020603050405020304" pitchFamily="18" charset="0"/>
                <a:ea typeface="+mj-ea"/>
                <a:cs typeface="Times New Roman" panose="02020603050405020304" pitchFamily="18" charset="0"/>
              </a:defRPr>
            </a:pPr>
            <a:r>
              <a:rPr lang="en-US" sz="1600">
                <a:solidFill>
                  <a:srgbClr val="0C2188"/>
                </a:solidFill>
                <a:latin typeface="+mj-lt"/>
                <a:cs typeface="Times New Roman" panose="02020603050405020304" pitchFamily="18" charset="0"/>
              </a:rPr>
              <a:t>Current ratio</a:t>
            </a:r>
          </a:p>
        </c:rich>
      </c:tx>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solidFill>
              <a:latin typeface="Times New Roman" panose="02020603050405020304" pitchFamily="18" charset="0"/>
              <a:ea typeface="+mj-ea"/>
              <a:cs typeface="Times New Roman" panose="02020603050405020304" pitchFamily="18" charset="0"/>
            </a:defRPr>
          </a:pPr>
          <a:endParaRPr lang="en-US"/>
        </a:p>
      </c:txPr>
    </c:title>
    <c:autoTitleDeleted val="0"/>
    <c:plotArea>
      <c:layout>
        <c:manualLayout>
          <c:layoutTarget val="inner"/>
          <c:xMode val="edge"/>
          <c:yMode val="edge"/>
          <c:x val="8.55531496062992E-2"/>
          <c:y val="0.17171296296296298"/>
          <c:w val="0.88389129483814521"/>
          <c:h val="0.72088764946048411"/>
        </c:manualLayout>
      </c:layout>
      <c:lineChart>
        <c:grouping val="standard"/>
        <c:varyColors val="0"/>
        <c:ser>
          <c:idx val="0"/>
          <c:order val="0"/>
          <c:tx>
            <c:strRef>
              <c:f>Sheet1!$B$36</c:f>
              <c:strCache>
                <c:ptCount val="1"/>
                <c:pt idx="0">
                  <c:v>Current ratio</c:v>
                </c:pt>
              </c:strCache>
            </c:strRef>
          </c:tx>
          <c:spPr>
            <a:ln w="38100" cap="rnd">
              <a:solidFill>
                <a:schemeClr val="accent1"/>
              </a:solidFill>
              <a:round/>
            </a:ln>
            <a:effectLst/>
          </c:spPr>
          <c:marker>
            <c:symbol val="none"/>
          </c:marker>
          <c:dPt>
            <c:idx val="1"/>
            <c:marker>
              <c:symbol val="none"/>
            </c:marker>
            <c:bubble3D val="0"/>
            <c:spPr>
              <a:ln w="38100" cap="rnd">
                <a:solidFill>
                  <a:srgbClr val="0C2188"/>
                </a:solidFill>
                <a:round/>
              </a:ln>
              <a:effectLst/>
            </c:spPr>
            <c:extLst>
              <c:ext xmlns:c16="http://schemas.microsoft.com/office/drawing/2014/chart" uri="{C3380CC4-5D6E-409C-BE32-E72D297353CC}">
                <c16:uniqueId val="{00000000-85D7-5941-B253-96E903D5BCAB}"/>
              </c:ext>
            </c:extLst>
          </c:dPt>
          <c:dPt>
            <c:idx val="2"/>
            <c:marker>
              <c:symbol val="none"/>
            </c:marker>
            <c:bubble3D val="0"/>
            <c:spPr>
              <a:ln w="38100" cap="rnd">
                <a:solidFill>
                  <a:srgbClr val="0C2188"/>
                </a:solidFill>
                <a:round/>
              </a:ln>
              <a:effectLst/>
            </c:spPr>
            <c:extLst>
              <c:ext xmlns:c16="http://schemas.microsoft.com/office/drawing/2014/chart" uri="{C3380CC4-5D6E-409C-BE32-E72D297353CC}">
                <c16:uniqueId val="{00000001-85D7-5941-B253-96E903D5BCAB}"/>
              </c:ext>
            </c:extLst>
          </c:dPt>
          <c:dPt>
            <c:idx val="3"/>
            <c:marker>
              <c:symbol val="none"/>
            </c:marker>
            <c:bubble3D val="0"/>
            <c:spPr>
              <a:ln w="38100" cap="rnd">
                <a:solidFill>
                  <a:srgbClr val="0C2188"/>
                </a:solidFill>
                <a:round/>
              </a:ln>
              <a:effectLst/>
            </c:spPr>
            <c:extLst>
              <c:ext xmlns:c16="http://schemas.microsoft.com/office/drawing/2014/chart" uri="{C3380CC4-5D6E-409C-BE32-E72D297353CC}">
                <c16:uniqueId val="{00000002-85D7-5941-B253-96E903D5BCAB}"/>
              </c:ext>
            </c:extLst>
          </c:dPt>
          <c:dLbls>
            <c:dLbl>
              <c:idx val="0"/>
              <c:layout>
                <c:manualLayout>
                  <c:x val="-3.3466780644633952E-2"/>
                  <c:y val="7.62582613116420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5D7-5941-B253-96E903D5BCAB}"/>
                </c:ext>
              </c:extLst>
            </c:dLbl>
            <c:dLbl>
              <c:idx val="1"/>
              <c:layout>
                <c:manualLayout>
                  <c:x val="-3.3466780644633952E-2"/>
                  <c:y val="5.08388408744280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5D7-5941-B253-96E903D5BCAB}"/>
                </c:ext>
              </c:extLst>
            </c:dLbl>
            <c:dLbl>
              <c:idx val="2"/>
              <c:layout>
                <c:manualLayout>
                  <c:x val="-3.5629410402419417E-2"/>
                  <c:y val="7.1174377224199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5D7-5941-B253-96E903D5BCAB}"/>
                </c:ext>
              </c:extLst>
            </c:dLbl>
            <c:dLbl>
              <c:idx val="3"/>
              <c:layout>
                <c:manualLayout>
                  <c:x val="-4.2117299675775821E-2"/>
                  <c:y val="5.59227249618708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5D7-5941-B253-96E903D5BCA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Sheet1!$A$37:$A$40</c:f>
              <c:numCache>
                <c:formatCode>General</c:formatCode>
                <c:ptCount val="4"/>
                <c:pt idx="0">
                  <c:v>2019</c:v>
                </c:pt>
                <c:pt idx="1">
                  <c:v>2018</c:v>
                </c:pt>
                <c:pt idx="2">
                  <c:v>2017</c:v>
                </c:pt>
                <c:pt idx="3">
                  <c:v>2016</c:v>
                </c:pt>
              </c:numCache>
            </c:numRef>
          </c:cat>
          <c:val>
            <c:numRef>
              <c:f>Sheet1!$B$37:$B$40</c:f>
              <c:numCache>
                <c:formatCode>0.00</c:formatCode>
                <c:ptCount val="4"/>
                <c:pt idx="0">
                  <c:v>2.8437974246459437</c:v>
                </c:pt>
                <c:pt idx="1">
                  <c:v>2.5288593720664183</c:v>
                </c:pt>
                <c:pt idx="2">
                  <c:v>2.1880493422013396</c:v>
                </c:pt>
                <c:pt idx="3">
                  <c:v>2.58535862808808</c:v>
                </c:pt>
              </c:numCache>
            </c:numRef>
          </c:val>
          <c:smooth val="0"/>
          <c:extLst>
            <c:ext xmlns:c16="http://schemas.microsoft.com/office/drawing/2014/chart" uri="{C3380CC4-5D6E-409C-BE32-E72D297353CC}">
              <c16:uniqueId val="{00000000-B67A-2844-9B91-3585A91D28A5}"/>
            </c:ext>
          </c:extLst>
        </c:ser>
        <c:dLbls>
          <c:dLblPos val="ctr"/>
          <c:showLegendKey val="0"/>
          <c:showVal val="1"/>
          <c:showCatName val="0"/>
          <c:showSerName val="0"/>
          <c:showPercent val="0"/>
          <c:showBubbleSize val="0"/>
        </c:dLbls>
        <c:smooth val="0"/>
        <c:axId val="1660466687"/>
        <c:axId val="1660544367"/>
      </c:lineChart>
      <c:dateAx>
        <c:axId val="166046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660544367"/>
        <c:crosses val="autoZero"/>
        <c:auto val="0"/>
        <c:lblOffset val="100"/>
        <c:baseTimeUnit val="days"/>
      </c:dateAx>
      <c:valAx>
        <c:axId val="166054436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6604666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5743437534551131"/>
          <c:y val="4.5236075770426917E-2"/>
        </c:manualLayout>
      </c:layout>
      <c:overlay val="0"/>
      <c:spPr>
        <a:noFill/>
        <a:ln>
          <a:noFill/>
        </a:ln>
        <a:effectLst/>
      </c:spPr>
      <c:txPr>
        <a:bodyPr rot="0" spcFirstLastPara="1" vertOverflow="ellipsis" vert="horz" wrap="square" anchor="ctr" anchorCtr="1"/>
        <a:lstStyle/>
        <a:p>
          <a:pPr>
            <a:defRPr sz="1800" b="0" i="0" u="none" strike="noStrike" kern="1200" cap="none" spc="0" normalizeH="0" baseline="0">
              <a:solidFill>
                <a:srgbClr val="0C2188"/>
              </a:solidFill>
              <a:latin typeface="+mj-lt"/>
              <a:ea typeface="+mj-ea"/>
              <a:cs typeface="+mj-cs"/>
            </a:defRPr>
          </a:pPr>
          <a:endParaRPr lang="en-US"/>
        </a:p>
      </c:txPr>
    </c:title>
    <c:autoTitleDeleted val="0"/>
    <c:plotArea>
      <c:layout/>
      <c:lineChart>
        <c:grouping val="standard"/>
        <c:varyColors val="0"/>
        <c:ser>
          <c:idx val="0"/>
          <c:order val="0"/>
          <c:tx>
            <c:strRef>
              <c:f>Sheet1!$E$48</c:f>
              <c:strCache>
                <c:ptCount val="1"/>
                <c:pt idx="0">
                  <c:v>Return on Assets</c:v>
                </c:pt>
              </c:strCache>
            </c:strRef>
          </c:tx>
          <c:spPr>
            <a:ln w="38100" cap="rnd">
              <a:solidFill>
                <a:srgbClr val="0C2188"/>
              </a:solidFill>
              <a:round/>
            </a:ln>
            <a:effectLst/>
          </c:spPr>
          <c:marker>
            <c:symbol val="none"/>
          </c:marker>
          <c:dLbls>
            <c:dLbl>
              <c:idx val="0"/>
              <c:layout>
                <c:manualLayout>
                  <c:x val="-2.611838535966178E-2"/>
                  <c:y val="0.1017811704834605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A88-104D-83EB-5B3BFC5FF65D}"/>
                </c:ext>
              </c:extLst>
            </c:dLbl>
            <c:dLbl>
              <c:idx val="1"/>
              <c:layout>
                <c:manualLayout>
                  <c:x val="-3.5435899237968062E-2"/>
                  <c:y val="6.78541136556403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A88-104D-83EB-5B3BFC5FF65D}"/>
                </c:ext>
              </c:extLst>
            </c:dLbl>
            <c:dLbl>
              <c:idx val="2"/>
              <c:layout>
                <c:manualLayout>
                  <c:x val="-3.5435899237968145E-2"/>
                  <c:y val="5.08905852417303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A88-104D-83EB-5B3BFC5FF65D}"/>
                </c:ext>
              </c:extLst>
            </c:dLbl>
            <c:dLbl>
              <c:idx val="3"/>
              <c:layout>
                <c:manualLayout>
                  <c:x val="-3.0472363807468445E-2"/>
                  <c:y val="5.089058524173027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A88-104D-83EB-5B3BFC5FF6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Sheet1!$D$49:$D$52</c:f>
              <c:numCache>
                <c:formatCode>General</c:formatCode>
                <c:ptCount val="4"/>
                <c:pt idx="0">
                  <c:v>2019</c:v>
                </c:pt>
                <c:pt idx="1">
                  <c:v>2018</c:v>
                </c:pt>
                <c:pt idx="2">
                  <c:v>2017</c:v>
                </c:pt>
                <c:pt idx="3">
                  <c:v>2016</c:v>
                </c:pt>
              </c:numCache>
            </c:numRef>
          </c:cat>
          <c:val>
            <c:numRef>
              <c:f>Sheet1!$E$49:$E$52</c:f>
              <c:numCache>
                <c:formatCode>0%</c:formatCode>
                <c:ptCount val="4"/>
                <c:pt idx="0">
                  <c:v>6.0996084923434592E-2</c:v>
                </c:pt>
                <c:pt idx="1">
                  <c:v>0.12933531779860871</c:v>
                </c:pt>
                <c:pt idx="2">
                  <c:v>0.13701502117185005</c:v>
                </c:pt>
                <c:pt idx="3">
                  <c:v>8.549904757263721E-2</c:v>
                </c:pt>
              </c:numCache>
            </c:numRef>
          </c:val>
          <c:smooth val="0"/>
          <c:extLst>
            <c:ext xmlns:c16="http://schemas.microsoft.com/office/drawing/2014/chart" uri="{C3380CC4-5D6E-409C-BE32-E72D297353CC}">
              <c16:uniqueId val="{00000000-2087-D242-9EE2-C02036559582}"/>
            </c:ext>
          </c:extLst>
        </c:ser>
        <c:dLbls>
          <c:dLblPos val="ctr"/>
          <c:showLegendKey val="0"/>
          <c:showVal val="1"/>
          <c:showCatName val="0"/>
          <c:showSerName val="0"/>
          <c:showPercent val="0"/>
          <c:showBubbleSize val="0"/>
        </c:dLbls>
        <c:smooth val="0"/>
        <c:axId val="1666578847"/>
        <c:axId val="1664704607"/>
      </c:lineChart>
      <c:dateAx>
        <c:axId val="166657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664704607"/>
        <c:crosses val="autoZero"/>
        <c:auto val="0"/>
        <c:lblOffset val="100"/>
        <c:baseTimeUnit val="days"/>
      </c:dateAx>
      <c:valAx>
        <c:axId val="16647046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578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586828903831788"/>
          <c:y val="5.5463117027176927E-2"/>
        </c:manualLayout>
      </c:layout>
      <c:overlay val="0"/>
      <c:spPr>
        <a:noFill/>
        <a:ln>
          <a:noFill/>
        </a:ln>
        <a:effectLst/>
      </c:spPr>
      <c:txPr>
        <a:bodyPr rot="0" spcFirstLastPara="1" vertOverflow="ellipsis" vert="horz" wrap="square" anchor="ctr" anchorCtr="1"/>
        <a:lstStyle/>
        <a:p>
          <a:pPr>
            <a:defRPr sz="1800" b="0" i="0" u="none" strike="noStrike" kern="1200" cap="none" spc="0" normalizeH="0" baseline="0">
              <a:solidFill>
                <a:srgbClr val="0C2188"/>
              </a:solidFill>
              <a:latin typeface="+mj-lt"/>
              <a:ea typeface="+mj-ea"/>
              <a:cs typeface="+mj-cs"/>
            </a:defRPr>
          </a:pPr>
          <a:endParaRPr lang="en-US"/>
        </a:p>
      </c:txPr>
    </c:title>
    <c:autoTitleDeleted val="0"/>
    <c:plotArea>
      <c:layout/>
      <c:lineChart>
        <c:grouping val="standard"/>
        <c:varyColors val="0"/>
        <c:ser>
          <c:idx val="0"/>
          <c:order val="0"/>
          <c:tx>
            <c:strRef>
              <c:f>Sheet1!$H$48</c:f>
              <c:strCache>
                <c:ptCount val="1"/>
                <c:pt idx="0">
                  <c:v>Profit Margin</c:v>
                </c:pt>
              </c:strCache>
            </c:strRef>
          </c:tx>
          <c:spPr>
            <a:ln w="38100" cap="rnd">
              <a:solidFill>
                <a:srgbClr val="0C2188"/>
              </a:solidFill>
              <a:round/>
            </a:ln>
            <a:effectLst/>
          </c:spPr>
          <c:marker>
            <c:symbol val="none"/>
          </c:marker>
          <c:dLbls>
            <c:dLbl>
              <c:idx val="0"/>
              <c:layout>
                <c:manualLayout>
                  <c:x val="-3.2612830216587958E-2"/>
                  <c:y val="9.98336106489184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16C-6C46-A749-77F4A9EAC750}"/>
                </c:ext>
              </c:extLst>
            </c:dLbl>
            <c:dLbl>
              <c:idx val="1"/>
              <c:layout>
                <c:manualLayout>
                  <c:x val="-3.0478130675548363E-2"/>
                  <c:y val="9.42872989462007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16C-6C46-A749-77F4A9EAC750}"/>
                </c:ext>
              </c:extLst>
            </c:dLbl>
            <c:dLbl>
              <c:idx val="2"/>
              <c:layout>
                <c:manualLayout>
                  <c:x val="-3.6882229298667232E-2"/>
                  <c:y val="9.98336106489184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16C-6C46-A749-77F4A9EAC750}"/>
                </c:ext>
              </c:extLst>
            </c:dLbl>
            <c:dLbl>
              <c:idx val="3"/>
              <c:layout>
                <c:manualLayout>
                  <c:x val="-2.9880414804057273E-2"/>
                  <c:y val="8.87409872434830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16C-6C46-A749-77F4A9EAC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Sheet1!$G$49:$G$52</c:f>
              <c:numCache>
                <c:formatCode>General</c:formatCode>
                <c:ptCount val="4"/>
                <c:pt idx="0">
                  <c:v>2019</c:v>
                </c:pt>
                <c:pt idx="1">
                  <c:v>2018</c:v>
                </c:pt>
                <c:pt idx="2">
                  <c:v>2017</c:v>
                </c:pt>
                <c:pt idx="3">
                  <c:v>2016</c:v>
                </c:pt>
              </c:numCache>
            </c:numRef>
          </c:cat>
          <c:val>
            <c:numRef>
              <c:f>Sheet1!$H$49:$H$52</c:f>
              <c:numCache>
                <c:formatCode>0%</c:formatCode>
                <c:ptCount val="4"/>
                <c:pt idx="0">
                  <c:v>9.333755108340927E-2</c:v>
                </c:pt>
                <c:pt idx="1">
                  <c:v>0.18004931792351453</c:v>
                </c:pt>
                <c:pt idx="2">
                  <c:v>0.17257436757607342</c:v>
                </c:pt>
                <c:pt idx="3">
                  <c:v>0.11104184099268059</c:v>
                </c:pt>
              </c:numCache>
            </c:numRef>
          </c:val>
          <c:smooth val="0"/>
          <c:extLst>
            <c:ext xmlns:c16="http://schemas.microsoft.com/office/drawing/2014/chart" uri="{C3380CC4-5D6E-409C-BE32-E72D297353CC}">
              <c16:uniqueId val="{00000000-5E4E-F643-AC61-43AA6B532D70}"/>
            </c:ext>
          </c:extLst>
        </c:ser>
        <c:dLbls>
          <c:dLblPos val="ctr"/>
          <c:showLegendKey val="0"/>
          <c:showVal val="1"/>
          <c:showCatName val="0"/>
          <c:showSerName val="0"/>
          <c:showPercent val="0"/>
          <c:showBubbleSize val="0"/>
        </c:dLbls>
        <c:smooth val="0"/>
        <c:axId val="1667407311"/>
        <c:axId val="1658282367"/>
      </c:lineChart>
      <c:dateAx>
        <c:axId val="1667407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658282367"/>
        <c:crosses val="autoZero"/>
        <c:auto val="0"/>
        <c:lblOffset val="100"/>
        <c:baseTimeUnit val="days"/>
      </c:dateAx>
      <c:valAx>
        <c:axId val="165828236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407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894318054465989"/>
          <c:y val="3.4030140982012638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solidFill>
                <a:srgbClr val="0C2188"/>
              </a:solidFill>
              <a:latin typeface="+mj-lt"/>
              <a:ea typeface="+mj-ea"/>
              <a:cs typeface="Times New Roman" panose="02020603050405020304" pitchFamily="18" charset="0"/>
            </a:defRPr>
          </a:pPr>
          <a:endParaRPr lang="en-US"/>
        </a:p>
      </c:txPr>
    </c:title>
    <c:autoTitleDeleted val="0"/>
    <c:plotArea>
      <c:layout>
        <c:manualLayout>
          <c:layoutTarget val="inner"/>
          <c:xMode val="edge"/>
          <c:yMode val="edge"/>
          <c:x val="8.4717455818414944E-2"/>
          <c:y val="0.18997661145541056"/>
          <c:w val="0.88390288713910758"/>
          <c:h val="0.72094889180519106"/>
        </c:manualLayout>
      </c:layout>
      <c:lineChart>
        <c:grouping val="standard"/>
        <c:varyColors val="0"/>
        <c:ser>
          <c:idx val="0"/>
          <c:order val="0"/>
          <c:tx>
            <c:strRef>
              <c:f>Sheet1!$B$42</c:f>
              <c:strCache>
                <c:ptCount val="1"/>
                <c:pt idx="0">
                  <c:v>Quick Ratio</c:v>
                </c:pt>
              </c:strCache>
            </c:strRef>
          </c:tx>
          <c:spPr>
            <a:ln w="38100" cap="rnd">
              <a:solidFill>
                <a:schemeClr val="accent1"/>
              </a:solidFill>
              <a:round/>
            </a:ln>
            <a:effectLst/>
          </c:spPr>
          <c:marker>
            <c:symbol val="none"/>
          </c:marker>
          <c:dLbls>
            <c:dLbl>
              <c:idx val="0"/>
              <c:layout>
                <c:manualLayout>
                  <c:x val="-3.6927130718544747E-2"/>
                  <c:y val="3.40301409820126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4E-7046-B12B-89DB541FEA7D}"/>
                </c:ext>
              </c:extLst>
            </c:dLbl>
            <c:dLbl>
              <c:idx val="1"/>
              <c:layout>
                <c:manualLayout>
                  <c:x val="-3.6927130718544747E-2"/>
                  <c:y val="4.86144871171609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4E-7046-B12B-89DB541FEA7D}"/>
                </c:ext>
              </c:extLst>
            </c:dLbl>
            <c:dLbl>
              <c:idx val="2"/>
              <c:layout>
                <c:manualLayout>
                  <c:x val="-3.6927130718544747E-2"/>
                  <c:y val="5.34759358288769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4E-7046-B12B-89DB541FEA7D}"/>
                </c:ext>
              </c:extLst>
            </c:dLbl>
            <c:dLbl>
              <c:idx val="3"/>
              <c:layout>
                <c:manualLayout>
                  <c:x val="-3.2444333453051082E-2"/>
                  <c:y val="4.37530384054448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E4E-7046-B12B-89DB541FEA7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Sheet1!$A$43:$A$46</c:f>
              <c:numCache>
                <c:formatCode>General</c:formatCode>
                <c:ptCount val="4"/>
                <c:pt idx="0">
                  <c:v>2019</c:v>
                </c:pt>
                <c:pt idx="1">
                  <c:v>2018</c:v>
                </c:pt>
                <c:pt idx="2">
                  <c:v>2017</c:v>
                </c:pt>
                <c:pt idx="3">
                  <c:v>2016</c:v>
                </c:pt>
              </c:numCache>
            </c:numRef>
          </c:cat>
          <c:val>
            <c:numRef>
              <c:f>Sheet1!$B$43:$B$46</c:f>
              <c:numCache>
                <c:formatCode>0.00</c:formatCode>
                <c:ptCount val="4"/>
                <c:pt idx="0">
                  <c:v>2.4241469999638148</c:v>
                </c:pt>
                <c:pt idx="1">
                  <c:v>2.1092868410085419</c:v>
                </c:pt>
                <c:pt idx="2">
                  <c:v>1.8161354962493998</c:v>
                </c:pt>
                <c:pt idx="3">
                  <c:v>2.2498535255907259</c:v>
                </c:pt>
              </c:numCache>
            </c:numRef>
          </c:val>
          <c:smooth val="0"/>
          <c:extLst>
            <c:ext xmlns:c16="http://schemas.microsoft.com/office/drawing/2014/chart" uri="{C3380CC4-5D6E-409C-BE32-E72D297353CC}">
              <c16:uniqueId val="{00000000-781F-2A45-9AA1-B2185F1BBA54}"/>
            </c:ext>
          </c:extLst>
        </c:ser>
        <c:dLbls>
          <c:dLblPos val="ctr"/>
          <c:showLegendKey val="0"/>
          <c:showVal val="1"/>
          <c:showCatName val="0"/>
          <c:showSerName val="0"/>
          <c:showPercent val="0"/>
          <c:showBubbleSize val="0"/>
        </c:dLbls>
        <c:smooth val="0"/>
        <c:axId val="1662488783"/>
        <c:axId val="1662147759"/>
      </c:lineChart>
      <c:dateAx>
        <c:axId val="1662488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solidFill>
                <a:latin typeface="+mn-lt"/>
                <a:ea typeface="+mn-ea"/>
                <a:cs typeface="+mn-cs"/>
              </a:defRPr>
            </a:pPr>
            <a:endParaRPr lang="en-US"/>
          </a:p>
        </c:txPr>
        <c:crossAx val="1662147759"/>
        <c:crosses val="autoZero"/>
        <c:auto val="0"/>
        <c:lblOffset val="100"/>
        <c:baseTimeUnit val="days"/>
      </c:dateAx>
      <c:valAx>
        <c:axId val="166214775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62488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solidFill>
                  <a:srgbClr val="0C2188"/>
                </a:solidFill>
                <a:latin typeface="+mj-lt"/>
                <a:ea typeface="+mj-ea"/>
                <a:cs typeface="+mj-cs"/>
              </a:defRPr>
            </a:pPr>
            <a:r>
              <a:rPr lang="en-US" sz="1600">
                <a:solidFill>
                  <a:srgbClr val="0C2188"/>
                </a:solidFill>
                <a:latin typeface="+mj-lt"/>
                <a:cs typeface="Times New Roman" panose="02020603050405020304" pitchFamily="18" charset="0"/>
              </a:rPr>
              <a:t>Cash Ratio</a:t>
            </a:r>
          </a:p>
        </c:rich>
      </c:tx>
      <c:overlay val="0"/>
      <c:spPr>
        <a:noFill/>
        <a:ln>
          <a:noFill/>
        </a:ln>
        <a:effectLst/>
      </c:spPr>
      <c:txPr>
        <a:bodyPr rot="0" spcFirstLastPara="1" vertOverflow="ellipsis" vert="horz" wrap="square" anchor="ctr" anchorCtr="1"/>
        <a:lstStyle/>
        <a:p>
          <a:pPr>
            <a:defRPr sz="1600" b="0" i="0" u="none" strike="noStrike" kern="1200" cap="none" spc="0" normalizeH="0" baseline="0">
              <a:solidFill>
                <a:srgbClr val="0C2188"/>
              </a:solidFill>
              <a:latin typeface="+mj-lt"/>
              <a:ea typeface="+mj-ea"/>
              <a:cs typeface="+mj-cs"/>
            </a:defRPr>
          </a:pPr>
          <a:endParaRPr lang="en-US"/>
        </a:p>
      </c:txPr>
    </c:title>
    <c:autoTitleDeleted val="0"/>
    <c:plotArea>
      <c:layout/>
      <c:lineChart>
        <c:grouping val="standard"/>
        <c:varyColors val="0"/>
        <c:ser>
          <c:idx val="0"/>
          <c:order val="0"/>
          <c:tx>
            <c:strRef>
              <c:f>Sheet1!$E$36</c:f>
              <c:strCache>
                <c:ptCount val="1"/>
                <c:pt idx="0">
                  <c:v>Cash Ratio</c:v>
                </c:pt>
              </c:strCache>
            </c:strRef>
          </c:tx>
          <c:spPr>
            <a:ln w="38100" cap="rnd">
              <a:solidFill>
                <a:srgbClr val="0C2188"/>
              </a:solidFill>
              <a:round/>
            </a:ln>
            <a:effectLst/>
          </c:spPr>
          <c:marker>
            <c:symbol val="none"/>
          </c:marker>
          <c:dLbls>
            <c:dLbl>
              <c:idx val="0"/>
              <c:layout>
                <c:manualLayout>
                  <c:x val="-3.5865983172044716E-2"/>
                  <c:y val="5.33049040511727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008-5142-9E70-F7B3F75CCA94}"/>
                </c:ext>
              </c:extLst>
            </c:dLbl>
            <c:dLbl>
              <c:idx val="1"/>
              <c:layout>
                <c:manualLayout>
                  <c:x val="-3.5865983172044716E-2"/>
                  <c:y val="5.33049040511727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008-5142-9E70-F7B3F75CCA94}"/>
                </c:ext>
              </c:extLst>
            </c:dLbl>
            <c:dLbl>
              <c:idx val="2"/>
              <c:layout>
                <c:manualLayout>
                  <c:x val="-3.5865983172044792E-2"/>
                  <c:y val="6.39658848614072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008-5142-9E70-F7B3F75CCA94}"/>
                </c:ext>
              </c:extLst>
            </c:dLbl>
            <c:dLbl>
              <c:idx val="3"/>
              <c:layout>
                <c:manualLayout>
                  <c:x val="-3.5865983172044716E-2"/>
                  <c:y val="5.86353944562899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008-5142-9E70-F7B3F75CCA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Sheet1!$D$37:$D$40</c:f>
              <c:numCache>
                <c:formatCode>General</c:formatCode>
                <c:ptCount val="4"/>
                <c:pt idx="0">
                  <c:v>2019</c:v>
                </c:pt>
                <c:pt idx="1">
                  <c:v>2018</c:v>
                </c:pt>
                <c:pt idx="2">
                  <c:v>2017</c:v>
                </c:pt>
                <c:pt idx="3">
                  <c:v>2016</c:v>
                </c:pt>
              </c:numCache>
            </c:numRef>
          </c:cat>
          <c:val>
            <c:numRef>
              <c:f>Sheet1!$E$37:$E$40</c:f>
              <c:numCache>
                <c:formatCode>0.00</c:formatCode>
                <c:ptCount val="4"/>
                <c:pt idx="0">
                  <c:v>1.7054717635002459</c:v>
                </c:pt>
                <c:pt idx="1">
                  <c:v>1.4611716362308815</c:v>
                </c:pt>
                <c:pt idx="2">
                  <c:v>1.2383187172559171</c:v>
                </c:pt>
                <c:pt idx="3">
                  <c:v>1.6119874206857823</c:v>
                </c:pt>
              </c:numCache>
            </c:numRef>
          </c:val>
          <c:smooth val="0"/>
          <c:extLst>
            <c:ext xmlns:c16="http://schemas.microsoft.com/office/drawing/2014/chart" uri="{C3380CC4-5D6E-409C-BE32-E72D297353CC}">
              <c16:uniqueId val="{00000000-412B-F945-844D-6270C50B25A9}"/>
            </c:ext>
          </c:extLst>
        </c:ser>
        <c:dLbls>
          <c:dLblPos val="ctr"/>
          <c:showLegendKey val="0"/>
          <c:showVal val="1"/>
          <c:showCatName val="0"/>
          <c:showSerName val="0"/>
          <c:showPercent val="0"/>
          <c:showBubbleSize val="0"/>
        </c:dLbls>
        <c:smooth val="0"/>
        <c:axId val="1661114063"/>
        <c:axId val="1618917567"/>
      </c:lineChart>
      <c:dateAx>
        <c:axId val="166111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618917567"/>
        <c:crosses val="autoZero"/>
        <c:auto val="0"/>
        <c:lblOffset val="100"/>
        <c:baseTimeUnit val="days"/>
      </c:dateAx>
      <c:valAx>
        <c:axId val="161891756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11140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rgbClr val="0C2188"/>
                </a:solidFill>
                <a:latin typeface="+mj-lt"/>
                <a:ea typeface="+mj-ea"/>
                <a:cs typeface="+mj-cs"/>
              </a:defRPr>
            </a:pPr>
            <a:r>
              <a:rPr lang="en-US" sz="1600">
                <a:solidFill>
                  <a:srgbClr val="0C2188"/>
                </a:solidFill>
              </a:rPr>
              <a:t>Inventory Turnover</a:t>
            </a:r>
          </a:p>
        </c:rich>
      </c:tx>
      <c:layout>
        <c:manualLayout>
          <c:xMode val="edge"/>
          <c:yMode val="edge"/>
          <c:x val="0.35482765564577506"/>
          <c:y val="4.0160642570281124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rgbClr val="0C2188"/>
              </a:solidFill>
              <a:latin typeface="+mj-lt"/>
              <a:ea typeface="+mj-ea"/>
              <a:cs typeface="+mj-cs"/>
            </a:defRPr>
          </a:pPr>
          <a:endParaRPr lang="en-US"/>
        </a:p>
      </c:txPr>
    </c:title>
    <c:autoTitleDeleted val="0"/>
    <c:plotArea>
      <c:layout>
        <c:manualLayout>
          <c:layoutTarget val="inner"/>
          <c:xMode val="edge"/>
          <c:yMode val="edge"/>
          <c:x val="6.1108731818315165E-2"/>
          <c:y val="0.2033132530120482"/>
          <c:w val="0.9112169733440052"/>
          <c:h val="0.71229089586693228"/>
        </c:manualLayout>
      </c:layout>
      <c:lineChart>
        <c:grouping val="standard"/>
        <c:varyColors val="0"/>
        <c:ser>
          <c:idx val="0"/>
          <c:order val="0"/>
          <c:tx>
            <c:strRef>
              <c:f>Sheet1!$E$42</c:f>
              <c:strCache>
                <c:ptCount val="1"/>
                <c:pt idx="0">
                  <c:v>Inventory Turnover</c:v>
                </c:pt>
              </c:strCache>
            </c:strRef>
          </c:tx>
          <c:spPr>
            <a:ln w="38100" cap="rnd">
              <a:solidFill>
                <a:srgbClr val="0C2188"/>
              </a:solidFill>
              <a:round/>
            </a:ln>
            <a:effectLst/>
          </c:spPr>
          <c:marker>
            <c:symbol val="none"/>
          </c:marker>
          <c:dLbls>
            <c:dLbl>
              <c:idx val="0"/>
              <c:layout>
                <c:manualLayout>
                  <c:x val="-3.353931376263275E-2"/>
                  <c:y val="7.530120481927711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102-DE44-8CFA-606A40DC5502}"/>
                </c:ext>
              </c:extLst>
            </c:dLbl>
            <c:dLbl>
              <c:idx val="1"/>
              <c:layout>
                <c:manualLayout>
                  <c:x val="-3.5706630624357909E-2"/>
                  <c:y val="4.51807228915662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102-DE44-8CFA-606A40DC5502}"/>
                </c:ext>
              </c:extLst>
            </c:dLbl>
            <c:dLbl>
              <c:idx val="2"/>
              <c:layout>
                <c:manualLayout>
                  <c:x val="-3.3539313762632805E-2"/>
                  <c:y val="6.02409638554216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102-DE44-8CFA-606A40DC5502}"/>
                </c:ext>
              </c:extLst>
            </c:dLbl>
            <c:dLbl>
              <c:idx val="3"/>
              <c:layout>
                <c:manualLayout>
                  <c:x val="-3.5706630624358068E-2"/>
                  <c:y val="4.51807228915662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102-DE44-8CFA-606A40DC550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Sheet1!$D$43:$D$46</c:f>
              <c:numCache>
                <c:formatCode>General</c:formatCode>
                <c:ptCount val="4"/>
                <c:pt idx="0">
                  <c:v>2019</c:v>
                </c:pt>
                <c:pt idx="1">
                  <c:v>2018</c:v>
                </c:pt>
                <c:pt idx="2">
                  <c:v>2017</c:v>
                </c:pt>
                <c:pt idx="3">
                  <c:v>2016</c:v>
                </c:pt>
              </c:numCache>
            </c:numRef>
          </c:cat>
          <c:val>
            <c:numRef>
              <c:f>Sheet1!$E$43:$E$46</c:f>
              <c:numCache>
                <c:formatCode>0.00</c:formatCode>
                <c:ptCount val="4"/>
                <c:pt idx="0">
                  <c:v>5.500896532317455</c:v>
                </c:pt>
                <c:pt idx="1">
                  <c:v>4.5677337605379718</c:v>
                </c:pt>
                <c:pt idx="2">
                  <c:v>5.1750720029395572</c:v>
                </c:pt>
                <c:pt idx="3">
                  <c:v>6.5533928318752013</c:v>
                </c:pt>
              </c:numCache>
            </c:numRef>
          </c:val>
          <c:smooth val="0"/>
          <c:extLst>
            <c:ext xmlns:c16="http://schemas.microsoft.com/office/drawing/2014/chart" uri="{C3380CC4-5D6E-409C-BE32-E72D297353CC}">
              <c16:uniqueId val="{00000000-40C2-3D46-BFA3-D0562E9A5F10}"/>
            </c:ext>
          </c:extLst>
        </c:ser>
        <c:dLbls>
          <c:dLblPos val="ctr"/>
          <c:showLegendKey val="0"/>
          <c:showVal val="1"/>
          <c:showCatName val="0"/>
          <c:showSerName val="0"/>
          <c:showPercent val="0"/>
          <c:showBubbleSize val="0"/>
        </c:dLbls>
        <c:smooth val="0"/>
        <c:axId val="1662835855"/>
        <c:axId val="1657991231"/>
      </c:lineChart>
      <c:dateAx>
        <c:axId val="1662835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solidFill>
                <a:latin typeface="+mn-lt"/>
                <a:ea typeface="+mn-ea"/>
                <a:cs typeface="+mn-cs"/>
              </a:defRPr>
            </a:pPr>
            <a:endParaRPr lang="en-US"/>
          </a:p>
        </c:txPr>
        <c:crossAx val="1657991231"/>
        <c:crosses val="autoZero"/>
        <c:auto val="0"/>
        <c:lblOffset val="100"/>
        <c:baseTimeUnit val="days"/>
      </c:dateAx>
      <c:valAx>
        <c:axId val="16579912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628358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rgbClr val="0C2188"/>
                </a:solidFill>
                <a:latin typeface="+mj-lt"/>
                <a:ea typeface="+mj-ea"/>
                <a:cs typeface="+mj-cs"/>
              </a:defRPr>
            </a:pPr>
            <a:r>
              <a:rPr lang="en-US" sz="1600">
                <a:solidFill>
                  <a:srgbClr val="0C2188"/>
                </a:solidFill>
              </a:rPr>
              <a:t>Receivable Turnover</a:t>
            </a:r>
          </a:p>
        </c:rich>
      </c:tx>
      <c:layout>
        <c:manualLayout>
          <c:xMode val="edge"/>
          <c:yMode val="edge"/>
          <c:x val="0.36037598681179156"/>
          <c:y val="3.6269430051813469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rgbClr val="0C2188"/>
              </a:solidFill>
              <a:latin typeface="+mj-lt"/>
              <a:ea typeface="+mj-ea"/>
              <a:cs typeface="+mj-cs"/>
            </a:defRPr>
          </a:pPr>
          <a:endParaRPr lang="en-US"/>
        </a:p>
      </c:txPr>
    </c:title>
    <c:autoTitleDeleted val="0"/>
    <c:plotArea>
      <c:layout/>
      <c:lineChart>
        <c:grouping val="standard"/>
        <c:varyColors val="0"/>
        <c:ser>
          <c:idx val="0"/>
          <c:order val="0"/>
          <c:tx>
            <c:strRef>
              <c:f>Sheet1!$H$36</c:f>
              <c:strCache>
                <c:ptCount val="1"/>
                <c:pt idx="0">
                  <c:v>Receivable Turnover</c:v>
                </c:pt>
              </c:strCache>
            </c:strRef>
          </c:tx>
          <c:spPr>
            <a:ln w="38100" cap="rnd">
              <a:solidFill>
                <a:srgbClr val="0C2188"/>
              </a:solidFill>
              <a:round/>
            </a:ln>
            <a:effectLst/>
          </c:spPr>
          <c:marker>
            <c:symbol val="none"/>
          </c:marker>
          <c:dLbls>
            <c:dLbl>
              <c:idx val="0"/>
              <c:layout>
                <c:manualLayout>
                  <c:x val="-3.5706630624357909E-2"/>
                  <c:y val="4.66321243523316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940-9A4E-9484-F2FE1533C159}"/>
                </c:ext>
              </c:extLst>
            </c:dLbl>
            <c:dLbl>
              <c:idx val="1"/>
              <c:layout>
                <c:manualLayout>
                  <c:x val="-3.5706630624357992E-2"/>
                  <c:y val="6.21761658031087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40-9A4E-9484-F2FE1533C159}"/>
                </c:ext>
              </c:extLst>
            </c:dLbl>
            <c:dLbl>
              <c:idx val="2"/>
              <c:layout>
                <c:manualLayout>
                  <c:x val="-3.5706630624357992E-2"/>
                  <c:y val="5.18134715025906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40-9A4E-9484-F2FE1533C159}"/>
                </c:ext>
              </c:extLst>
            </c:dLbl>
            <c:dLbl>
              <c:idx val="3"/>
              <c:layout>
                <c:manualLayout>
                  <c:x val="-3.5706630624357909E-2"/>
                  <c:y val="5.69948186528497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940-9A4E-9484-F2FE1533C15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Sheet1!$G$37:$G$40</c:f>
              <c:numCache>
                <c:formatCode>General</c:formatCode>
                <c:ptCount val="4"/>
                <c:pt idx="0">
                  <c:v>2019</c:v>
                </c:pt>
                <c:pt idx="1">
                  <c:v>2018</c:v>
                </c:pt>
                <c:pt idx="2">
                  <c:v>2017</c:v>
                </c:pt>
                <c:pt idx="3">
                  <c:v>2016</c:v>
                </c:pt>
              </c:numCache>
            </c:numRef>
          </c:cat>
          <c:val>
            <c:numRef>
              <c:f>Sheet1!$H$37:$H$40</c:f>
              <c:numCache>
                <c:formatCode>0.00</c:formatCode>
                <c:ptCount val="4"/>
                <c:pt idx="0">
                  <c:v>6.5582713703828519</c:v>
                </c:pt>
                <c:pt idx="1">
                  <c:v>7.1977482224747664</c:v>
                </c:pt>
                <c:pt idx="2">
                  <c:v>8.6501812265636246</c:v>
                </c:pt>
                <c:pt idx="3">
                  <c:v>8.3143865342246919</c:v>
                </c:pt>
              </c:numCache>
            </c:numRef>
          </c:val>
          <c:smooth val="0"/>
          <c:extLst>
            <c:ext xmlns:c16="http://schemas.microsoft.com/office/drawing/2014/chart" uri="{C3380CC4-5D6E-409C-BE32-E72D297353CC}">
              <c16:uniqueId val="{00000000-5752-C443-89EB-C963CC34DA91}"/>
            </c:ext>
          </c:extLst>
        </c:ser>
        <c:dLbls>
          <c:dLblPos val="ctr"/>
          <c:showLegendKey val="0"/>
          <c:showVal val="1"/>
          <c:showCatName val="0"/>
          <c:showSerName val="0"/>
          <c:showPercent val="0"/>
          <c:showBubbleSize val="0"/>
        </c:dLbls>
        <c:smooth val="0"/>
        <c:axId val="1614067343"/>
        <c:axId val="1662588687"/>
      </c:lineChart>
      <c:dateAx>
        <c:axId val="161406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662588687"/>
        <c:crosses val="autoZero"/>
        <c:auto val="0"/>
        <c:lblOffset val="100"/>
        <c:baseTimeUnit val="days"/>
      </c:dateAx>
      <c:valAx>
        <c:axId val="166258868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0673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solidFill>
                  <a:srgbClr val="0C2188"/>
                </a:solidFill>
                <a:latin typeface="+mj-lt"/>
                <a:ea typeface="+mj-ea"/>
                <a:cs typeface="+mj-cs"/>
              </a:defRPr>
            </a:pPr>
            <a:r>
              <a:rPr lang="en-US" sz="1600">
                <a:solidFill>
                  <a:srgbClr val="0C2188"/>
                </a:solidFill>
              </a:rPr>
              <a:t>Total Asset Turnover</a:t>
            </a:r>
          </a:p>
        </c:rich>
      </c:tx>
      <c:layout>
        <c:manualLayout>
          <c:xMode val="edge"/>
          <c:yMode val="edge"/>
          <c:x val="0.37196694767653621"/>
          <c:y val="2.9296875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solidFill>
                <a:srgbClr val="0C2188"/>
              </a:solidFill>
              <a:latin typeface="+mj-lt"/>
              <a:ea typeface="+mj-ea"/>
              <a:cs typeface="+mj-cs"/>
            </a:defRPr>
          </a:pPr>
          <a:endParaRPr lang="en-US"/>
        </a:p>
      </c:txPr>
    </c:title>
    <c:autoTitleDeleted val="0"/>
    <c:plotArea>
      <c:layout>
        <c:manualLayout>
          <c:layoutTarget val="inner"/>
          <c:xMode val="edge"/>
          <c:yMode val="edge"/>
          <c:x val="0.11609718710286006"/>
          <c:y val="0.14676122215492296"/>
          <c:w val="0.88390288713910758"/>
          <c:h val="0.72094889180519106"/>
        </c:manualLayout>
      </c:layout>
      <c:lineChart>
        <c:grouping val="standard"/>
        <c:varyColors val="0"/>
        <c:ser>
          <c:idx val="0"/>
          <c:order val="0"/>
          <c:tx>
            <c:strRef>
              <c:f>Sheet1!$H$42</c:f>
              <c:strCache>
                <c:ptCount val="1"/>
                <c:pt idx="0">
                  <c:v>Total Asset Turnover</c:v>
                </c:pt>
              </c:strCache>
            </c:strRef>
          </c:tx>
          <c:spPr>
            <a:ln w="38100" cap="rnd">
              <a:solidFill>
                <a:srgbClr val="0C2188"/>
              </a:solidFill>
              <a:round/>
            </a:ln>
            <a:effectLst/>
          </c:spPr>
          <c:marker>
            <c:symbol val="none"/>
          </c:marker>
          <c:dLbls>
            <c:dLbl>
              <c:idx val="0"/>
              <c:layout>
                <c:manualLayout>
                  <c:x val="-3.4640536942974642E-2"/>
                  <c:y val="5.85937499999999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8B9-2D4F-86BA-1EB87DDE941F}"/>
                </c:ext>
              </c:extLst>
            </c:dLbl>
            <c:dLbl>
              <c:idx val="1"/>
              <c:layout>
                <c:manualLayout>
                  <c:x val="-3.2537929710005763E-2"/>
                  <c:y val="5.37109374999999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8B9-2D4F-86BA-1EB87DDE941F}"/>
                </c:ext>
              </c:extLst>
            </c:dLbl>
            <c:dLbl>
              <c:idx val="2"/>
              <c:layout>
                <c:manualLayout>
                  <c:x val="-3.2537929710005763E-2"/>
                  <c:y val="5.8593749999999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8B9-2D4F-86BA-1EB87DDE941F}"/>
                </c:ext>
              </c:extLst>
            </c:dLbl>
            <c:dLbl>
              <c:idx val="3"/>
              <c:layout>
                <c:manualLayout>
                  <c:x val="-3.2537929710005763E-2"/>
                  <c:y val="7.32421874999999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8B9-2D4F-86BA-1EB87DDE941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Sheet1!$G$43:$G$46</c:f>
              <c:numCache>
                <c:formatCode>General</c:formatCode>
                <c:ptCount val="4"/>
                <c:pt idx="0">
                  <c:v>2019</c:v>
                </c:pt>
                <c:pt idx="1">
                  <c:v>2018</c:v>
                </c:pt>
                <c:pt idx="2">
                  <c:v>2017</c:v>
                </c:pt>
                <c:pt idx="3">
                  <c:v>2016</c:v>
                </c:pt>
              </c:numCache>
            </c:numRef>
          </c:cat>
          <c:val>
            <c:numRef>
              <c:f>Sheet1!$H$43:$H$46</c:f>
              <c:numCache>
                <c:formatCode>0.00</c:formatCode>
                <c:ptCount val="4"/>
                <c:pt idx="0">
                  <c:v>0.65349994954256552</c:v>
                </c:pt>
                <c:pt idx="1">
                  <c:v>0.71833272844471829</c:v>
                </c:pt>
                <c:pt idx="2">
                  <c:v>0.79394769394969222</c:v>
                </c:pt>
                <c:pt idx="3">
                  <c:v>0.76997145227692088</c:v>
                </c:pt>
              </c:numCache>
            </c:numRef>
          </c:val>
          <c:smooth val="0"/>
          <c:extLst>
            <c:ext xmlns:c16="http://schemas.microsoft.com/office/drawing/2014/chart" uri="{C3380CC4-5D6E-409C-BE32-E72D297353CC}">
              <c16:uniqueId val="{00000000-BBB4-1843-93CD-FA09DAF55B56}"/>
            </c:ext>
          </c:extLst>
        </c:ser>
        <c:dLbls>
          <c:dLblPos val="ctr"/>
          <c:showLegendKey val="0"/>
          <c:showVal val="1"/>
          <c:showCatName val="0"/>
          <c:showSerName val="0"/>
          <c:showPercent val="0"/>
          <c:showBubbleSize val="0"/>
        </c:dLbls>
        <c:smooth val="0"/>
        <c:axId val="1664489039"/>
        <c:axId val="1664841919"/>
      </c:lineChart>
      <c:dateAx>
        <c:axId val="1664489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solidFill>
                <a:latin typeface="+mn-lt"/>
                <a:ea typeface="+mn-ea"/>
                <a:cs typeface="+mn-cs"/>
              </a:defRPr>
            </a:pPr>
            <a:endParaRPr lang="en-US"/>
          </a:p>
        </c:txPr>
        <c:crossAx val="1664841919"/>
        <c:crosses val="autoZero"/>
        <c:auto val="0"/>
        <c:lblOffset val="100"/>
        <c:baseTimeUnit val="days"/>
      </c:dateAx>
      <c:valAx>
        <c:axId val="16648419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6448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cap="none" spc="0" normalizeH="0" baseline="0">
              <a:solidFill>
                <a:srgbClr val="0C2188"/>
              </a:solidFill>
              <a:latin typeface="+mj-lt"/>
              <a:ea typeface="+mj-ea"/>
              <a:cs typeface="+mj-cs"/>
            </a:defRPr>
          </a:pPr>
          <a:endParaRPr lang="en-US"/>
        </a:p>
      </c:txPr>
    </c:title>
    <c:autoTitleDeleted val="0"/>
    <c:plotArea>
      <c:layout>
        <c:manualLayout>
          <c:layoutTarget val="inner"/>
          <c:xMode val="edge"/>
          <c:yMode val="edge"/>
          <c:x val="6.6838398129921248E-2"/>
          <c:y val="0.20531414337115972"/>
          <c:w val="0.909290074092301"/>
          <c:h val="0.6662703143286165"/>
        </c:manualLayout>
      </c:layout>
      <c:lineChart>
        <c:grouping val="standard"/>
        <c:varyColors val="0"/>
        <c:ser>
          <c:idx val="0"/>
          <c:order val="0"/>
          <c:tx>
            <c:strRef>
              <c:f>Sheet1!$K$36</c:f>
              <c:strCache>
                <c:ptCount val="1"/>
                <c:pt idx="0">
                  <c:v>Debt ratio</c:v>
                </c:pt>
              </c:strCache>
            </c:strRef>
          </c:tx>
          <c:spPr>
            <a:ln w="38100" cap="rnd">
              <a:solidFill>
                <a:srgbClr val="0C2188"/>
              </a:solidFill>
              <a:round/>
            </a:ln>
            <a:effectLst/>
          </c:spPr>
          <c:marker>
            <c:symbol val="none"/>
          </c:marker>
          <c:dLbls>
            <c:dLbl>
              <c:idx val="0"/>
              <c:layout>
                <c:manualLayout>
                  <c:x val="-2.8776677622709405E-2"/>
                  <c:y val="5.53556601162468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B32-6140-B388-E861F94D2ABC}"/>
                </c:ext>
              </c:extLst>
            </c:dLbl>
            <c:dLbl>
              <c:idx val="1"/>
              <c:layout>
                <c:manualLayout>
                  <c:x val="-3.5278628207884938E-2"/>
                  <c:y val="6.08912261278715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32-6140-B388-E861F94D2ABC}"/>
                </c:ext>
              </c:extLst>
            </c:dLbl>
            <c:dLbl>
              <c:idx val="2"/>
              <c:layout>
                <c:manualLayout>
                  <c:x val="-3.5278628207885014E-2"/>
                  <c:y val="8.30334901743703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B32-6140-B388-E861F94D2ABC}"/>
                </c:ext>
              </c:extLst>
            </c:dLbl>
            <c:dLbl>
              <c:idx val="3"/>
              <c:layout>
                <c:manualLayout>
                  <c:x val="-2.8776677622709385E-2"/>
                  <c:y val="7.74979241627456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B32-6140-B388-E861F94D2A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Sheet1!$J$37:$J$40</c:f>
              <c:numCache>
                <c:formatCode>General</c:formatCode>
                <c:ptCount val="4"/>
                <c:pt idx="0">
                  <c:v>2019</c:v>
                </c:pt>
                <c:pt idx="1">
                  <c:v>2018</c:v>
                </c:pt>
                <c:pt idx="2">
                  <c:v>2017</c:v>
                </c:pt>
                <c:pt idx="3">
                  <c:v>2016</c:v>
                </c:pt>
              </c:numCache>
            </c:numRef>
          </c:cat>
          <c:val>
            <c:numRef>
              <c:f>Sheet1!$K$37:$K$40</c:f>
              <c:numCache>
                <c:formatCode>0%</c:formatCode>
                <c:ptCount val="4"/>
                <c:pt idx="0">
                  <c:v>0.25437636734024299</c:v>
                </c:pt>
                <c:pt idx="1">
                  <c:v>0.26993402563111341</c:v>
                </c:pt>
                <c:pt idx="2">
                  <c:v>0.28917997552229052</c:v>
                </c:pt>
                <c:pt idx="3">
                  <c:v>0.26398958503655756</c:v>
                </c:pt>
              </c:numCache>
            </c:numRef>
          </c:val>
          <c:smooth val="0"/>
          <c:extLst>
            <c:ext xmlns:c16="http://schemas.microsoft.com/office/drawing/2014/chart" uri="{C3380CC4-5D6E-409C-BE32-E72D297353CC}">
              <c16:uniqueId val="{00000000-6D92-4349-ABE4-695558A7EE02}"/>
            </c:ext>
          </c:extLst>
        </c:ser>
        <c:dLbls>
          <c:dLblPos val="ctr"/>
          <c:showLegendKey val="0"/>
          <c:showVal val="1"/>
          <c:showCatName val="0"/>
          <c:showSerName val="0"/>
          <c:showPercent val="0"/>
          <c:showBubbleSize val="0"/>
        </c:dLbls>
        <c:smooth val="0"/>
        <c:axId val="1665394623"/>
        <c:axId val="1665391071"/>
      </c:lineChart>
      <c:dateAx>
        <c:axId val="1665394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665391071"/>
        <c:crosses val="autoZero"/>
        <c:auto val="0"/>
        <c:lblOffset val="100"/>
        <c:baseTimeUnit val="days"/>
      </c:dateAx>
      <c:valAx>
        <c:axId val="16653910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3946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53754854120515"/>
          <c:y val="3.3613445378151259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solidFill>
                <a:srgbClr val="0C2188"/>
              </a:solidFill>
              <a:latin typeface="+mj-lt"/>
              <a:ea typeface="+mj-ea"/>
              <a:cs typeface="+mj-cs"/>
            </a:defRPr>
          </a:pPr>
          <a:endParaRPr lang="en-US"/>
        </a:p>
      </c:txPr>
    </c:title>
    <c:autoTitleDeleted val="0"/>
    <c:plotArea>
      <c:layout>
        <c:manualLayout>
          <c:layoutTarget val="inner"/>
          <c:xMode val="edge"/>
          <c:yMode val="edge"/>
          <c:x val="0.11392986452121168"/>
          <c:y val="0.234375"/>
          <c:w val="0.82593535061616519"/>
          <c:h val="0.66833533829104697"/>
        </c:manualLayout>
      </c:layout>
      <c:lineChart>
        <c:grouping val="standard"/>
        <c:varyColors val="0"/>
        <c:ser>
          <c:idx val="0"/>
          <c:order val="0"/>
          <c:tx>
            <c:strRef>
              <c:f>Sheet1!$K$42</c:f>
              <c:strCache>
                <c:ptCount val="1"/>
                <c:pt idx="0">
                  <c:v>Times Interest Earned Ratio</c:v>
                </c:pt>
              </c:strCache>
            </c:strRef>
          </c:tx>
          <c:spPr>
            <a:ln w="38100" cap="rnd">
              <a:solidFill>
                <a:srgbClr val="0C2188"/>
              </a:solidFill>
              <a:round/>
            </a:ln>
            <a:effectLst/>
          </c:spPr>
          <c:marker>
            <c:symbol val="none"/>
          </c:marker>
          <c:dLbls>
            <c:dLbl>
              <c:idx val="0"/>
              <c:layout>
                <c:manualLayout>
                  <c:x val="-4.0294423396882065E-2"/>
                  <c:y val="5.28211284513805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CBE-E540-940D-44564030D793}"/>
                </c:ext>
              </c:extLst>
            </c:dLbl>
            <c:dLbl>
              <c:idx val="1"/>
              <c:layout>
                <c:manualLayout>
                  <c:x val="-3.5997506434802318E-2"/>
                  <c:y val="4.80192076830731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CBE-E540-940D-44564030D793}"/>
                </c:ext>
              </c:extLst>
            </c:dLbl>
            <c:dLbl>
              <c:idx val="2"/>
              <c:layout>
                <c:manualLayout>
                  <c:x val="-4.4591340358961812E-2"/>
                  <c:y val="7.683073229291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CBE-E540-940D-44564030D793}"/>
                </c:ext>
              </c:extLst>
            </c:dLbl>
            <c:dLbl>
              <c:idx val="3"/>
              <c:layout>
                <c:manualLayout>
                  <c:x val="-5.1036715802081453E-2"/>
                  <c:y val="8.16326530612244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CBE-E540-940D-44564030D7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Sheet1!$J$43:$J$46</c:f>
              <c:numCache>
                <c:formatCode>General</c:formatCode>
                <c:ptCount val="4"/>
                <c:pt idx="0">
                  <c:v>2019</c:v>
                </c:pt>
                <c:pt idx="1">
                  <c:v>2018</c:v>
                </c:pt>
                <c:pt idx="2">
                  <c:v>2017</c:v>
                </c:pt>
                <c:pt idx="3">
                  <c:v>2016</c:v>
                </c:pt>
              </c:numCache>
            </c:numRef>
          </c:cat>
          <c:val>
            <c:numRef>
              <c:f>Sheet1!$K$43:$K$46</c:f>
              <c:numCache>
                <c:formatCode>0.00</c:formatCode>
                <c:ptCount val="4"/>
                <c:pt idx="0">
                  <c:v>40.457880458537552</c:v>
                </c:pt>
                <c:pt idx="1">
                  <c:v>87.289038076419658</c:v>
                </c:pt>
                <c:pt idx="2">
                  <c:v>81.850586357685813</c:v>
                </c:pt>
                <c:pt idx="3">
                  <c:v>49.74333099139038</c:v>
                </c:pt>
              </c:numCache>
            </c:numRef>
          </c:val>
          <c:smooth val="0"/>
          <c:extLst>
            <c:ext xmlns:c16="http://schemas.microsoft.com/office/drawing/2014/chart" uri="{C3380CC4-5D6E-409C-BE32-E72D297353CC}">
              <c16:uniqueId val="{00000000-8EE3-5446-9B3A-DD18337A3AB0}"/>
            </c:ext>
          </c:extLst>
        </c:ser>
        <c:dLbls>
          <c:dLblPos val="ctr"/>
          <c:showLegendKey val="0"/>
          <c:showVal val="1"/>
          <c:showCatName val="0"/>
          <c:showSerName val="0"/>
          <c:showPercent val="0"/>
          <c:showBubbleSize val="0"/>
        </c:dLbls>
        <c:smooth val="0"/>
        <c:axId val="1654867471"/>
        <c:axId val="1618840719"/>
      </c:lineChart>
      <c:dateAx>
        <c:axId val="165486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618840719"/>
        <c:crosses val="autoZero"/>
        <c:auto val="0"/>
        <c:lblOffset val="100"/>
        <c:baseTimeUnit val="days"/>
      </c:dateAx>
      <c:valAx>
        <c:axId val="16188407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86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7339537603959805"/>
          <c:y val="3.9292006579771381E-2"/>
        </c:manualLayout>
      </c:layout>
      <c:overlay val="0"/>
      <c:spPr>
        <a:noFill/>
        <a:ln>
          <a:noFill/>
        </a:ln>
        <a:effectLst/>
      </c:spPr>
      <c:txPr>
        <a:bodyPr rot="0" spcFirstLastPara="1" vertOverflow="ellipsis" vert="horz" wrap="square" anchor="ctr" anchorCtr="1"/>
        <a:lstStyle/>
        <a:p>
          <a:pPr>
            <a:defRPr sz="1800" b="0" i="0" u="none" strike="noStrike" kern="1200" cap="none" spc="0" normalizeH="0" baseline="0">
              <a:solidFill>
                <a:srgbClr val="0C2188"/>
              </a:solidFill>
              <a:latin typeface="+mj-lt"/>
              <a:ea typeface="+mj-ea"/>
              <a:cs typeface="+mj-cs"/>
            </a:defRPr>
          </a:pPr>
          <a:endParaRPr lang="en-US"/>
        </a:p>
      </c:txPr>
    </c:title>
    <c:autoTitleDeleted val="0"/>
    <c:plotArea>
      <c:layout/>
      <c:lineChart>
        <c:grouping val="standard"/>
        <c:varyColors val="0"/>
        <c:ser>
          <c:idx val="0"/>
          <c:order val="0"/>
          <c:tx>
            <c:strRef>
              <c:f>Sheet1!$B$48</c:f>
              <c:strCache>
                <c:ptCount val="1"/>
                <c:pt idx="0">
                  <c:v>Return on Equity</c:v>
                </c:pt>
              </c:strCache>
            </c:strRef>
          </c:tx>
          <c:spPr>
            <a:ln w="38100" cap="rnd">
              <a:solidFill>
                <a:srgbClr val="0C2188"/>
              </a:solidFill>
              <a:round/>
            </a:ln>
            <a:effectLst/>
          </c:spPr>
          <c:marker>
            <c:symbol val="none"/>
          </c:marker>
          <c:dLbls>
            <c:dLbl>
              <c:idx val="0"/>
              <c:layout>
                <c:manualLayout>
                  <c:x val="-3.4153502004024568E-2"/>
                  <c:y val="3.71155885471898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ADA-124C-9D92-A8714B871EE2}"/>
                </c:ext>
              </c:extLst>
            </c:dLbl>
            <c:dLbl>
              <c:idx val="1"/>
              <c:layout>
                <c:manualLayout>
                  <c:x val="-2.9957110900373712E-2"/>
                  <c:y val="5.302226935312831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ADA-124C-9D92-A8714B871EE2}"/>
                </c:ext>
              </c:extLst>
            </c:dLbl>
            <c:dLbl>
              <c:idx val="2"/>
              <c:layout>
                <c:manualLayout>
                  <c:x val="-3.834989310767551E-2"/>
                  <c:y val="5.302226935312831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ADA-124C-9D92-A8714B871EE2}"/>
                </c:ext>
              </c:extLst>
            </c:dLbl>
            <c:dLbl>
              <c:idx val="3"/>
              <c:layout>
                <c:manualLayout>
                  <c:x val="-3.3566007249513606E-2"/>
                  <c:y val="5.83244962884411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ADA-124C-9D92-A8714B871E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Sheet1!$A$49:$A$52</c:f>
              <c:numCache>
                <c:formatCode>General</c:formatCode>
                <c:ptCount val="4"/>
                <c:pt idx="0">
                  <c:v>2019</c:v>
                </c:pt>
                <c:pt idx="1">
                  <c:v>2018</c:v>
                </c:pt>
                <c:pt idx="2">
                  <c:v>2017</c:v>
                </c:pt>
                <c:pt idx="3">
                  <c:v>2016</c:v>
                </c:pt>
              </c:numCache>
            </c:numRef>
          </c:cat>
          <c:val>
            <c:numRef>
              <c:f>Sheet1!$B$49:$B$52</c:f>
              <c:numCache>
                <c:formatCode>0%</c:formatCode>
                <c:ptCount val="4"/>
                <c:pt idx="0">
                  <c:v>8.4361509449689273E-2</c:v>
                </c:pt>
                <c:pt idx="1">
                  <c:v>0.18282609699620808</c:v>
                </c:pt>
                <c:pt idx="2">
                  <c:v>0.19952650652697121</c:v>
                </c:pt>
                <c:pt idx="3">
                  <c:v>0.12023996674940408</c:v>
                </c:pt>
              </c:numCache>
            </c:numRef>
          </c:val>
          <c:smooth val="0"/>
          <c:extLst>
            <c:ext xmlns:c16="http://schemas.microsoft.com/office/drawing/2014/chart" uri="{C3380CC4-5D6E-409C-BE32-E72D297353CC}">
              <c16:uniqueId val="{00000000-B320-8745-8790-9EAB574E121F}"/>
            </c:ext>
          </c:extLst>
        </c:ser>
        <c:dLbls>
          <c:dLblPos val="ctr"/>
          <c:showLegendKey val="0"/>
          <c:showVal val="1"/>
          <c:showCatName val="0"/>
          <c:showSerName val="0"/>
          <c:showPercent val="0"/>
          <c:showBubbleSize val="0"/>
        </c:dLbls>
        <c:smooth val="0"/>
        <c:axId val="1664188927"/>
        <c:axId val="1664190559"/>
      </c:lineChart>
      <c:dateAx>
        <c:axId val="1664188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664190559"/>
        <c:crosses val="autoZero"/>
        <c:auto val="0"/>
        <c:lblOffset val="100"/>
        <c:baseTimeUnit val="days"/>
      </c:dateAx>
      <c:valAx>
        <c:axId val="166419055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1889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612F7-CA37-DA47-A49B-E98F5E97A2B8}">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Sam20</b:Tag>
    <b:SourceType>InternetSite</b:SourceType>
    <b:Guid>{00984E5F-55EF-E141-A574-7AE77D671DB6}</b:Guid>
    <b:Title>Samsung Electronics Co., Ltd. - Company Profile, Information, Business Description, History, Background Information on Samsung Electronics Co., Ltd.</b:Title>
    <b:Year>2020</b:Year>
    <b:InternetSiteTitle>Reference for Business</b:InternetSiteTitle>
    <b:URL>https://www.referenceforbusiness.com/history2/16/Samsung-Electronics-Co-Ltd.html</b:URL>
    <b:RefOrder>12</b:RefOrder>
  </b:Source>
  <b:Source>
    <b:Tag>Mat20</b:Tag>
    <b:SourceType>InternetSite</b:SourceType>
    <b:Guid>{D1C0A37E-1975-A740-84B5-D96598675A6D}</b:Guid>
    <b:Author>
      <b:Author>
        <b:NameList>
          <b:Person>
            <b:Last>Burris</b:Last>
            <b:First>Matthew</b:First>
          </b:Person>
        </b:NameList>
      </b:Author>
    </b:Author>
    <b:Title>The History of Samsung (1938-Present)</b:Title>
    <b:InternetSiteTitle>Lifewire</b:InternetSiteTitle>
    <b:URL>https://www.lifewire.com/history-of-samsung-818809</b:URL>
    <b:Year>2020</b:Year>
    <b:Month>February</b:Month>
    <b:Day>3</b:Day>
    <b:RefOrder>1</b:RefOrder>
  </b:Source>
  <b:Source>
    <b:Tag>SAM</b:Tag>
    <b:SourceType>Report</b:SourceType>
    <b:Guid>{E2E057DD-69C8-884F-AF13-D9A494A5ED7E}</b:Guid>
    <b:Title>SAMSUNG ELECTRONICS Co., Ltd. 2019 Business Report</b:Title>
    <b:Author>
      <b:Author>
        <b:Corporate>SAMSUNG</b:Corporate>
      </b:Author>
    </b:Author>
    <b:Year>2019</b:Year>
    <b:RefOrder>2</b:RefOrder>
  </b:Source>
  <b:Source>
    <b:Tag>RDa06</b:Tag>
    <b:SourceType>JournalArticle</b:SourceType>
    <b:Guid>{A78A5EF6-C0CD-824F-B4E3-2322A3B38D77}</b:Guid>
    <b:Author>
      <b:Author>
        <b:NameList>
          <b:Person>
            <b:Last>Mautz</b:Last>
            <b:First>R.</b:First>
            <b:Middle>David</b:Middle>
          </b:Person>
          <b:Person>
            <b:Last>Jr.</b:Last>
          </b:Person>
          <b:Person>
            <b:Last>Angell</b:Last>
            <b:First>Robert</b:First>
            <b:Middle>J.</b:Middle>
          </b:Person>
        </b:NameList>
      </b:Author>
    </b:Author>
    <b:Title>Understanding the Basics of Financial Statement Analysis</b:Title>
    <b:JournalName>Commercial Lending Review</b:JournalName>
    <b:Year>2006</b:Year>
    <b:Pages>27-34</b:Pages>
    <b:RefOrder>3</b:RefOrder>
  </b:Source>
  <b:Source>
    <b:Tag>Ren17</b:Tag>
    <b:SourceType>JournalArticle</b:SourceType>
    <b:Guid>{7628C97E-A35F-5342-AB27-4DBB86606CD0}</b:Guid>
    <b:Author>
      <b:Author>
        <b:NameList>
          <b:Person>
            <b:Last>Myšková</b:Last>
            <b:First>Renáta</b:First>
          </b:Person>
          <b:Person>
            <b:Last>Hájek</b:Last>
            <b:First>Petr</b:First>
          </b:Person>
        </b:NameList>
      </b:Author>
    </b:Author>
    <b:Title>Comprehensive assessment of firm financial performance using financial ratios and linguistic analysis of annual reports</b:Title>
    <b:JournalName>Journal of International Studies</b:JournalName>
    <b:Year>2017</b:Year>
    <b:RefOrder>5</b:RefOrder>
  </b:Source>
  <b:Source>
    <b:Tag>Chn18</b:Tag>
    <b:SourceType>JournalArticle</b:SourceType>
    <b:Guid>{197760C2-12D6-1747-8BA4-4D9B035BA70A}</b:Guid>
    <b:Author>
      <b:Author>
        <b:NameList>
          <b:Person>
            <b:Last>Rashid</b:Last>
            <b:First>Chnar</b:First>
            <b:Middle>Abdullah</b:Middle>
          </b:Person>
        </b:NameList>
      </b:Author>
    </b:Author>
    <b:Title>Efficiency of Financial Ratios Analysis for Evaluating Companies’ Liquidity</b:Title>
    <b:JournalName>International Journal of Social Sciences &amp; Educational Studies</b:JournalName>
    <b:Year>2018</b:Year>
    <b:RefOrder>4</b:RefOrder>
  </b:Source>
  <b:Source>
    <b:Tag>Mar19</b:Tag>
    <b:SourceType>JournalArticle</b:SourceType>
    <b:Guid>{40FB1C44-532C-CD4F-A974-F310787CDB6A}</b:Guid>
    <b:Author>
      <b:Author>
        <b:NameList>
          <b:Person>
            <b:Last>Muhairi</b:Last>
            <b:First>Mariam</b:First>
            <b:Middle>Mohammed Al</b:Middle>
          </b:Person>
          <b:Person>
            <b:Last>Nobanee</b:Last>
            <b:First>Haitham</b:First>
          </b:Person>
        </b:NameList>
      </b:Author>
    </b:Author>
    <b:Title>Sustainable Financial Management</b:Title>
    <b:Year>2019</b:Year>
    <b:RefOrder>6</b:RefOrder>
  </b:Source>
  <b:Source>
    <b:Tag>Bus19</b:Tag>
    <b:SourceType>InternetSite</b:SourceType>
    <b:Guid>{B1DF40FA-DB4F-4748-8DFF-7DD4F5A187AD}</b:Guid>
    <b:Title>Samsung, stung by trade war, expects a big plunge in profits</b:Title>
    <b:Year>2019</b:Year>
    <b:Author>
      <b:Author>
        <b:Corporate>Business Times</b:Corporate>
      </b:Author>
    </b:Author>
    <b:InternetSiteTitle>Business Times</b:InternetSiteTitle>
    <b:URL>https://www.businesstimes.com.sg/technology/samsung-stung-by-trade-war-expects-a-big-plunge-in-profits</b:URL>
    <b:Month>July</b:Month>
    <b:Day>6</b:Day>
    <b:RefOrder>10</b:RefOrder>
  </b:Source>
  <b:Source>
    <b:Tag>Aln20</b:Tag>
    <b:SourceType>JournalArticle</b:SourceType>
    <b:Guid>{A455933B-0B34-6E4D-A666-71E75B27F3F8}</b:Guid>
    <b:Author>
      <b:Author>
        <b:NameList>
          <b:Person>
            <b:Last>Alnuaimi</b:Last>
            <b:First>Suhail</b:First>
          </b:Person>
          <b:Person>
            <b:Last>Nobanee</b:Last>
            <b:First>Haitham</b:First>
          </b:Person>
        </b:NameList>
      </b:Author>
    </b:Author>
    <b:Title>Working Capital Management and Sustainability: A Mini-Review</b:Title>
    <b:Year>2020</b:Year>
    <b:RefOrder>11</b:RefOrder>
  </b:Source>
  <b:Source>
    <b:Tag>Wil202</b:Tag>
    <b:SourceType>InternetSite</b:SourceType>
    <b:Guid>{C2F4032D-EAF4-6048-BA75-25FDFF7E7E16}</b:Guid>
    <b:Author>
      <b:Author>
        <b:NameList>
          <b:Person>
            <b:Last>Kenton</b:Last>
            <b:First>Will</b:First>
          </b:Person>
        </b:NameList>
      </b:Author>
    </b:Author>
    <b:Title>Activity Ratios Definition</b:Title>
    <b:InternetSiteTitle>Investopedia</b:InternetSiteTitle>
    <b:URL>https://www.investopedia.com/terms/a/activityratio.asp</b:URL>
    <b:Year>2020</b:Year>
    <b:Month>March </b:Month>
    <b:Day>2</b:Day>
    <b:RefOrder>13</b:RefOrder>
  </b:Source>
  <b:Source>
    <b:Tag>Ada19</b:Tag>
    <b:SourceType>InternetSite</b:SourceType>
    <b:Guid>{B161C62B-7F28-7C40-A068-DE3D56F7B624}</b:Guid>
    <b:Title>Liquidity Ratio Definition</b:Title>
    <b:Year>2019</b:Year>
    <b:Author>
      <b:Author>
        <b:NameList>
          <b:Person>
            <b:Last>Hayes</b:Last>
            <b:First>Adam</b:First>
          </b:Person>
        </b:NameList>
      </b:Author>
    </b:Author>
    <b:InternetSiteTitle>Investopedia</b:InternetSiteTitle>
    <b:URL>https://www.investopedia.com/terms/l/liquidityratios.asp</b:URL>
    <b:Month>May</b:Month>
    <b:Day>13</b:Day>
    <b:RefOrder>8</b:RefOrder>
  </b:Source>
  <b:Source>
    <b:Tag>Cha19</b:Tag>
    <b:SourceType>Book</b:SourceType>
    <b:Guid>{1812865C-CB22-744E-8A1D-20779F81DB6E}</b:Guid>
    <b:Author>
      <b:Author>
        <b:NameList>
          <b:Person>
            <b:Last>Zutter</b:Last>
            <b:First>Chad</b:First>
            <b:Middle>J.</b:Middle>
          </b:Person>
          <b:Person>
            <b:Last>Smart</b:Last>
            <b:First>Scott</b:First>
            <b:Middle>B.</b:Middle>
          </b:Person>
        </b:NameList>
      </b:Author>
    </b:Author>
    <b:Title>Principles of Managerial Finance, Global Edition, 15th Edition</b:Title>
    <b:BookTitle>Principles of Managerial Finance</b:BookTitle>
    <b:Publisher>Pearson</b:Publisher>
    <b:Year>2019</b:Year>
    <b:Pages>145-147</b:Pages>
    <b:RefOrder>9</b:RefOrder>
  </b:Source>
  <b:Source>
    <b:Tag>Wil203</b:Tag>
    <b:SourceType>InternetSite</b:SourceType>
    <b:Guid>{EEC136EA-DDF9-2B42-912C-9743F0AE49AC}</b:Guid>
    <b:Title>Profitability Definition</b:Title>
    <b:Year>2020</b:Year>
    <b:Author>
      <b:Author>
        <b:NameList>
          <b:Person>
            <b:Last>Kenton</b:Last>
            <b:First>Will</b:First>
          </b:Person>
        </b:NameList>
      </b:Author>
    </b:Author>
    <b:InternetSiteTitle>Investopedia</b:InternetSiteTitle>
    <b:URL>https://www.investopedia.com/terms/p/profitabilityratios.asp</b:URL>
    <b:Month>May</b:Month>
    <b:Day>16</b:Day>
    <b:RefOrder>14</b:RefOrder>
  </b:Source>
  <b:Source>
    <b:Tag>AlR191</b:Tag>
    <b:SourceType>JournalArticle</b:SourceType>
    <b:Guid>{189A1F73-5C10-4883-8D16-0E675C10ACE7}</b:Guid>
    <b:Author>
      <b:Author>
        <b:NameList>
          <b:Person>
            <b:Last>Al Ahbabi</b:Last>
            <b:First>Al</b:First>
            <b:Middle>Reem Al</b:Middle>
          </b:Person>
          <b:Person>
            <b:Last>Nobanee</b:Last>
            <b:First>Haitham</b:First>
          </b:Person>
        </b:NameList>
      </b:Author>
    </b:Author>
    <b:Title>Conceptual Building of Sustainable Financial Management &amp; Sustainable Financial Growth</b:Title>
    <b:Year>2019</b:Year>
    <b:RefOrder>7</b:RefOrder>
  </b:Source>
</b:Sources>
</file>

<file path=customXml/itemProps1.xml><?xml version="1.0" encoding="utf-8"?>
<ds:datastoreItem xmlns:ds="http://schemas.openxmlformats.org/officeDocument/2006/customXml" ds:itemID="{F29E566E-A19B-41EA-ACAE-134EAF4D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4339</Words>
  <Characters>24734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cp:lastModifiedBy>
  <cp:revision>8</cp:revision>
  <dcterms:created xsi:type="dcterms:W3CDTF">2020-06-06T19:58:00Z</dcterms:created>
  <dcterms:modified xsi:type="dcterms:W3CDTF">2020-06-25T09:52:00Z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documentId_7083</vt:lpwstr>
  </property>
</Properties>
</file>