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Marketing Insights and Solutions</w:t>
      </w:r>
    </w:p>
    <w:p>
      <w:pPr>
        <w:spacing w:after="300"/>
      </w:pPr>
      <w:r>
        <w:rPr>
          <w:i/>
          <w:iCs/>
          <w:color w:val="555555"/>
          <w:sz w:val="26"/>
          <w:szCs w:val="26"/>
        </w:rPr>
        <w:t xml:space="preserve">Answers to the Business Problems — Nykaa vs Purplle vs Tira</w:t>
      </w:r>
    </w:p>
    <w:p>
      <w:pPr>
        <w:spacing w:after="160"/>
      </w:pPr>
      <w:r>
        <w:rPr>
          <w:color w:val="666666"/>
          <w:sz w:val="20"/>
          <w:szCs w:val="20"/>
        </w:rPr>
        <w:t xml:space="preserve">Prepared by: [Your Name], Data Analyst (Fresher)</w:t>
      </w:r>
    </w:p>
    <w:p>
      <w:pPr>
        <w:spacing w:after="160"/>
      </w:pPr>
      <w:r>
        <w:rPr>
          <w:color w:val="666666"/>
          <w:sz w:val="20"/>
          <w:szCs w:val="20"/>
        </w:rPr>
        <w:t xml:space="preserve">Date: August 2026</w:t>
      </w:r>
    </w:p>
    <w:p>
      <w:pPr>
        <w:pStyle w:val="Heading1"/>
        <w:spacing w:after="150" w:before="320"/>
      </w:pPr>
      <w:r>
        <w:t xml:space="preserve">A Quick Note Before the Insights</w:t>
      </w:r>
    </w:p>
    <w:p>
      <w:pPr>
        <w:spacing w:after="160"/>
      </w:pPr>
      <w:r>
        <w:t xml:space="preserve">This looks like a practice / sample dataset rather than a brand's real financial data — for example, the three brands perform almost identically overall, which is unlikely in real life. So instead of leaning on absolute revenue or cost figures, I focused on things that are safe to compare: ROI (already given in the data), Click-Through Rate, Conversion Rate, and relative cost-per-conversion. These tell a more reliable story than raw currency numbers, and the same approach would still work if this were replaced with real brand data.</w:t>
      </w:r>
    </w:p>
    <w:p>
      <w:pPr>
        <w:pStyle w:val="Heading1"/>
        <w:spacing w:after="150" w:before="320"/>
      </w:pPr>
      <w:r>
        <w:t xml:space="preserve">1. Which brand is performing better?</w:t>
      </w:r>
    </w:p>
    <w:p>
      <w:pPr>
        <w:spacing w:after="160"/>
      </w:pPr>
      <w:r>
        <w:t xml:space="preserve">I compared all three brands on the metrics that matter most: how many people click, how many convert, and the average ROI per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700"/>
        <w:gridCol w:w="1600"/>
        <w:gridCol w:w="1460"/>
      </w:tblGrid>
      <w:tr>
        <w:trPr>
          <w:tblHeader/>
        </w:trPr>
        <w:tc>
          <w:tcPr>
            <w:tcW w:type="dxa" w:w="2600"/>
            <w:shd w:fill="2E5395" w:color="auto" w:val="clear"/>
            <w:tcMar>
              <w:top w:type="dxa" w:w="80"/>
              <w:left w:type="dxa" w:w="100"/>
              <w:bottom w:type="dxa" w:w="80"/>
              <w:right w:type="dxa" w:w="100"/>
            </w:tcMar>
            <w:vAlign w:val="center"/>
          </w:tcPr>
          <w:p>
            <w:r>
              <w:rPr>
                <w:b/>
                <w:bCs/>
                <w:color w:val="FFFFFF"/>
                <w:sz w:val="20"/>
                <w:szCs w:val="20"/>
              </w:rPr>
              <w:t xml:space="preserve">Brand</w:t>
            </w:r>
          </w:p>
        </w:tc>
        <w:tc>
          <w:tcPr>
            <w:tcW w:type="dxa" w:w="2000"/>
            <w:shd w:fill="2E5395" w:color="auto" w:val="clear"/>
            <w:tcMar>
              <w:top w:type="dxa" w:w="80"/>
              <w:left w:type="dxa" w:w="100"/>
              <w:bottom w:type="dxa" w:w="80"/>
              <w:right w:type="dxa" w:w="100"/>
            </w:tcMar>
            <w:vAlign w:val="center"/>
          </w:tcPr>
          <w:p>
            <w:r>
              <w:rPr>
                <w:b/>
                <w:bCs/>
                <w:color w:val="FFFFFF"/>
                <w:sz w:val="20"/>
                <w:szCs w:val="20"/>
              </w:rPr>
              <w:t xml:space="preserve">Campaigns</w:t>
            </w:r>
          </w:p>
        </w:tc>
        <w:tc>
          <w:tcPr>
            <w:tcW w:type="dxa" w:w="1700"/>
            <w:shd w:fill="2E5395" w:color="auto" w:val="clear"/>
            <w:tcMar>
              <w:top w:type="dxa" w:w="80"/>
              <w:left w:type="dxa" w:w="100"/>
              <w:bottom w:type="dxa" w:w="80"/>
              <w:right w:type="dxa" w:w="100"/>
            </w:tcMar>
            <w:vAlign w:val="center"/>
          </w:tcPr>
          <w:p>
            <w:r>
              <w:rPr>
                <w:b/>
                <w:bCs/>
                <w:color w:val="FFFFFF"/>
                <w:sz w:val="20"/>
                <w:szCs w:val="20"/>
              </w:rPr>
              <w:t xml:space="preserve">Avg ROI</w:t>
            </w:r>
          </w:p>
        </w:tc>
        <w:tc>
          <w:tcPr>
            <w:tcW w:type="dxa" w:w="1600"/>
            <w:shd w:fill="2E5395" w:color="auto" w:val="clear"/>
            <w:tcMar>
              <w:top w:type="dxa" w:w="80"/>
              <w:left w:type="dxa" w:w="100"/>
              <w:bottom w:type="dxa" w:w="80"/>
              <w:right w:type="dxa" w:w="100"/>
            </w:tcMar>
            <w:vAlign w:val="center"/>
          </w:tcPr>
          <w:p>
            <w:r>
              <w:rPr>
                <w:b/>
                <w:bCs/>
                <w:color w:val="FFFFFF"/>
                <w:sz w:val="20"/>
                <w:szCs w:val="20"/>
              </w:rPr>
              <w:t xml:space="preserve">CTR %</w:t>
            </w:r>
          </w:p>
        </w:tc>
        <w:tc>
          <w:tcPr>
            <w:tcW w:type="dxa" w:w="1460"/>
            <w:shd w:fill="2E5395" w:color="auto" w:val="clear"/>
            <w:tcMar>
              <w:top w:type="dxa" w:w="80"/>
              <w:left w:type="dxa" w:w="100"/>
              <w:bottom w:type="dxa" w:w="80"/>
              <w:right w:type="dxa" w:w="100"/>
            </w:tcMar>
            <w:vAlign w:val="center"/>
          </w:tcPr>
          <w:p>
            <w:r>
              <w:rPr>
                <w:b/>
                <w:bCs/>
                <w:color w:val="FFFFFF"/>
                <w:sz w:val="20"/>
                <w:szCs w:val="20"/>
              </w:rPr>
              <w:t xml:space="preserve">Conversion Rate %</w:t>
            </w:r>
          </w:p>
        </w:tc>
      </w:tr>
      <w:tr>
        <w:tc>
          <w:tcPr>
            <w:tcW w:type="dxa" w:w="2600"/>
            <w:tcMar>
              <w:top w:type="dxa" w:w="70"/>
              <w:left w:type="dxa" w:w="100"/>
              <w:bottom w:type="dxa" w:w="70"/>
              <w:right w:type="dxa" w:w="100"/>
            </w:tcMar>
            <w:vAlign w:val="center"/>
          </w:tcPr>
          <w:p>
            <w:r>
              <w:rPr>
                <w:b w:val="false"/>
                <w:bCs w:val="false"/>
                <w:sz w:val="20"/>
                <w:szCs w:val="20"/>
              </w:rPr>
              <w:t xml:space="preserve">Nykaa</w:t>
            </w:r>
          </w:p>
        </w:tc>
        <w:tc>
          <w:tcPr>
            <w:tcW w:type="dxa" w:w="2000"/>
            <w:tcMar>
              <w:top w:type="dxa" w:w="70"/>
              <w:left w:type="dxa" w:w="100"/>
              <w:bottom w:type="dxa" w:w="70"/>
              <w:right w:type="dxa" w:w="100"/>
            </w:tcMar>
            <w:vAlign w:val="center"/>
          </w:tcPr>
          <w:p>
            <w:r>
              <w:rPr>
                <w:b w:val="false"/>
                <w:bCs w:val="false"/>
                <w:sz w:val="20"/>
                <w:szCs w:val="20"/>
              </w:rPr>
              <w:t xml:space="preserve">55,555</w:t>
            </w:r>
          </w:p>
        </w:tc>
        <w:tc>
          <w:tcPr>
            <w:tcW w:type="dxa" w:w="1700"/>
            <w:tcMar>
              <w:top w:type="dxa" w:w="70"/>
              <w:left w:type="dxa" w:w="100"/>
              <w:bottom w:type="dxa" w:w="70"/>
              <w:right w:type="dxa" w:w="100"/>
            </w:tcMar>
            <w:vAlign w:val="center"/>
          </w:tcPr>
          <w:p>
            <w:r>
              <w:rPr>
                <w:b w:val="false"/>
                <w:bCs w:val="false"/>
                <w:sz w:val="20"/>
                <w:szCs w:val="20"/>
              </w:rPr>
              <w:t xml:space="preserve">2.71</w:t>
            </w:r>
          </w:p>
        </w:tc>
        <w:tc>
          <w:tcPr>
            <w:tcW w:type="dxa" w:w="1600"/>
            <w:tcMar>
              <w:top w:type="dxa" w:w="70"/>
              <w:left w:type="dxa" w:w="100"/>
              <w:bottom w:type="dxa" w:w="70"/>
              <w:right w:type="dxa" w:w="100"/>
            </w:tcMar>
            <w:vAlign w:val="center"/>
          </w:tcPr>
          <w:p>
            <w:r>
              <w:rPr>
                <w:b w:val="false"/>
                <w:bCs w:val="false"/>
                <w:sz w:val="20"/>
                <w:szCs w:val="20"/>
              </w:rPr>
              <w:t xml:space="preserve">8.51%</w:t>
            </w:r>
          </w:p>
        </w:tc>
        <w:tc>
          <w:tcPr>
            <w:tcW w:type="dxa" w:w="1460"/>
            <w:tcMar>
              <w:top w:type="dxa" w:w="70"/>
              <w:left w:type="dxa" w:w="100"/>
              <w:bottom w:type="dxa" w:w="70"/>
              <w:right w:type="dxa" w:w="100"/>
            </w:tcMar>
            <w:vAlign w:val="center"/>
          </w:tcPr>
          <w:p>
            <w:r>
              <w:rPr>
                <w:b w:val="false"/>
                <w:bCs w:val="false"/>
                <w:sz w:val="20"/>
                <w:szCs w:val="20"/>
              </w:rPr>
              <w:t xml:space="preserve">55.02%</w:t>
            </w:r>
          </w:p>
        </w:tc>
      </w:tr>
      <w:tr>
        <w:tc>
          <w:tcPr>
            <w:tcW w:type="dxa" w:w="2600"/>
            <w:shd w:fill="F2F2F2" w:color="auto" w:val="clear"/>
            <w:tcMar>
              <w:top w:type="dxa" w:w="70"/>
              <w:left w:type="dxa" w:w="100"/>
              <w:bottom w:type="dxa" w:w="70"/>
              <w:right w:type="dxa" w:w="100"/>
            </w:tcMar>
            <w:vAlign w:val="center"/>
          </w:tcPr>
          <w:p>
            <w:r>
              <w:rPr>
                <w:b w:val="false"/>
                <w:bCs w:val="false"/>
                <w:sz w:val="20"/>
                <w:szCs w:val="20"/>
              </w:rPr>
              <w:t xml:space="preserve">Purplle</w:t>
            </w:r>
          </w:p>
        </w:tc>
        <w:tc>
          <w:tcPr>
            <w:tcW w:type="dxa" w:w="2000"/>
            <w:shd w:fill="F2F2F2" w:color="auto" w:val="clear"/>
            <w:tcMar>
              <w:top w:type="dxa" w:w="70"/>
              <w:left w:type="dxa" w:w="100"/>
              <w:bottom w:type="dxa" w:w="70"/>
              <w:right w:type="dxa" w:w="100"/>
            </w:tcMar>
            <w:vAlign w:val="center"/>
          </w:tcPr>
          <w:p>
            <w:r>
              <w:rPr>
                <w:b w:val="false"/>
                <w:bCs w:val="false"/>
                <w:sz w:val="20"/>
                <w:szCs w:val="20"/>
              </w:rPr>
              <w:t xml:space="preserve">55,555</w:t>
            </w:r>
          </w:p>
        </w:tc>
        <w:tc>
          <w:tcPr>
            <w:tcW w:type="dxa" w:w="1700"/>
            <w:shd w:fill="F2F2F2" w:color="auto" w:val="clear"/>
            <w:tcMar>
              <w:top w:type="dxa" w:w="70"/>
              <w:left w:type="dxa" w:w="100"/>
              <w:bottom w:type="dxa" w:w="70"/>
              <w:right w:type="dxa" w:w="100"/>
            </w:tcMar>
            <w:vAlign w:val="center"/>
          </w:tcPr>
          <w:p>
            <w:r>
              <w:rPr>
                <w:b w:val="false"/>
                <w:bCs w:val="false"/>
                <w:sz w:val="20"/>
                <w:szCs w:val="20"/>
              </w:rPr>
              <w:t xml:space="preserve">2.68</w:t>
            </w:r>
          </w:p>
        </w:tc>
        <w:tc>
          <w:tcPr>
            <w:tcW w:type="dxa" w:w="1600"/>
            <w:shd w:fill="F2F2F2" w:color="auto" w:val="clear"/>
            <w:tcMar>
              <w:top w:type="dxa" w:w="70"/>
              <w:left w:type="dxa" w:w="100"/>
              <w:bottom w:type="dxa" w:w="70"/>
              <w:right w:type="dxa" w:w="100"/>
            </w:tcMar>
            <w:vAlign w:val="center"/>
          </w:tcPr>
          <w:p>
            <w:r>
              <w:rPr>
                <w:b w:val="false"/>
                <w:bCs w:val="false"/>
                <w:sz w:val="20"/>
                <w:szCs w:val="20"/>
              </w:rPr>
              <w:t xml:space="preserve">8.50%</w:t>
            </w:r>
          </w:p>
        </w:tc>
        <w:tc>
          <w:tcPr>
            <w:tcW w:type="dxa" w:w="1460"/>
            <w:shd w:fill="F2F2F2" w:color="auto" w:val="clear"/>
            <w:tcMar>
              <w:top w:type="dxa" w:w="70"/>
              <w:left w:type="dxa" w:w="100"/>
              <w:bottom w:type="dxa" w:w="70"/>
              <w:right w:type="dxa" w:w="100"/>
            </w:tcMar>
            <w:vAlign w:val="center"/>
          </w:tcPr>
          <w:p>
            <w:r>
              <w:rPr>
                <w:b w:val="false"/>
                <w:bCs w:val="false"/>
                <w:sz w:val="20"/>
                <w:szCs w:val="20"/>
              </w:rPr>
              <w:t xml:space="preserve">54.98%</w:t>
            </w:r>
          </w:p>
        </w:tc>
      </w:tr>
      <w:tr>
        <w:tc>
          <w:tcPr>
            <w:tcW w:type="dxa" w:w="2600"/>
            <w:tcMar>
              <w:top w:type="dxa" w:w="70"/>
              <w:left w:type="dxa" w:w="100"/>
              <w:bottom w:type="dxa" w:w="70"/>
              <w:right w:type="dxa" w:w="100"/>
            </w:tcMar>
            <w:vAlign w:val="center"/>
          </w:tcPr>
          <w:p>
            <w:r>
              <w:rPr>
                <w:b w:val="false"/>
                <w:bCs w:val="false"/>
                <w:sz w:val="20"/>
                <w:szCs w:val="20"/>
              </w:rPr>
              <w:t xml:space="preserve">Tira</w:t>
            </w:r>
          </w:p>
        </w:tc>
        <w:tc>
          <w:tcPr>
            <w:tcW w:type="dxa" w:w="2000"/>
            <w:tcMar>
              <w:top w:type="dxa" w:w="70"/>
              <w:left w:type="dxa" w:w="100"/>
              <w:bottom w:type="dxa" w:w="70"/>
              <w:right w:type="dxa" w:w="100"/>
            </w:tcMar>
            <w:vAlign w:val="center"/>
          </w:tcPr>
          <w:p>
            <w:r>
              <w:rPr>
                <w:b w:val="false"/>
                <w:bCs w:val="false"/>
                <w:sz w:val="20"/>
                <w:szCs w:val="20"/>
              </w:rPr>
              <w:t xml:space="preserve">55,555</w:t>
            </w:r>
          </w:p>
        </w:tc>
        <w:tc>
          <w:tcPr>
            <w:tcW w:type="dxa" w:w="1700"/>
            <w:tcMar>
              <w:top w:type="dxa" w:w="70"/>
              <w:left w:type="dxa" w:w="100"/>
              <w:bottom w:type="dxa" w:w="70"/>
              <w:right w:type="dxa" w:w="100"/>
            </w:tcMar>
            <w:vAlign w:val="center"/>
          </w:tcPr>
          <w:p>
            <w:r>
              <w:rPr>
                <w:b w:val="false"/>
                <w:bCs w:val="false"/>
                <w:sz w:val="20"/>
                <w:szCs w:val="20"/>
              </w:rPr>
              <w:t xml:space="preserve">2.67</w:t>
            </w:r>
          </w:p>
        </w:tc>
        <w:tc>
          <w:tcPr>
            <w:tcW w:type="dxa" w:w="1600"/>
            <w:tcMar>
              <w:top w:type="dxa" w:w="70"/>
              <w:left w:type="dxa" w:w="100"/>
              <w:bottom w:type="dxa" w:w="70"/>
              <w:right w:type="dxa" w:w="100"/>
            </w:tcMar>
            <w:vAlign w:val="center"/>
          </w:tcPr>
          <w:p>
            <w:r>
              <w:rPr>
                <w:b w:val="false"/>
                <w:bCs w:val="false"/>
                <w:sz w:val="20"/>
                <w:szCs w:val="20"/>
              </w:rPr>
              <w:t xml:space="preserve">8.50%</w:t>
            </w:r>
          </w:p>
        </w:tc>
        <w:tc>
          <w:tcPr>
            <w:tcW w:type="dxa" w:w="1460"/>
            <w:tcMar>
              <w:top w:type="dxa" w:w="70"/>
              <w:left w:type="dxa" w:w="100"/>
              <w:bottom w:type="dxa" w:w="70"/>
              <w:right w:type="dxa" w:w="100"/>
            </w:tcMar>
            <w:vAlign w:val="center"/>
          </w:tcPr>
          <w:p>
            <w:r>
              <w:rPr>
                <w:b w:val="false"/>
                <w:bCs w:val="false"/>
                <w:sz w:val="20"/>
                <w:szCs w:val="20"/>
              </w:rPr>
              <w:t xml:space="preserve">54.97%</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B" w:color="auto" w:val="clear"/>
            <w:tcMar>
              <w:top w:type="dxa" w:w="140"/>
              <w:left w:type="dxa" w:w="180"/>
              <w:bottom w:type="dxa" w:w="140"/>
              <w:right w:type="dxa" w:w="180"/>
            </w:tcMar>
          </w:tcPr>
          <w:p>
            <w:pPr>
              <w:spacing w:after="60"/>
            </w:pPr>
            <w:r>
              <w:rPr>
                <w:b/>
                <w:bCs/>
                <w:color w:val="2E5395"/>
                <w:sz w:val="21"/>
                <w:szCs w:val="21"/>
              </w:rPr>
              <w:t xml:space="preserve">What this means:</w:t>
            </w:r>
          </w:p>
          <w:p>
            <w:r>
              <w:rPr>
                <w:sz w:val="21"/>
                <w:szCs w:val="21"/>
              </w:rPr>
              <w:t xml:space="preserve">All three brands are running roughly the same number of campaigns and getting very similar results. Nykaa is marginally ahead on ROI (2.71 vs 2.68 and 2.67), but the gap is small — not something to make a big strategic call on by itself. The real differences show up when we break things down by campaign type, channel, and segment (next sections).</w:t>
            </w:r>
          </w:p>
        </w:tc>
      </w:tr>
    </w:tbl>
    <w:p>
      <w:pPr>
        <w:spacing w:after="160"/>
      </w:pPr>
      <w:r>
        <w:t xml:space="preserve"/>
      </w:r>
    </w:p>
    <w:p>
      <w:pPr>
        <w:spacing w:after="160"/>
      </w:pPr>
      <w:r>
        <w:t xml:space="preserve">Recommendation: Don't treat this as "Nykaa is winning, copy everything Nykaa does." Instead, look inside each brand for the specific campaign types and channels that are actually pulling their numbers up or down — that's where the real opportunity is.</w:t>
      </w:r>
    </w:p>
    <w:p>
      <w:pPr>
        <w:pStyle w:val="Heading1"/>
        <w:spacing w:after="150" w:before="320"/>
      </w:pPr>
      <w:r>
        <w:t xml:space="preserve">2. Best campaign type: revenue vs ROI</w:t>
      </w:r>
    </w:p>
    <w:p>
      <w:pPr>
        <w:spacing w:after="160"/>
      </w:pPr>
      <w:r>
        <w:t xml:space="preserve">For each brand, I checked which campaign type brought in the most revenue, and separately, which one had the best average ROI. They are not always the same campaign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shd w:fill="2E5395" w:color="auto" w:val="clear"/>
            <w:tcMar>
              <w:top w:type="dxa" w:w="80"/>
              <w:left w:type="dxa" w:w="100"/>
              <w:bottom w:type="dxa" w:w="80"/>
              <w:right w:type="dxa" w:w="100"/>
            </w:tcMar>
            <w:vAlign w:val="center"/>
          </w:tcPr>
          <w:p>
            <w:r>
              <w:rPr>
                <w:b/>
                <w:bCs/>
                <w:color w:val="FFFFFF"/>
                <w:sz w:val="20"/>
                <w:szCs w:val="20"/>
              </w:rPr>
              <w:t xml:space="preserve">Brand</w:t>
            </w:r>
          </w:p>
        </w:tc>
        <w:tc>
          <w:tcPr>
            <w:tcW w:type="dxa" w:w="3500"/>
            <w:shd w:fill="2E5395" w:color="auto" w:val="clear"/>
            <w:tcMar>
              <w:top w:type="dxa" w:w="80"/>
              <w:left w:type="dxa" w:w="100"/>
              <w:bottom w:type="dxa" w:w="80"/>
              <w:right w:type="dxa" w:w="100"/>
            </w:tcMar>
            <w:vAlign w:val="center"/>
          </w:tcPr>
          <w:p>
            <w:r>
              <w:rPr>
                <w:b/>
                <w:bCs/>
                <w:color w:val="FFFFFF"/>
                <w:sz w:val="20"/>
                <w:szCs w:val="20"/>
              </w:rPr>
              <w:t xml:space="preserve">Highest Revenue</w:t>
            </w:r>
          </w:p>
        </w:tc>
        <w:tc>
          <w:tcPr>
            <w:tcW w:type="dxa" w:w="3460"/>
            <w:shd w:fill="2E5395" w:color="auto" w:val="clear"/>
            <w:tcMar>
              <w:top w:type="dxa" w:w="80"/>
              <w:left w:type="dxa" w:w="100"/>
              <w:bottom w:type="dxa" w:w="80"/>
              <w:right w:type="dxa" w:w="100"/>
            </w:tcMar>
            <w:vAlign w:val="center"/>
          </w:tcPr>
          <w:p>
            <w:r>
              <w:rPr>
                <w:b/>
                <w:bCs/>
                <w:color w:val="FFFFFF"/>
                <w:sz w:val="20"/>
                <w:szCs w:val="20"/>
              </w:rPr>
              <w:t xml:space="preserve">Highest ROI</w:t>
            </w:r>
          </w:p>
        </w:tc>
      </w:tr>
      <w:tr>
        <w:tc>
          <w:tcPr>
            <w:tcW w:type="dxa" w:w="2400"/>
            <w:tcMar>
              <w:top w:type="dxa" w:w="70"/>
              <w:left w:type="dxa" w:w="100"/>
              <w:bottom w:type="dxa" w:w="70"/>
              <w:right w:type="dxa" w:w="100"/>
            </w:tcMar>
            <w:vAlign w:val="center"/>
          </w:tcPr>
          <w:p>
            <w:r>
              <w:rPr>
                <w:b w:val="false"/>
                <w:bCs w:val="false"/>
                <w:sz w:val="20"/>
                <w:szCs w:val="20"/>
              </w:rPr>
              <w:t xml:space="preserve">Nykaa</w:t>
            </w:r>
          </w:p>
        </w:tc>
        <w:tc>
          <w:tcPr>
            <w:tcW w:type="dxa" w:w="3500"/>
            <w:tcMar>
              <w:top w:type="dxa" w:w="70"/>
              <w:left w:type="dxa" w:w="100"/>
              <w:bottom w:type="dxa" w:w="70"/>
              <w:right w:type="dxa" w:w="100"/>
            </w:tcMar>
            <w:vAlign w:val="center"/>
          </w:tcPr>
          <w:p>
            <w:r>
              <w:rPr>
                <w:b w:val="false"/>
                <w:bCs w:val="false"/>
                <w:sz w:val="20"/>
                <w:szCs w:val="20"/>
              </w:rPr>
              <w:t xml:space="preserve">Influencer</w:t>
            </w:r>
          </w:p>
        </w:tc>
        <w:tc>
          <w:tcPr>
            <w:tcW w:type="dxa" w:w="3460"/>
            <w:tcMar>
              <w:top w:type="dxa" w:w="70"/>
              <w:left w:type="dxa" w:w="100"/>
              <w:bottom w:type="dxa" w:w="70"/>
              <w:right w:type="dxa" w:w="100"/>
            </w:tcMar>
            <w:vAlign w:val="center"/>
          </w:tcPr>
          <w:p>
            <w:r>
              <w:rPr>
                <w:b w:val="false"/>
                <w:bCs w:val="false"/>
                <w:sz w:val="20"/>
                <w:szCs w:val="20"/>
              </w:rPr>
              <w:t xml:space="preserve">Social Media (2.75)</w:t>
            </w:r>
          </w:p>
        </w:tc>
      </w:tr>
      <w:tr>
        <w:tc>
          <w:tcPr>
            <w:tcW w:type="dxa" w:w="2400"/>
            <w:shd w:fill="F2F2F2" w:color="auto" w:val="clear"/>
            <w:tcMar>
              <w:top w:type="dxa" w:w="70"/>
              <w:left w:type="dxa" w:w="100"/>
              <w:bottom w:type="dxa" w:w="70"/>
              <w:right w:type="dxa" w:w="100"/>
            </w:tcMar>
            <w:vAlign w:val="center"/>
          </w:tcPr>
          <w:p>
            <w:r>
              <w:rPr>
                <w:b w:val="false"/>
                <w:bCs w:val="false"/>
                <w:sz w:val="20"/>
                <w:szCs w:val="20"/>
              </w:rPr>
              <w:t xml:space="preserve">Purplle</w:t>
            </w:r>
          </w:p>
        </w:tc>
        <w:tc>
          <w:tcPr>
            <w:tcW w:type="dxa" w:w="3500"/>
            <w:shd w:fill="F2F2F2" w:color="auto" w:val="clear"/>
            <w:tcMar>
              <w:top w:type="dxa" w:w="70"/>
              <w:left w:type="dxa" w:w="100"/>
              <w:bottom w:type="dxa" w:w="70"/>
              <w:right w:type="dxa" w:w="100"/>
            </w:tcMar>
            <w:vAlign w:val="center"/>
          </w:tcPr>
          <w:p>
            <w:r>
              <w:rPr>
                <w:b w:val="false"/>
                <w:bCs w:val="false"/>
                <w:sz w:val="20"/>
                <w:szCs w:val="20"/>
              </w:rPr>
              <w:t xml:space="preserve">Email</w:t>
            </w:r>
          </w:p>
        </w:tc>
        <w:tc>
          <w:tcPr>
            <w:tcW w:type="dxa" w:w="3460"/>
            <w:shd w:fill="F2F2F2" w:color="auto" w:val="clear"/>
            <w:tcMar>
              <w:top w:type="dxa" w:w="70"/>
              <w:left w:type="dxa" w:w="100"/>
              <w:bottom w:type="dxa" w:w="70"/>
              <w:right w:type="dxa" w:w="100"/>
            </w:tcMar>
            <w:vAlign w:val="center"/>
          </w:tcPr>
          <w:p>
            <w:r>
              <w:rPr>
                <w:b w:val="false"/>
                <w:bCs w:val="false"/>
                <w:sz w:val="20"/>
                <w:szCs w:val="20"/>
              </w:rPr>
              <w:t xml:space="preserve">Email (2.70)</w:t>
            </w:r>
          </w:p>
        </w:tc>
      </w:tr>
      <w:tr>
        <w:tc>
          <w:tcPr>
            <w:tcW w:type="dxa" w:w="2400"/>
            <w:tcMar>
              <w:top w:type="dxa" w:w="70"/>
              <w:left w:type="dxa" w:w="100"/>
              <w:bottom w:type="dxa" w:w="70"/>
              <w:right w:type="dxa" w:w="100"/>
            </w:tcMar>
            <w:vAlign w:val="center"/>
          </w:tcPr>
          <w:p>
            <w:r>
              <w:rPr>
                <w:b w:val="false"/>
                <w:bCs w:val="false"/>
                <w:sz w:val="20"/>
                <w:szCs w:val="20"/>
              </w:rPr>
              <w:t xml:space="preserve">Tira</w:t>
            </w:r>
          </w:p>
        </w:tc>
        <w:tc>
          <w:tcPr>
            <w:tcW w:type="dxa" w:w="3500"/>
            <w:tcMar>
              <w:top w:type="dxa" w:w="70"/>
              <w:left w:type="dxa" w:w="100"/>
              <w:bottom w:type="dxa" w:w="70"/>
              <w:right w:type="dxa" w:w="100"/>
            </w:tcMar>
            <w:vAlign w:val="center"/>
          </w:tcPr>
          <w:p>
            <w:r>
              <w:rPr>
                <w:b w:val="false"/>
                <w:bCs w:val="false"/>
                <w:sz w:val="20"/>
                <w:szCs w:val="20"/>
              </w:rPr>
              <w:t xml:space="preserve">Paid Ads</w:t>
            </w:r>
          </w:p>
        </w:tc>
        <w:tc>
          <w:tcPr>
            <w:tcW w:type="dxa" w:w="3460"/>
            <w:tcMar>
              <w:top w:type="dxa" w:w="70"/>
              <w:left w:type="dxa" w:w="100"/>
              <w:bottom w:type="dxa" w:w="70"/>
              <w:right w:type="dxa" w:w="100"/>
            </w:tcMar>
            <w:vAlign w:val="center"/>
          </w:tcPr>
          <w:p>
            <w:r>
              <w:rPr>
                <w:b w:val="false"/>
                <w:bCs w:val="false"/>
                <w:sz w:val="20"/>
                <w:szCs w:val="20"/>
              </w:rPr>
              <w:t xml:space="preserve">Paid Ads (2.72)</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B" w:color="auto" w:val="clear"/>
            <w:tcMar>
              <w:top w:type="dxa" w:w="140"/>
              <w:left w:type="dxa" w:w="180"/>
              <w:bottom w:type="dxa" w:w="140"/>
              <w:right w:type="dxa" w:w="180"/>
            </w:tcMar>
          </w:tcPr>
          <w:p>
            <w:pPr>
              <w:spacing w:after="60"/>
            </w:pPr>
            <w:r>
              <w:rPr>
                <w:b/>
                <w:bCs/>
                <w:color w:val="2E5395"/>
                <w:sz w:val="21"/>
                <w:szCs w:val="21"/>
              </w:rPr>
              <w:t xml:space="preserve">What this means:</w:t>
            </w:r>
          </w:p>
          <w:p>
            <w:r>
              <w:rPr>
                <w:sz w:val="21"/>
                <w:szCs w:val="21"/>
              </w:rPr>
              <w:t xml:space="preserve">For Purplle and Tira, the campaign type bringing the most revenue also gives the best ROI — that's a good sign, it means their top revenue driver is also efficient. For Nykaa, Influencer campaigns bring the most total revenue, but Social Media campaigns are actually more efficient per rupee spent (higher ROI). Nykaa is likely spending more on Influencer campaigns simply because they scale up revenue, not because they are the most efficient.</w:t>
            </w:r>
          </w:p>
        </w:tc>
      </w:tr>
    </w:tbl>
    <w:p>
      <w:pPr>
        <w:spacing w:after="160"/>
      </w:pPr>
      <w:r>
        <w:t xml:space="preserve"/>
      </w:r>
    </w:p>
    <w:p>
      <w:pPr>
        <w:spacing w:after="160"/>
      </w:pPr>
      <w:r>
        <w:t xml:space="preserve">Recommendation: Nykaa's team should test shifting a portion of the Influencer budget into Social Media campaigns and track if overall ROI improves, since Social Media already shows better returns per campaign.</w:t>
      </w:r>
    </w:p>
    <w:p>
      <w:pPr>
        <w:pStyle w:val="Heading1"/>
        <w:spacing w:after="150" w:before="320"/>
      </w:pPr>
      <w:r>
        <w:t xml:space="preserve">3. Which channel to push, and which to pull back on</w:t>
      </w:r>
    </w:p>
    <w:p>
      <w:pPr>
        <w:spacing w:after="160"/>
      </w:pPr>
      <w:r>
        <w:t xml:space="preserve">I looked at cost per conversion for each channel within each brand (lower cost per conversion = more efficient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2E5395" w:color="auto" w:val="clear"/>
            <w:tcMar>
              <w:top w:type="dxa" w:w="80"/>
              <w:left w:type="dxa" w:w="100"/>
              <w:bottom w:type="dxa" w:w="80"/>
              <w:right w:type="dxa" w:w="100"/>
            </w:tcMar>
            <w:vAlign w:val="center"/>
          </w:tcPr>
          <w:p>
            <w:r>
              <w:rPr>
                <w:b/>
                <w:bCs/>
                <w:color w:val="FFFFFF"/>
                <w:sz w:val="20"/>
                <w:szCs w:val="20"/>
              </w:rPr>
              <w:t xml:space="preserve">Brand</w:t>
            </w:r>
          </w:p>
        </w:tc>
        <w:tc>
          <w:tcPr>
            <w:tcW w:type="dxa" w:w="3480"/>
            <w:shd w:fill="2E5395" w:color="auto" w:val="clear"/>
            <w:tcMar>
              <w:top w:type="dxa" w:w="80"/>
              <w:left w:type="dxa" w:w="100"/>
              <w:bottom w:type="dxa" w:w="80"/>
              <w:right w:type="dxa" w:w="100"/>
            </w:tcMar>
            <w:vAlign w:val="center"/>
          </w:tcPr>
          <w:p>
            <w:r>
              <w:rPr>
                <w:b/>
                <w:bCs/>
                <w:color w:val="FFFFFF"/>
                <w:sz w:val="20"/>
                <w:szCs w:val="20"/>
              </w:rPr>
              <w:t xml:space="preserve">Best Channel (most efficient)</w:t>
            </w:r>
          </w:p>
        </w:tc>
        <w:tc>
          <w:tcPr>
            <w:tcW w:type="dxa" w:w="3480"/>
            <w:shd w:fill="2E5395" w:color="auto" w:val="clear"/>
            <w:tcMar>
              <w:top w:type="dxa" w:w="80"/>
              <w:left w:type="dxa" w:w="100"/>
              <w:bottom w:type="dxa" w:w="80"/>
              <w:right w:type="dxa" w:w="100"/>
            </w:tcMar>
            <w:vAlign w:val="center"/>
          </w:tcPr>
          <w:p>
            <w:r>
              <w:rPr>
                <w:b/>
                <w:bCs/>
                <w:color w:val="FFFFFF"/>
                <w:sz w:val="20"/>
                <w:szCs w:val="20"/>
              </w:rPr>
              <w:t xml:space="preserve">Weakest Channel (least efficient)</w:t>
            </w:r>
          </w:p>
        </w:tc>
      </w:tr>
      <w:tr>
        <w:tc>
          <w:tcPr>
            <w:tcW w:type="dxa" w:w="2400"/>
            <w:tcMar>
              <w:top w:type="dxa" w:w="70"/>
              <w:left w:type="dxa" w:w="100"/>
              <w:bottom w:type="dxa" w:w="70"/>
              <w:right w:type="dxa" w:w="100"/>
            </w:tcMar>
            <w:vAlign w:val="center"/>
          </w:tcPr>
          <w:p>
            <w:r>
              <w:rPr>
                <w:b w:val="false"/>
                <w:bCs w:val="false"/>
                <w:sz w:val="20"/>
                <w:szCs w:val="20"/>
              </w:rPr>
              <w:t xml:space="preserve">Nykaa</w:t>
            </w:r>
          </w:p>
        </w:tc>
        <w:tc>
          <w:tcPr>
            <w:tcW w:type="dxa" w:w="3480"/>
            <w:tcMar>
              <w:top w:type="dxa" w:w="70"/>
              <w:left w:type="dxa" w:w="100"/>
              <w:bottom w:type="dxa" w:w="70"/>
              <w:right w:type="dxa" w:w="100"/>
            </w:tcMar>
            <w:vAlign w:val="center"/>
          </w:tcPr>
          <w:p>
            <w:r>
              <w:rPr>
                <w:b w:val="false"/>
                <w:bCs w:val="false"/>
                <w:sz w:val="20"/>
                <w:szCs w:val="20"/>
              </w:rPr>
              <w:t xml:space="preserve">Email</w:t>
            </w:r>
          </w:p>
        </w:tc>
        <w:tc>
          <w:tcPr>
            <w:tcW w:type="dxa" w:w="3480"/>
            <w:tcMar>
              <w:top w:type="dxa" w:w="70"/>
              <w:left w:type="dxa" w:w="100"/>
              <w:bottom w:type="dxa" w:w="70"/>
              <w:right w:type="dxa" w:w="100"/>
            </w:tcMar>
            <w:vAlign w:val="center"/>
          </w:tcPr>
          <w:p>
            <w:r>
              <w:rPr>
                <w:b w:val="false"/>
                <w:bCs w:val="false"/>
                <w:sz w:val="20"/>
                <w:szCs w:val="20"/>
              </w:rPr>
              <w:t xml:space="preserve">Google</w:t>
            </w:r>
          </w:p>
        </w:tc>
      </w:tr>
      <w:tr>
        <w:tc>
          <w:tcPr>
            <w:tcW w:type="dxa" w:w="2400"/>
            <w:shd w:fill="F2F2F2" w:color="auto" w:val="clear"/>
            <w:tcMar>
              <w:top w:type="dxa" w:w="70"/>
              <w:left w:type="dxa" w:w="100"/>
              <w:bottom w:type="dxa" w:w="70"/>
              <w:right w:type="dxa" w:w="100"/>
            </w:tcMar>
            <w:vAlign w:val="center"/>
          </w:tcPr>
          <w:p>
            <w:r>
              <w:rPr>
                <w:b w:val="false"/>
                <w:bCs w:val="false"/>
                <w:sz w:val="20"/>
                <w:szCs w:val="20"/>
              </w:rPr>
              <w:t xml:space="preserve">Purplle</w:t>
            </w:r>
          </w:p>
        </w:tc>
        <w:tc>
          <w:tcPr>
            <w:tcW w:type="dxa" w:w="3480"/>
            <w:shd w:fill="F2F2F2" w:color="auto" w:val="clear"/>
            <w:tcMar>
              <w:top w:type="dxa" w:w="70"/>
              <w:left w:type="dxa" w:w="100"/>
              <w:bottom w:type="dxa" w:w="70"/>
              <w:right w:type="dxa" w:w="100"/>
            </w:tcMar>
            <w:vAlign w:val="center"/>
          </w:tcPr>
          <w:p>
            <w:r>
              <w:rPr>
                <w:b w:val="false"/>
                <w:bCs w:val="false"/>
                <w:sz w:val="20"/>
                <w:szCs w:val="20"/>
              </w:rPr>
              <w:t xml:space="preserve">Email</w:t>
            </w:r>
          </w:p>
        </w:tc>
        <w:tc>
          <w:tcPr>
            <w:tcW w:type="dxa" w:w="3480"/>
            <w:shd w:fill="F2F2F2" w:color="auto" w:val="clear"/>
            <w:tcMar>
              <w:top w:type="dxa" w:w="70"/>
              <w:left w:type="dxa" w:w="100"/>
              <w:bottom w:type="dxa" w:w="70"/>
              <w:right w:type="dxa" w:w="100"/>
            </w:tcMar>
            <w:vAlign w:val="center"/>
          </w:tcPr>
          <w:p>
            <w:r>
              <w:rPr>
                <w:b w:val="false"/>
                <w:bCs w:val="false"/>
                <w:sz w:val="20"/>
                <w:szCs w:val="20"/>
              </w:rPr>
              <w:t xml:space="preserve">YouTube</w:t>
            </w:r>
          </w:p>
        </w:tc>
      </w:tr>
      <w:tr>
        <w:tc>
          <w:tcPr>
            <w:tcW w:type="dxa" w:w="2400"/>
            <w:tcMar>
              <w:top w:type="dxa" w:w="70"/>
              <w:left w:type="dxa" w:w="100"/>
              <w:bottom w:type="dxa" w:w="70"/>
              <w:right w:type="dxa" w:w="100"/>
            </w:tcMar>
            <w:vAlign w:val="center"/>
          </w:tcPr>
          <w:p>
            <w:r>
              <w:rPr>
                <w:b w:val="false"/>
                <w:bCs w:val="false"/>
                <w:sz w:val="20"/>
                <w:szCs w:val="20"/>
              </w:rPr>
              <w:t xml:space="preserve">Tira</w:t>
            </w:r>
          </w:p>
        </w:tc>
        <w:tc>
          <w:tcPr>
            <w:tcW w:type="dxa" w:w="3480"/>
            <w:tcMar>
              <w:top w:type="dxa" w:w="70"/>
              <w:left w:type="dxa" w:w="100"/>
              <w:bottom w:type="dxa" w:w="70"/>
              <w:right w:type="dxa" w:w="100"/>
            </w:tcMar>
            <w:vAlign w:val="center"/>
          </w:tcPr>
          <w:p>
            <w:r>
              <w:rPr>
                <w:b w:val="false"/>
                <w:bCs w:val="false"/>
                <w:sz w:val="20"/>
                <w:szCs w:val="20"/>
              </w:rPr>
              <w:t xml:space="preserve">Facebook</w:t>
            </w:r>
          </w:p>
        </w:tc>
        <w:tc>
          <w:tcPr>
            <w:tcW w:type="dxa" w:w="3480"/>
            <w:tcMar>
              <w:top w:type="dxa" w:w="70"/>
              <w:left w:type="dxa" w:w="100"/>
              <w:bottom w:type="dxa" w:w="70"/>
              <w:right w:type="dxa" w:w="100"/>
            </w:tcMar>
            <w:vAlign w:val="center"/>
          </w:tcPr>
          <w:p>
            <w:r>
              <w:rPr>
                <w:b w:val="false"/>
                <w:bCs w:val="false"/>
                <w:sz w:val="20"/>
                <w:szCs w:val="20"/>
              </w:rPr>
              <w:t xml:space="preserve">YouTube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B" w:color="auto" w:val="clear"/>
            <w:tcMar>
              <w:top w:type="dxa" w:w="140"/>
              <w:left w:type="dxa" w:w="180"/>
              <w:bottom w:type="dxa" w:w="140"/>
              <w:right w:type="dxa" w:w="180"/>
            </w:tcMar>
          </w:tcPr>
          <w:p>
            <w:pPr>
              <w:spacing w:after="60"/>
            </w:pPr>
            <w:r>
              <w:rPr>
                <w:b/>
                <w:bCs/>
                <w:color w:val="2E5395"/>
                <w:sz w:val="21"/>
                <w:szCs w:val="21"/>
              </w:rPr>
              <w:t xml:space="preserve">What this means:</w:t>
            </w:r>
          </w:p>
          <w:p>
            <w:r>
              <w:rPr>
                <w:sz w:val="21"/>
                <w:szCs w:val="21"/>
              </w:rPr>
              <w:t xml:space="preserve">Email is the strongest channel for both Nykaa and Purplle. YouTube shows up as the weakest channel for two out of three brands (Purplle and Tira), and Google is the weakest for Nykaa. This is consistent enough across brands to be a real pattern, not noise.</w:t>
            </w:r>
          </w:p>
        </w:tc>
      </w:tr>
    </w:tbl>
    <w:p>
      <w:pPr>
        <w:spacing w:after="160"/>
      </w:pPr>
      <w:r>
        <w:t xml:space="preserve"/>
      </w:r>
    </w:p>
    <w:p>
      <w:pPr>
        <w:spacing w:after="160"/>
      </w:pPr>
      <w:r>
        <w:t xml:space="preserve">Recommendation: Shift a small, test portion of YouTube and Google budget toward Email (and Facebook for Tira) for one quarter, and compare conversion rates before rolling out a bigger budget change. Since all channels are fairly close in performance, this should be tested gradually rather than all at once.</w:t>
      </w:r>
    </w:p>
    <w:p>
      <w:pPr>
        <w:pStyle w:val="Heading1"/>
        <w:spacing w:after="150" w:before="320"/>
      </w:pPr>
      <w:r>
        <w:t xml:space="preserve">4. Which customer segment to prioritize</w:t>
      </w:r>
    </w:p>
    <w:p>
      <w:pPr>
        <w:spacing w:after="160"/>
      </w:pPr>
      <w:r>
        <w:t xml:space="preserve">Each brand's customers were grouped into five segments: Youth, College Students, Working Women, Premium Shoppers, and Tier 2 City Customers. I compared segments by total revenue and by average ROI.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30"/>
        <w:gridCol w:w="2530"/>
      </w:tblGrid>
      <w:tr>
        <w:trPr>
          <w:tblHeader/>
        </w:trPr>
        <w:tc>
          <w:tcPr>
            <w:tcW w:type="dxa" w:w="1800"/>
            <w:shd w:fill="2E5395" w:color="auto" w:val="clear"/>
            <w:tcMar>
              <w:top w:type="dxa" w:w="80"/>
              <w:left w:type="dxa" w:w="100"/>
              <w:bottom w:type="dxa" w:w="80"/>
              <w:right w:type="dxa" w:w="100"/>
            </w:tcMar>
            <w:vAlign w:val="center"/>
          </w:tcPr>
          <w:p>
            <w:r>
              <w:rPr>
                <w:b/>
                <w:bCs/>
                <w:color w:val="FFFFFF"/>
                <w:sz w:val="20"/>
                <w:szCs w:val="20"/>
              </w:rPr>
              <w:t xml:space="preserve">Brand</w:t>
            </w:r>
          </w:p>
        </w:tc>
        <w:tc>
          <w:tcPr>
            <w:tcW w:type="dxa" w:w="2500"/>
            <w:shd w:fill="2E5395" w:color="auto" w:val="clear"/>
            <w:tcMar>
              <w:top w:type="dxa" w:w="80"/>
              <w:left w:type="dxa" w:w="100"/>
              <w:bottom w:type="dxa" w:w="80"/>
              <w:right w:type="dxa" w:w="100"/>
            </w:tcMar>
            <w:vAlign w:val="center"/>
          </w:tcPr>
          <w:p>
            <w:r>
              <w:rPr>
                <w:b/>
                <w:bCs/>
                <w:color w:val="FFFFFF"/>
                <w:sz w:val="20"/>
                <w:szCs w:val="20"/>
              </w:rPr>
              <w:t xml:space="preserve">Best Segment (Revenue)</w:t>
            </w:r>
          </w:p>
        </w:tc>
        <w:tc>
          <w:tcPr>
            <w:tcW w:type="dxa" w:w="2530"/>
            <w:shd w:fill="2E5395" w:color="auto" w:val="clear"/>
            <w:tcMar>
              <w:top w:type="dxa" w:w="80"/>
              <w:left w:type="dxa" w:w="100"/>
              <w:bottom w:type="dxa" w:w="80"/>
              <w:right w:type="dxa" w:w="100"/>
            </w:tcMar>
            <w:vAlign w:val="center"/>
          </w:tcPr>
          <w:p>
            <w:r>
              <w:rPr>
                <w:b/>
                <w:bCs/>
                <w:color w:val="FFFFFF"/>
                <w:sz w:val="20"/>
                <w:szCs w:val="20"/>
              </w:rPr>
              <w:t xml:space="preserve">Best Segment (ROI)</w:t>
            </w:r>
          </w:p>
        </w:tc>
        <w:tc>
          <w:tcPr>
            <w:tcW w:type="dxa" w:w="2530"/>
            <w:shd w:fill="2E5395" w:color="auto" w:val="clear"/>
            <w:tcMar>
              <w:top w:type="dxa" w:w="80"/>
              <w:left w:type="dxa" w:w="100"/>
              <w:bottom w:type="dxa" w:w="80"/>
              <w:right w:type="dxa" w:w="100"/>
            </w:tcMar>
            <w:vAlign w:val="center"/>
          </w:tcPr>
          <w:p>
            <w:r>
              <w:rPr>
                <w:b/>
                <w:bCs/>
                <w:color w:val="FFFFFF"/>
                <w:sz w:val="20"/>
                <w:szCs w:val="20"/>
              </w:rPr>
              <w:t xml:space="preserve">Weakest Segment (ROI)</w:t>
            </w:r>
          </w:p>
        </w:tc>
      </w:tr>
      <w:tr>
        <w:tc>
          <w:tcPr>
            <w:tcW w:type="dxa" w:w="1800"/>
            <w:tcMar>
              <w:top w:type="dxa" w:w="70"/>
              <w:left w:type="dxa" w:w="100"/>
              <w:bottom w:type="dxa" w:w="70"/>
              <w:right w:type="dxa" w:w="100"/>
            </w:tcMar>
            <w:vAlign w:val="center"/>
          </w:tcPr>
          <w:p>
            <w:r>
              <w:rPr>
                <w:b w:val="false"/>
                <w:bCs w:val="false"/>
                <w:sz w:val="20"/>
                <w:szCs w:val="20"/>
              </w:rPr>
              <w:t xml:space="preserve">Nykaa</w:t>
            </w:r>
          </w:p>
        </w:tc>
        <w:tc>
          <w:tcPr>
            <w:tcW w:type="dxa" w:w="2500"/>
            <w:tcMar>
              <w:top w:type="dxa" w:w="70"/>
              <w:left w:type="dxa" w:w="100"/>
              <w:bottom w:type="dxa" w:w="70"/>
              <w:right w:type="dxa" w:w="100"/>
            </w:tcMar>
            <w:vAlign w:val="center"/>
          </w:tcPr>
          <w:p>
            <w:r>
              <w:rPr>
                <w:b w:val="false"/>
                <w:bCs w:val="false"/>
                <w:sz w:val="20"/>
                <w:szCs w:val="20"/>
              </w:rPr>
              <w:t xml:space="preserve">Working Women</w:t>
            </w:r>
          </w:p>
        </w:tc>
        <w:tc>
          <w:tcPr>
            <w:tcW w:type="dxa" w:w="2530"/>
            <w:tcMar>
              <w:top w:type="dxa" w:w="70"/>
              <w:left w:type="dxa" w:w="100"/>
              <w:bottom w:type="dxa" w:w="70"/>
              <w:right w:type="dxa" w:w="100"/>
            </w:tcMar>
            <w:vAlign w:val="center"/>
          </w:tcPr>
          <w:p>
            <w:r>
              <w:rPr>
                <w:b w:val="false"/>
                <w:bCs w:val="false"/>
                <w:sz w:val="20"/>
                <w:szCs w:val="20"/>
              </w:rPr>
              <w:t xml:space="preserve">Working Women (2.77)</w:t>
            </w:r>
          </w:p>
        </w:tc>
        <w:tc>
          <w:tcPr>
            <w:tcW w:type="dxa" w:w="2530"/>
            <w:tcMar>
              <w:top w:type="dxa" w:w="70"/>
              <w:left w:type="dxa" w:w="100"/>
              <w:bottom w:type="dxa" w:w="70"/>
              <w:right w:type="dxa" w:w="100"/>
            </w:tcMar>
            <w:vAlign w:val="center"/>
          </w:tcPr>
          <w:p>
            <w:r>
              <w:rPr>
                <w:b w:val="false"/>
                <w:bCs w:val="false"/>
                <w:sz w:val="20"/>
                <w:szCs w:val="20"/>
              </w:rPr>
              <w:t xml:space="preserve">Youth (2.68)</w:t>
            </w:r>
          </w:p>
        </w:tc>
      </w:tr>
      <w:tr>
        <w:tc>
          <w:tcPr>
            <w:tcW w:type="dxa" w:w="1800"/>
            <w:shd w:fill="F2F2F2" w:color="auto" w:val="clear"/>
            <w:tcMar>
              <w:top w:type="dxa" w:w="70"/>
              <w:left w:type="dxa" w:w="100"/>
              <w:bottom w:type="dxa" w:w="70"/>
              <w:right w:type="dxa" w:w="100"/>
            </w:tcMar>
            <w:vAlign w:val="center"/>
          </w:tcPr>
          <w:p>
            <w:r>
              <w:rPr>
                <w:b w:val="false"/>
                <w:bCs w:val="false"/>
                <w:sz w:val="20"/>
                <w:szCs w:val="20"/>
              </w:rPr>
              <w:t xml:space="preserve">Purplle</w:t>
            </w:r>
          </w:p>
        </w:tc>
        <w:tc>
          <w:tcPr>
            <w:tcW w:type="dxa" w:w="2500"/>
            <w:shd w:fill="F2F2F2" w:color="auto" w:val="clear"/>
            <w:tcMar>
              <w:top w:type="dxa" w:w="70"/>
              <w:left w:type="dxa" w:w="100"/>
              <w:bottom w:type="dxa" w:w="70"/>
              <w:right w:type="dxa" w:w="100"/>
            </w:tcMar>
            <w:vAlign w:val="center"/>
          </w:tcPr>
          <w:p>
            <w:r>
              <w:rPr>
                <w:b w:val="false"/>
                <w:bCs w:val="false"/>
                <w:sz w:val="20"/>
                <w:szCs w:val="20"/>
              </w:rPr>
              <w:t xml:space="preserve">Youth</w:t>
            </w:r>
          </w:p>
        </w:tc>
        <w:tc>
          <w:tcPr>
            <w:tcW w:type="dxa" w:w="2530"/>
            <w:shd w:fill="F2F2F2" w:color="auto" w:val="clear"/>
            <w:tcMar>
              <w:top w:type="dxa" w:w="70"/>
              <w:left w:type="dxa" w:w="100"/>
              <w:bottom w:type="dxa" w:w="70"/>
              <w:right w:type="dxa" w:w="100"/>
            </w:tcMar>
            <w:vAlign w:val="center"/>
          </w:tcPr>
          <w:p>
            <w:r>
              <w:rPr>
                <w:b w:val="false"/>
                <w:bCs w:val="false"/>
                <w:sz w:val="20"/>
                <w:szCs w:val="20"/>
              </w:rPr>
              <w:t xml:space="preserve">College Students (2.74)</w:t>
            </w:r>
          </w:p>
        </w:tc>
        <w:tc>
          <w:tcPr>
            <w:tcW w:type="dxa" w:w="2530"/>
            <w:shd w:fill="F2F2F2" w:color="auto" w:val="clear"/>
            <w:tcMar>
              <w:top w:type="dxa" w:w="70"/>
              <w:left w:type="dxa" w:w="100"/>
              <w:bottom w:type="dxa" w:w="70"/>
              <w:right w:type="dxa" w:w="100"/>
            </w:tcMar>
            <w:vAlign w:val="center"/>
          </w:tcPr>
          <w:p>
            <w:r>
              <w:rPr>
                <w:b w:val="false"/>
                <w:bCs w:val="false"/>
                <w:sz w:val="20"/>
                <w:szCs w:val="20"/>
              </w:rPr>
              <w:t xml:space="preserve">Premium Shoppers (2.63)</w:t>
            </w:r>
          </w:p>
        </w:tc>
      </w:tr>
      <w:tr>
        <w:tc>
          <w:tcPr>
            <w:tcW w:type="dxa" w:w="1800"/>
            <w:tcMar>
              <w:top w:type="dxa" w:w="70"/>
              <w:left w:type="dxa" w:w="100"/>
              <w:bottom w:type="dxa" w:w="70"/>
              <w:right w:type="dxa" w:w="100"/>
            </w:tcMar>
            <w:vAlign w:val="center"/>
          </w:tcPr>
          <w:p>
            <w:r>
              <w:rPr>
                <w:b w:val="false"/>
                <w:bCs w:val="false"/>
                <w:sz w:val="20"/>
                <w:szCs w:val="20"/>
              </w:rPr>
              <w:t xml:space="preserve">Tira</w:t>
            </w:r>
          </w:p>
        </w:tc>
        <w:tc>
          <w:tcPr>
            <w:tcW w:type="dxa" w:w="2500"/>
            <w:tcMar>
              <w:top w:type="dxa" w:w="70"/>
              <w:left w:type="dxa" w:w="100"/>
              <w:bottom w:type="dxa" w:w="70"/>
              <w:right w:type="dxa" w:w="100"/>
            </w:tcMar>
            <w:vAlign w:val="center"/>
          </w:tcPr>
          <w:p>
            <w:r>
              <w:rPr>
                <w:b w:val="false"/>
                <w:bCs w:val="false"/>
                <w:sz w:val="20"/>
                <w:szCs w:val="20"/>
              </w:rPr>
              <w:t xml:space="preserve">Youth</w:t>
            </w:r>
          </w:p>
        </w:tc>
        <w:tc>
          <w:tcPr>
            <w:tcW w:type="dxa" w:w="2530"/>
            <w:tcMar>
              <w:top w:type="dxa" w:w="70"/>
              <w:left w:type="dxa" w:w="100"/>
              <w:bottom w:type="dxa" w:w="70"/>
              <w:right w:type="dxa" w:w="100"/>
            </w:tcMar>
            <w:vAlign w:val="center"/>
          </w:tcPr>
          <w:p>
            <w:r>
              <w:rPr>
                <w:b w:val="false"/>
                <w:bCs w:val="false"/>
                <w:sz w:val="20"/>
                <w:szCs w:val="20"/>
              </w:rPr>
              <w:t xml:space="preserve">Youth (2.72)</w:t>
            </w:r>
          </w:p>
        </w:tc>
        <w:tc>
          <w:tcPr>
            <w:tcW w:type="dxa" w:w="2530"/>
            <w:tcMar>
              <w:top w:type="dxa" w:w="70"/>
              <w:left w:type="dxa" w:w="100"/>
              <w:bottom w:type="dxa" w:w="70"/>
              <w:right w:type="dxa" w:w="100"/>
            </w:tcMar>
            <w:vAlign w:val="center"/>
          </w:tcPr>
          <w:p>
            <w:r>
              <w:rPr>
                <w:b w:val="false"/>
                <w:bCs w:val="false"/>
                <w:sz w:val="20"/>
                <w:szCs w:val="20"/>
              </w:rPr>
              <w:t xml:space="preserve">Premium Shoppers (2.61)</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B" w:color="auto" w:val="clear"/>
            <w:tcMar>
              <w:top w:type="dxa" w:w="140"/>
              <w:left w:type="dxa" w:w="180"/>
              <w:bottom w:type="dxa" w:w="140"/>
              <w:right w:type="dxa" w:w="180"/>
            </w:tcMar>
          </w:tcPr>
          <w:p>
            <w:pPr>
              <w:spacing w:after="60"/>
            </w:pPr>
            <w:r>
              <w:rPr>
                <w:b/>
                <w:bCs/>
                <w:color w:val="2E5395"/>
                <w:sz w:val="21"/>
                <w:szCs w:val="21"/>
              </w:rPr>
              <w:t xml:space="preserve">What this means:</w:t>
            </w:r>
          </w:p>
          <w:p>
            <w:r>
              <w:rPr>
                <w:sz w:val="21"/>
                <w:szCs w:val="21"/>
              </w:rPr>
              <w:t xml:space="preserve">Premium Shoppers is the weakest segment on ROI for both Purplle and Tira, even though this segment still brings in decent revenue. That's a warning sign — the brand is spending money to reach these customers, but not getting the best return compared to other segments. For Nykaa, Youth is the underperforming segment instead.</w:t>
            </w:r>
          </w:p>
        </w:tc>
      </w:tr>
    </w:tbl>
    <w:p>
      <w:pPr>
        <w:spacing w:after="160"/>
      </w:pPr>
      <w:r>
        <w:t xml:space="preserve"/>
      </w:r>
    </w:p>
    <w:p>
      <w:pPr>
        <w:spacing w:after="160"/>
      </w:pPr>
      <w:r>
        <w:t xml:space="preserve">Recommendation: Purplle and Tira should review what's being spent on Premium Shopper campaigns — either the messaging isn't landing with this group, or the acquisition cost for reaching them is too high. Nykaa should do the same check for its Youth segment. Meanwhile, Working Women (Nykaa), College Students (Purplle) and Youth (Tira) are the safest segments to increase spend on.</w:t>
      </w:r>
    </w:p>
    <w:p>
      <w:pPr>
        <w:pStyle w:val="Heading1"/>
        <w:spacing w:after="150" w:before="320"/>
      </w:pPr>
      <w:r>
        <w:t xml:space="preserve">5. Does campaign duration affect ROI?</w:t>
      </w:r>
    </w:p>
    <w:p>
      <w:pPr>
        <w:spacing w:after="160"/>
      </w:pPr>
      <w:r>
        <w:t xml:space="preserve">Campaigns were grouped into duration bands: 1–7 days, 8–14 days, and 15–30 days (very few campaigns ran longer than that). Here is the average ROI for each band, by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30"/>
        <w:gridCol w:w="1930"/>
        <w:gridCol w:w="1930"/>
        <w:gridCol w:w="1770"/>
      </w:tblGrid>
      <w:tr>
        <w:trPr>
          <w:tblHeader/>
        </w:trPr>
        <w:tc>
          <w:tcPr>
            <w:tcW w:type="dxa" w:w="1800"/>
            <w:shd w:fill="2E5395" w:color="auto" w:val="clear"/>
            <w:tcMar>
              <w:top w:type="dxa" w:w="80"/>
              <w:left w:type="dxa" w:w="100"/>
              <w:bottom w:type="dxa" w:w="80"/>
              <w:right w:type="dxa" w:w="100"/>
            </w:tcMar>
            <w:vAlign w:val="center"/>
          </w:tcPr>
          <w:p>
            <w:r>
              <w:rPr>
                <w:b/>
                <w:bCs/>
                <w:color w:val="FFFFFF"/>
                <w:sz w:val="20"/>
                <w:szCs w:val="20"/>
              </w:rPr>
              <w:t xml:space="preserve">Brand</w:t>
            </w:r>
          </w:p>
        </w:tc>
        <w:tc>
          <w:tcPr>
            <w:tcW w:type="dxa" w:w="1930"/>
            <w:shd w:fill="2E5395" w:color="auto" w:val="clear"/>
            <w:tcMar>
              <w:top w:type="dxa" w:w="80"/>
              <w:left w:type="dxa" w:w="100"/>
              <w:bottom w:type="dxa" w:w="80"/>
              <w:right w:type="dxa" w:w="100"/>
            </w:tcMar>
            <w:vAlign w:val="center"/>
          </w:tcPr>
          <w:p>
            <w:r>
              <w:rPr>
                <w:b/>
                <w:bCs/>
                <w:color w:val="FFFFFF"/>
                <w:sz w:val="20"/>
                <w:szCs w:val="20"/>
              </w:rPr>
              <w:t xml:space="preserve">1–7 Days</w:t>
            </w:r>
          </w:p>
        </w:tc>
        <w:tc>
          <w:tcPr>
            <w:tcW w:type="dxa" w:w="1930"/>
            <w:shd w:fill="2E5395" w:color="auto" w:val="clear"/>
            <w:tcMar>
              <w:top w:type="dxa" w:w="80"/>
              <w:left w:type="dxa" w:w="100"/>
              <w:bottom w:type="dxa" w:w="80"/>
              <w:right w:type="dxa" w:w="100"/>
            </w:tcMar>
            <w:vAlign w:val="center"/>
          </w:tcPr>
          <w:p>
            <w:r>
              <w:rPr>
                <w:b/>
                <w:bCs/>
                <w:color w:val="FFFFFF"/>
                <w:sz w:val="20"/>
                <w:szCs w:val="20"/>
              </w:rPr>
              <w:t xml:space="preserve">8–14 Days</w:t>
            </w:r>
          </w:p>
        </w:tc>
        <w:tc>
          <w:tcPr>
            <w:tcW w:type="dxa" w:w="1930"/>
            <w:shd w:fill="2E5395" w:color="auto" w:val="clear"/>
            <w:tcMar>
              <w:top w:type="dxa" w:w="80"/>
              <w:left w:type="dxa" w:w="100"/>
              <w:bottom w:type="dxa" w:w="80"/>
              <w:right w:type="dxa" w:w="100"/>
            </w:tcMar>
            <w:vAlign w:val="center"/>
          </w:tcPr>
          <w:p>
            <w:r>
              <w:rPr>
                <w:b/>
                <w:bCs/>
                <w:color w:val="FFFFFF"/>
                <w:sz w:val="20"/>
                <w:szCs w:val="20"/>
              </w:rPr>
              <w:t xml:space="preserve">15–30 Days</w:t>
            </w:r>
          </w:p>
        </w:tc>
        <w:tc>
          <w:tcPr>
            <w:tcW w:type="dxa" w:w="1770"/>
            <w:shd w:fill="2E5395" w:color="auto" w:val="clear"/>
            <w:tcMar>
              <w:top w:type="dxa" w:w="80"/>
              <w:left w:type="dxa" w:w="100"/>
              <w:bottom w:type="dxa" w:w="80"/>
              <w:right w:type="dxa" w:w="100"/>
            </w:tcMar>
            <w:vAlign w:val="center"/>
          </w:tcPr>
          <w:p>
            <w:r>
              <w:rPr>
                <w:b/>
                <w:bCs/>
                <w:color w:val="FFFFFF"/>
                <w:sz w:val="20"/>
                <w:szCs w:val="20"/>
              </w:rPr>
              <w:t xml:space="preserve">Best Band</w:t>
            </w:r>
          </w:p>
        </w:tc>
      </w:tr>
      <w:tr>
        <w:tc>
          <w:tcPr>
            <w:tcW w:type="dxa" w:w="1800"/>
            <w:tcMar>
              <w:top w:type="dxa" w:w="70"/>
              <w:left w:type="dxa" w:w="100"/>
              <w:bottom w:type="dxa" w:w="70"/>
              <w:right w:type="dxa" w:w="100"/>
            </w:tcMar>
            <w:vAlign w:val="center"/>
          </w:tcPr>
          <w:p>
            <w:r>
              <w:rPr>
                <w:b w:val="false"/>
                <w:bCs w:val="false"/>
                <w:sz w:val="20"/>
                <w:szCs w:val="20"/>
              </w:rPr>
              <w:t xml:space="preserve">Nykaa</w:t>
            </w:r>
          </w:p>
        </w:tc>
        <w:tc>
          <w:tcPr>
            <w:tcW w:type="dxa" w:w="1930"/>
            <w:tcMar>
              <w:top w:type="dxa" w:w="70"/>
              <w:left w:type="dxa" w:w="100"/>
              <w:bottom w:type="dxa" w:w="70"/>
              <w:right w:type="dxa" w:w="100"/>
            </w:tcMar>
            <w:vAlign w:val="center"/>
          </w:tcPr>
          <w:p>
            <w:r>
              <w:rPr>
                <w:b w:val="false"/>
                <w:bCs w:val="false"/>
                <w:sz w:val="20"/>
                <w:szCs w:val="20"/>
              </w:rPr>
              <w:t xml:space="preserve">2.65</w:t>
            </w:r>
          </w:p>
        </w:tc>
        <w:tc>
          <w:tcPr>
            <w:tcW w:type="dxa" w:w="1930"/>
            <w:tcMar>
              <w:top w:type="dxa" w:w="70"/>
              <w:left w:type="dxa" w:w="100"/>
              <w:bottom w:type="dxa" w:w="70"/>
              <w:right w:type="dxa" w:w="100"/>
            </w:tcMar>
            <w:vAlign w:val="center"/>
          </w:tcPr>
          <w:p>
            <w:r>
              <w:rPr>
                <w:b w:val="false"/>
                <w:bCs w:val="false"/>
                <w:sz w:val="20"/>
                <w:szCs w:val="20"/>
              </w:rPr>
              <w:t xml:space="preserve">2.69</w:t>
            </w:r>
          </w:p>
        </w:tc>
        <w:tc>
          <w:tcPr>
            <w:tcW w:type="dxa" w:w="1930"/>
            <w:tcMar>
              <w:top w:type="dxa" w:w="70"/>
              <w:left w:type="dxa" w:w="100"/>
              <w:bottom w:type="dxa" w:w="70"/>
              <w:right w:type="dxa" w:w="100"/>
            </w:tcMar>
            <w:vAlign w:val="center"/>
          </w:tcPr>
          <w:p>
            <w:r>
              <w:rPr>
                <w:b w:val="false"/>
                <w:bCs w:val="false"/>
                <w:sz w:val="20"/>
                <w:szCs w:val="20"/>
              </w:rPr>
              <w:t xml:space="preserve">2.74</w:t>
            </w:r>
          </w:p>
        </w:tc>
        <w:tc>
          <w:tcPr>
            <w:tcW w:type="dxa" w:w="1770"/>
            <w:tcMar>
              <w:top w:type="dxa" w:w="70"/>
              <w:left w:type="dxa" w:w="100"/>
              <w:bottom w:type="dxa" w:w="70"/>
              <w:right w:type="dxa" w:w="100"/>
            </w:tcMar>
            <w:vAlign w:val="center"/>
          </w:tcPr>
          <w:p>
            <w:r>
              <w:rPr>
                <w:b w:val="false"/>
                <w:bCs w:val="false"/>
                <w:sz w:val="20"/>
                <w:szCs w:val="20"/>
              </w:rPr>
              <w:t xml:space="preserve">15–30 days</w:t>
            </w:r>
          </w:p>
        </w:tc>
      </w:tr>
      <w:tr>
        <w:tc>
          <w:tcPr>
            <w:tcW w:type="dxa" w:w="1800"/>
            <w:shd w:fill="F2F2F2" w:color="auto" w:val="clear"/>
            <w:tcMar>
              <w:top w:type="dxa" w:w="70"/>
              <w:left w:type="dxa" w:w="100"/>
              <w:bottom w:type="dxa" w:w="70"/>
              <w:right w:type="dxa" w:w="100"/>
            </w:tcMar>
            <w:vAlign w:val="center"/>
          </w:tcPr>
          <w:p>
            <w:r>
              <w:rPr>
                <w:b w:val="false"/>
                <w:bCs w:val="false"/>
                <w:sz w:val="20"/>
                <w:szCs w:val="20"/>
              </w:rPr>
              <w:t xml:space="preserve">Purplle</w:t>
            </w:r>
          </w:p>
        </w:tc>
        <w:tc>
          <w:tcPr>
            <w:tcW w:type="dxa" w:w="1930"/>
            <w:shd w:fill="F2F2F2" w:color="auto" w:val="clear"/>
            <w:tcMar>
              <w:top w:type="dxa" w:w="70"/>
              <w:left w:type="dxa" w:w="100"/>
              <w:bottom w:type="dxa" w:w="70"/>
              <w:right w:type="dxa" w:w="100"/>
            </w:tcMar>
            <w:vAlign w:val="center"/>
          </w:tcPr>
          <w:p>
            <w:r>
              <w:rPr>
                <w:b w:val="false"/>
                <w:bCs w:val="false"/>
                <w:sz w:val="20"/>
                <w:szCs w:val="20"/>
              </w:rPr>
              <w:t xml:space="preserve">2.73</w:t>
            </w:r>
          </w:p>
        </w:tc>
        <w:tc>
          <w:tcPr>
            <w:tcW w:type="dxa" w:w="1930"/>
            <w:shd w:fill="F2F2F2" w:color="auto" w:val="clear"/>
            <w:tcMar>
              <w:top w:type="dxa" w:w="70"/>
              <w:left w:type="dxa" w:w="100"/>
              <w:bottom w:type="dxa" w:w="70"/>
              <w:right w:type="dxa" w:w="100"/>
            </w:tcMar>
            <w:vAlign w:val="center"/>
          </w:tcPr>
          <w:p>
            <w:r>
              <w:rPr>
                <w:b w:val="false"/>
                <w:bCs w:val="false"/>
                <w:sz w:val="20"/>
                <w:szCs w:val="20"/>
              </w:rPr>
              <w:t xml:space="preserve">2.67</w:t>
            </w:r>
          </w:p>
        </w:tc>
        <w:tc>
          <w:tcPr>
            <w:tcW w:type="dxa" w:w="1930"/>
            <w:shd w:fill="F2F2F2" w:color="auto" w:val="clear"/>
            <w:tcMar>
              <w:top w:type="dxa" w:w="70"/>
              <w:left w:type="dxa" w:w="100"/>
              <w:bottom w:type="dxa" w:w="70"/>
              <w:right w:type="dxa" w:w="100"/>
            </w:tcMar>
            <w:vAlign w:val="center"/>
          </w:tcPr>
          <w:p>
            <w:r>
              <w:rPr>
                <w:b w:val="false"/>
                <w:bCs w:val="false"/>
                <w:sz w:val="20"/>
                <w:szCs w:val="20"/>
              </w:rPr>
              <w:t xml:space="preserve">2.68</w:t>
            </w:r>
          </w:p>
        </w:tc>
        <w:tc>
          <w:tcPr>
            <w:tcW w:type="dxa" w:w="1770"/>
            <w:shd w:fill="F2F2F2" w:color="auto" w:val="clear"/>
            <w:tcMar>
              <w:top w:type="dxa" w:w="70"/>
              <w:left w:type="dxa" w:w="100"/>
              <w:bottom w:type="dxa" w:w="70"/>
              <w:right w:type="dxa" w:w="100"/>
            </w:tcMar>
            <w:vAlign w:val="center"/>
          </w:tcPr>
          <w:p>
            <w:r>
              <w:rPr>
                <w:b w:val="false"/>
                <w:bCs w:val="false"/>
                <w:sz w:val="20"/>
                <w:szCs w:val="20"/>
              </w:rPr>
              <w:t xml:space="preserve">1–7 days</w:t>
            </w:r>
          </w:p>
        </w:tc>
      </w:tr>
      <w:tr>
        <w:tc>
          <w:tcPr>
            <w:tcW w:type="dxa" w:w="1800"/>
            <w:tcMar>
              <w:top w:type="dxa" w:w="70"/>
              <w:left w:type="dxa" w:w="100"/>
              <w:bottom w:type="dxa" w:w="70"/>
              <w:right w:type="dxa" w:w="100"/>
            </w:tcMar>
            <w:vAlign w:val="center"/>
          </w:tcPr>
          <w:p>
            <w:r>
              <w:rPr>
                <w:b w:val="false"/>
                <w:bCs w:val="false"/>
                <w:sz w:val="20"/>
                <w:szCs w:val="20"/>
              </w:rPr>
              <w:t xml:space="preserve">Tira</w:t>
            </w:r>
          </w:p>
        </w:tc>
        <w:tc>
          <w:tcPr>
            <w:tcW w:type="dxa" w:w="1930"/>
            <w:tcMar>
              <w:top w:type="dxa" w:w="70"/>
              <w:left w:type="dxa" w:w="100"/>
              <w:bottom w:type="dxa" w:w="70"/>
              <w:right w:type="dxa" w:w="100"/>
            </w:tcMar>
            <w:vAlign w:val="center"/>
          </w:tcPr>
          <w:p>
            <w:r>
              <w:rPr>
                <w:b w:val="false"/>
                <w:bCs w:val="false"/>
                <w:sz w:val="20"/>
                <w:szCs w:val="20"/>
              </w:rPr>
              <w:t xml:space="preserve">2.66</w:t>
            </w:r>
          </w:p>
        </w:tc>
        <w:tc>
          <w:tcPr>
            <w:tcW w:type="dxa" w:w="1930"/>
            <w:tcMar>
              <w:top w:type="dxa" w:w="70"/>
              <w:left w:type="dxa" w:w="100"/>
              <w:bottom w:type="dxa" w:w="70"/>
              <w:right w:type="dxa" w:w="100"/>
            </w:tcMar>
            <w:vAlign w:val="center"/>
          </w:tcPr>
          <w:p>
            <w:r>
              <w:rPr>
                <w:b w:val="false"/>
                <w:bCs w:val="false"/>
                <w:sz w:val="20"/>
                <w:szCs w:val="20"/>
              </w:rPr>
              <w:t xml:space="preserve">2.72</w:t>
            </w:r>
          </w:p>
        </w:tc>
        <w:tc>
          <w:tcPr>
            <w:tcW w:type="dxa" w:w="1930"/>
            <w:tcMar>
              <w:top w:type="dxa" w:w="70"/>
              <w:left w:type="dxa" w:w="100"/>
              <w:bottom w:type="dxa" w:w="70"/>
              <w:right w:type="dxa" w:w="100"/>
            </w:tcMar>
            <w:vAlign w:val="center"/>
          </w:tcPr>
          <w:p>
            <w:r>
              <w:rPr>
                <w:b w:val="false"/>
                <w:bCs w:val="false"/>
                <w:sz w:val="20"/>
                <w:szCs w:val="20"/>
              </w:rPr>
              <w:t xml:space="preserve">2.66</w:t>
            </w:r>
          </w:p>
        </w:tc>
        <w:tc>
          <w:tcPr>
            <w:tcW w:type="dxa" w:w="1770"/>
            <w:tcMar>
              <w:top w:type="dxa" w:w="70"/>
              <w:left w:type="dxa" w:w="100"/>
              <w:bottom w:type="dxa" w:w="70"/>
              <w:right w:type="dxa" w:w="100"/>
            </w:tcMar>
            <w:vAlign w:val="center"/>
          </w:tcPr>
          <w:p>
            <w:r>
              <w:rPr>
                <w:b w:val="false"/>
                <w:bCs w:val="false"/>
                <w:sz w:val="20"/>
                <w:szCs w:val="20"/>
              </w:rPr>
              <w:t xml:space="preserve">8–14 days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B" w:color="auto" w:val="clear"/>
            <w:tcMar>
              <w:top w:type="dxa" w:w="140"/>
              <w:left w:type="dxa" w:w="180"/>
              <w:bottom w:type="dxa" w:w="140"/>
              <w:right w:type="dxa" w:w="180"/>
            </w:tcMar>
          </w:tcPr>
          <w:p>
            <w:pPr>
              <w:spacing w:after="60"/>
            </w:pPr>
            <w:r>
              <w:rPr>
                <w:b/>
                <w:bCs/>
                <w:color w:val="2E5395"/>
                <w:sz w:val="21"/>
                <w:szCs w:val="21"/>
              </w:rPr>
              <w:t xml:space="preserve">What this means:</w:t>
            </w:r>
          </w:p>
          <w:p>
            <w:r>
              <w:rPr>
                <w:sz w:val="21"/>
                <w:szCs w:val="21"/>
              </w:rPr>
              <w:t xml:space="preserve">There isn't one "right" campaign length that works for every brand — the best duration is different for each one, and the ROI differences between bands are small (roughly 2.6 to 2.75 across the board). So campaign duration on its own is not a major lever for improving ROI.</w:t>
            </w:r>
          </w:p>
        </w:tc>
      </w:tr>
    </w:tbl>
    <w:p>
      <w:pPr>
        <w:spacing w:after="160"/>
      </w:pPr>
      <w:r>
        <w:t xml:space="preserve"/>
      </w:r>
    </w:p>
    <w:p>
      <w:pPr>
        <w:spacing w:after="160"/>
      </w:pPr>
      <w:r>
        <w:t xml:space="preserve">Recommendation: Don't force a single "ideal campaign length" rule across all three brands. Instead, each brand should keep running its current mix of durations, and focus improvement efforts on channel and segment choices instead, which show bigger, more consistent differences.</w:t>
      </w:r>
    </w:p>
    <w:p>
      <w:pPr>
        <w:pStyle w:val="Heading1"/>
        <w:spacing w:after="150" w:before="320"/>
      </w:pPr>
      <w:r>
        <w:t xml:space="preserve">6. Does customer engagement predict revenue and ROI?</w:t>
      </w:r>
    </w:p>
    <w:p>
      <w:pPr>
        <w:spacing w:after="160"/>
      </w:pPr>
      <w:r>
        <w:t xml:space="preserve">I checked how Engagement Score (a measure of how much customers interacted with a campaign) relates to Revenue, Conversions, and ROI, across all three brands combined.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560"/>
      </w:tblGrid>
      <w:tr>
        <w:trPr>
          <w:tblHeader/>
        </w:trPr>
        <w:tc>
          <w:tcPr>
            <w:tcW w:type="dxa" w:w="4400"/>
            <w:shd w:fill="2E5395" w:color="auto" w:val="clear"/>
            <w:tcMar>
              <w:top w:type="dxa" w:w="80"/>
              <w:left w:type="dxa" w:w="100"/>
              <w:bottom w:type="dxa" w:w="80"/>
              <w:right w:type="dxa" w:w="100"/>
            </w:tcMar>
            <w:vAlign w:val="center"/>
          </w:tcPr>
          <w:p>
            <w:r>
              <w:rPr>
                <w:b/>
                <w:bCs/>
                <w:color w:val="FFFFFF"/>
                <w:sz w:val="20"/>
                <w:szCs w:val="20"/>
              </w:rPr>
              <w:t xml:space="preserve">Relationship</w:t>
            </w:r>
          </w:p>
        </w:tc>
        <w:tc>
          <w:tcPr>
            <w:tcW w:type="dxa" w:w="2400"/>
            <w:shd w:fill="2E5395" w:color="auto" w:val="clear"/>
            <w:tcMar>
              <w:top w:type="dxa" w:w="80"/>
              <w:left w:type="dxa" w:w="100"/>
              <w:bottom w:type="dxa" w:w="80"/>
              <w:right w:type="dxa" w:w="100"/>
            </w:tcMar>
            <w:vAlign w:val="center"/>
          </w:tcPr>
          <w:p>
            <w:r>
              <w:rPr>
                <w:b/>
                <w:bCs/>
                <w:color w:val="FFFFFF"/>
                <w:sz w:val="20"/>
                <w:szCs w:val="20"/>
              </w:rPr>
              <w:t xml:space="preserve">Correlation Score</w:t>
            </w:r>
          </w:p>
        </w:tc>
        <w:tc>
          <w:tcPr>
            <w:tcW w:type="dxa" w:w="2560"/>
            <w:shd w:fill="2E5395" w:color="auto" w:val="clear"/>
            <w:tcMar>
              <w:top w:type="dxa" w:w="80"/>
              <w:left w:type="dxa" w:w="100"/>
              <w:bottom w:type="dxa" w:w="80"/>
              <w:right w:type="dxa" w:w="100"/>
            </w:tcMar>
            <w:vAlign w:val="center"/>
          </w:tcPr>
          <w:p>
            <w:r>
              <w:rPr>
                <w:b/>
                <w:bCs/>
                <w:color w:val="FFFFFF"/>
                <w:sz w:val="20"/>
                <w:szCs w:val="20"/>
              </w:rPr>
              <w:t xml:space="preserve">Strength</w:t>
            </w:r>
          </w:p>
        </w:tc>
      </w:tr>
      <w:tr>
        <w:tc>
          <w:tcPr>
            <w:tcW w:type="dxa" w:w="4400"/>
            <w:tcMar>
              <w:top w:type="dxa" w:w="70"/>
              <w:left w:type="dxa" w:w="100"/>
              <w:bottom w:type="dxa" w:w="70"/>
              <w:right w:type="dxa" w:w="100"/>
            </w:tcMar>
            <w:vAlign w:val="center"/>
          </w:tcPr>
          <w:p>
            <w:r>
              <w:rPr>
                <w:b w:val="false"/>
                <w:bCs w:val="false"/>
                <w:sz w:val="20"/>
                <w:szCs w:val="20"/>
              </w:rPr>
              <w:t xml:space="preserve">Engagement Score vs Conversions</w:t>
            </w:r>
          </w:p>
        </w:tc>
        <w:tc>
          <w:tcPr>
            <w:tcW w:type="dxa" w:w="2400"/>
            <w:tcMar>
              <w:top w:type="dxa" w:w="70"/>
              <w:left w:type="dxa" w:w="100"/>
              <w:bottom w:type="dxa" w:w="70"/>
              <w:right w:type="dxa" w:w="100"/>
            </w:tcMar>
            <w:vAlign w:val="center"/>
          </w:tcPr>
          <w:p>
            <w:r>
              <w:rPr>
                <w:b w:val="false"/>
                <w:bCs w:val="false"/>
                <w:sz w:val="20"/>
                <w:szCs w:val="20"/>
              </w:rPr>
              <w:t xml:space="preserve">0.64</w:t>
            </w:r>
          </w:p>
        </w:tc>
        <w:tc>
          <w:tcPr>
            <w:tcW w:type="dxa" w:w="2560"/>
            <w:tcMar>
              <w:top w:type="dxa" w:w="70"/>
              <w:left w:type="dxa" w:w="100"/>
              <w:bottom w:type="dxa" w:w="70"/>
              <w:right w:type="dxa" w:w="100"/>
            </w:tcMar>
            <w:vAlign w:val="center"/>
          </w:tcPr>
          <w:p>
            <w:r>
              <w:rPr>
                <w:b w:val="false"/>
                <w:bCs w:val="false"/>
                <w:sz w:val="20"/>
                <w:szCs w:val="20"/>
              </w:rPr>
              <w:t xml:space="preserve">Moderate to strong</w:t>
            </w:r>
          </w:p>
        </w:tc>
      </w:tr>
      <w:tr>
        <w:tc>
          <w:tcPr>
            <w:tcW w:type="dxa" w:w="4400"/>
            <w:shd w:fill="F2F2F2" w:color="auto" w:val="clear"/>
            <w:tcMar>
              <w:top w:type="dxa" w:w="70"/>
              <w:left w:type="dxa" w:w="100"/>
              <w:bottom w:type="dxa" w:w="70"/>
              <w:right w:type="dxa" w:w="100"/>
            </w:tcMar>
            <w:vAlign w:val="center"/>
          </w:tcPr>
          <w:p>
            <w:r>
              <w:rPr>
                <w:b w:val="false"/>
                <w:bCs w:val="false"/>
                <w:sz w:val="20"/>
                <w:szCs w:val="20"/>
              </w:rPr>
              <w:t xml:space="preserve">Engagement Score vs Revenue</w:t>
            </w:r>
          </w:p>
        </w:tc>
        <w:tc>
          <w:tcPr>
            <w:tcW w:type="dxa" w:w="2400"/>
            <w:shd w:fill="F2F2F2" w:color="auto" w:val="clear"/>
            <w:tcMar>
              <w:top w:type="dxa" w:w="70"/>
              <w:left w:type="dxa" w:w="100"/>
              <w:bottom w:type="dxa" w:w="70"/>
              <w:right w:type="dxa" w:w="100"/>
            </w:tcMar>
            <w:vAlign w:val="center"/>
          </w:tcPr>
          <w:p>
            <w:r>
              <w:rPr>
                <w:b w:val="false"/>
                <w:bCs w:val="false"/>
                <w:sz w:val="20"/>
                <w:szCs w:val="20"/>
              </w:rPr>
              <w:t xml:space="preserve">0.56</w:t>
            </w:r>
          </w:p>
        </w:tc>
        <w:tc>
          <w:tcPr>
            <w:tcW w:type="dxa" w:w="2560"/>
            <w:shd w:fill="F2F2F2" w:color="auto" w:val="clear"/>
            <w:tcMar>
              <w:top w:type="dxa" w:w="70"/>
              <w:left w:type="dxa" w:w="100"/>
              <w:bottom w:type="dxa" w:w="70"/>
              <w:right w:type="dxa" w:w="100"/>
            </w:tcMar>
            <w:vAlign w:val="center"/>
          </w:tcPr>
          <w:p>
            <w:r>
              <w:rPr>
                <w:b w:val="false"/>
                <w:bCs w:val="false"/>
                <w:sz w:val="20"/>
                <w:szCs w:val="20"/>
              </w:rPr>
              <w:t xml:space="preserve">Moderate</w:t>
            </w:r>
          </w:p>
        </w:tc>
      </w:tr>
      <w:tr>
        <w:tc>
          <w:tcPr>
            <w:tcW w:type="dxa" w:w="4400"/>
            <w:tcMar>
              <w:top w:type="dxa" w:w="70"/>
              <w:left w:type="dxa" w:w="100"/>
              <w:bottom w:type="dxa" w:w="70"/>
              <w:right w:type="dxa" w:w="100"/>
            </w:tcMar>
            <w:vAlign w:val="center"/>
          </w:tcPr>
          <w:p>
            <w:r>
              <w:rPr>
                <w:b w:val="false"/>
                <w:bCs w:val="false"/>
                <w:sz w:val="20"/>
                <w:szCs w:val="20"/>
              </w:rPr>
              <w:t xml:space="preserve">Engagement Score vs ROI</w:t>
            </w:r>
          </w:p>
        </w:tc>
        <w:tc>
          <w:tcPr>
            <w:tcW w:type="dxa" w:w="2400"/>
            <w:tcMar>
              <w:top w:type="dxa" w:w="70"/>
              <w:left w:type="dxa" w:w="100"/>
              <w:bottom w:type="dxa" w:w="70"/>
              <w:right w:type="dxa" w:w="100"/>
            </w:tcMar>
            <w:vAlign w:val="center"/>
          </w:tcPr>
          <w:p>
            <w:r>
              <w:rPr>
                <w:b w:val="false"/>
                <w:bCs w:val="false"/>
                <w:sz w:val="20"/>
                <w:szCs w:val="20"/>
              </w:rPr>
              <w:t xml:space="preserve">0.44</w:t>
            </w:r>
          </w:p>
        </w:tc>
        <w:tc>
          <w:tcPr>
            <w:tcW w:type="dxa" w:w="2560"/>
            <w:tcMar>
              <w:top w:type="dxa" w:w="70"/>
              <w:left w:type="dxa" w:w="100"/>
              <w:bottom w:type="dxa" w:w="70"/>
              <w:right w:type="dxa" w:w="100"/>
            </w:tcMar>
            <w:vAlign w:val="center"/>
          </w:tcPr>
          <w:p>
            <w:r>
              <w:rPr>
                <w:b w:val="false"/>
                <w:bCs w:val="false"/>
                <w:sz w:val="20"/>
                <w:szCs w:val="20"/>
              </w:rPr>
              <w:t xml:space="preserve">Moderate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B" w:color="auto" w:val="clear"/>
            <w:tcMar>
              <w:top w:type="dxa" w:w="140"/>
              <w:left w:type="dxa" w:w="180"/>
              <w:bottom w:type="dxa" w:w="140"/>
              <w:right w:type="dxa" w:w="180"/>
            </w:tcMar>
          </w:tcPr>
          <w:p>
            <w:pPr>
              <w:spacing w:after="60"/>
            </w:pPr>
            <w:r>
              <w:rPr>
                <w:b/>
                <w:bCs/>
                <w:color w:val="2E5395"/>
                <w:sz w:val="21"/>
                <w:szCs w:val="21"/>
              </w:rPr>
              <w:t xml:space="preserve">What this means:</w:t>
            </w:r>
          </w:p>
          <w:p>
            <w:r>
              <w:rPr>
                <w:sz w:val="21"/>
                <w:szCs w:val="21"/>
              </w:rPr>
              <w:t xml:space="preserve">A correlation score closer to 1 means a stronger relationship. Here, campaigns with higher engagement scores do tend to get more conversions and more revenue — the link is real, just not perfect (other factors like channel and audience matter too).</w:t>
            </w:r>
          </w:p>
        </w:tc>
      </w:tr>
    </w:tbl>
    <w:p>
      <w:pPr>
        <w:spacing w:after="160"/>
      </w:pPr>
      <w:r>
        <w:t xml:space="preserve"/>
      </w:r>
    </w:p>
    <w:p>
      <w:pPr>
        <w:spacing w:after="160"/>
      </w:pPr>
      <w:r>
        <w:t xml:space="preserve">Recommendation: Engagement Score is worth tracking as an early signal. If a campaign is live and its engagement score is trending low partway through, that's a sign it may under-deliver on revenue — worth reviewing the creative or targeting before the campaign ends, rather than waiting for final numbers.</w:t>
      </w:r>
    </w:p>
    <w:p>
      <w:pPr>
        <w:pStyle w:val="Heading1"/>
        <w:spacing w:after="150" w:before="320"/>
      </w:pPr>
      <w:r>
        <w:t xml:space="preserve">7. Overall Recommendations for Next Quarter</w:t>
      </w:r>
    </w:p>
    <w:p>
      <w:pPr>
        <w:pStyle w:val="ListParagraph"/>
        <w:numPr>
          <w:ilvl w:val="0"/>
          <w:numId w:val="1"/>
        </w:numPr>
        <w:spacing w:after="90"/>
      </w:pPr>
      <w:r>
        <w:t xml:space="preserve">Nykaa: Shift some budget from Influencer to Social Media campaigns, and re-check spend on the Youth segment.</w:t>
      </w:r>
    </w:p>
    <w:p>
      <w:pPr>
        <w:pStyle w:val="ListParagraph"/>
        <w:numPr>
          <w:ilvl w:val="0"/>
          <w:numId w:val="1"/>
        </w:numPr>
        <w:spacing w:after="90"/>
      </w:pPr>
      <w:r>
        <w:t xml:space="preserve">Purplle: Protect and grow Email campaigns; review why Premium Shoppers give weaker ROI despite good revenue.</w:t>
      </w:r>
    </w:p>
    <w:p>
      <w:pPr>
        <w:pStyle w:val="ListParagraph"/>
        <w:numPr>
          <w:ilvl w:val="0"/>
          <w:numId w:val="1"/>
        </w:numPr>
        <w:spacing w:after="90"/>
      </w:pPr>
      <w:r>
        <w:t xml:space="preserve">Tira: Lean into Paid Ads and Facebook/Instagram; review Premium Shopper targeting, same as Purplle.</w:t>
      </w:r>
    </w:p>
    <w:p>
      <w:pPr>
        <w:pStyle w:val="ListParagraph"/>
        <w:numPr>
          <w:ilvl w:val="0"/>
          <w:numId w:val="1"/>
        </w:numPr>
        <w:spacing w:after="90"/>
      </w:pPr>
      <w:r>
        <w:t xml:space="preserve">All brands: Test moving a small share of YouTube (and Google, for Nykaa) budget into better-performing channels for one quarter before committing fully.</w:t>
      </w:r>
    </w:p>
    <w:p>
      <w:pPr>
        <w:pStyle w:val="ListParagraph"/>
        <w:numPr>
          <w:ilvl w:val="0"/>
          <w:numId w:val="1"/>
        </w:numPr>
        <w:spacing w:after="90"/>
      </w:pPr>
      <w:r>
        <w:t xml:space="preserve">All brands: Don't chase a single "best campaign duration" — the data doesn't support one. Focus optimization energy on channel and segment instead.</w:t>
      </w:r>
    </w:p>
    <w:p>
      <w:pPr>
        <w:pStyle w:val="ListParagraph"/>
        <w:numPr>
          <w:ilvl w:val="0"/>
          <w:numId w:val="1"/>
        </w:numPr>
        <w:spacing w:after="90"/>
      </w:pPr>
      <w:r>
        <w:t xml:space="preserve">All brands: Start tracking Engagement Score as an early warning signal during a campaign, not just after it ends.</w:t>
      </w:r>
    </w:p>
    <w:p>
      <w:pPr>
        <w:pStyle w:val="Heading1"/>
        <w:spacing w:after="150" w:before="320"/>
      </w:pPr>
      <w:r>
        <w:t xml:space="preserve">8. Closing Note</w:t>
      </w:r>
    </w:p>
    <w:p>
      <w:pPr>
        <w:spacing w:after="160"/>
      </w:pPr>
      <w:r>
        <w:t xml:space="preserve">Overall, the three brands are performing at a very similar level, so there is no single big fix. The real value here is in the smaller, specific patterns — like Nykaa's Influencer-vs-Social Media gap, or Premium Shoppers underperforming for two of the three brands. These are practical, testable changes each marketing team can try in the next quarter without needing a big budget increase.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2026-08-29T05:15:01.261Z</dcterms:created>
  <dcterms:modified xsi:type="dcterms:W3CDTF">2026-08-29T05:15:01.262Z</dcterms:modified>
</cp:coreProperties>
</file>

<file path=docProps/custom.xml><?xml version="1.0" encoding="utf-8"?>
<Properties xmlns="http://schemas.openxmlformats.org/officeDocument/2006/custom-properties" xmlns:vt="http://schemas.openxmlformats.org/officeDocument/2006/docPropsVTypes"/>
</file>