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rFonts w:ascii="Times New Roman" w:cs="Times New Roman" w:eastAsia="Times New Roman" w:hAnsi="Times New Roman"/>
          <w:b/>
          <w:bCs/>
          <w:color w:val="555555"/>
          <w:sz w:val="26"/>
          <w:szCs w:val="26"/>
        </w:rPr>
        <w:t xml:space="preserve">A B.Tech FINAL YEAR PROJECT REPORT</w:t>
      </w:r>
    </w:p>
    <w:p>
      <w:pPr>
        <w:spacing w:after="600"/>
      </w:pPr>
    </w:p>
    <w:p>
      <w:pPr>
        <w:spacing w:after="200"/>
        <w:jc w:val="center"/>
      </w:pPr>
      <w:r>
        <w:rPr>
          <w:rFonts w:ascii="Times New Roman" w:cs="Times New Roman" w:eastAsia="Times New Roman" w:hAnsi="Times New Roman"/>
          <w:b/>
          <w:bCs/>
          <w:color w:val="1F3864"/>
          <w:sz w:val="44"/>
          <w:szCs w:val="44"/>
        </w:rPr>
        <w:t xml:space="preserve">Advanced Electric Load Demand Forecasting Using AI</w:t>
      </w:r>
    </w:p>
    <w:p>
      <w:pPr>
        <w:spacing w:after="700"/>
        <w:jc w:val="center"/>
      </w:pPr>
      <w:r>
        <w:rPr>
          <w:rFonts w:ascii="Times New Roman" w:cs="Times New Roman" w:eastAsia="Times New Roman" w:hAnsi="Times New Roman"/>
          <w:i/>
          <w:iCs/>
          <w:color w:val="444444"/>
          <w:sz w:val="26"/>
          <w:szCs w:val="26"/>
        </w:rPr>
        <w:t xml:space="preserve">A Hybrid Signal-Processing and Deep Learning Framework for Short-Term and Multi-Horizon Load Forecasting</w:t>
      </w:r>
    </w:p>
    <w:p>
      <w:pPr>
        <w:spacing w:after="500"/>
      </w:pPr>
    </w:p>
    <w:p>
      <w:pPr>
        <w:spacing w:after="120"/>
        <w:jc w:val="center"/>
      </w:pPr>
      <w:r>
        <w:rPr>
          <w:rFonts w:ascii="Times New Roman" w:cs="Times New Roman" w:eastAsia="Times New Roman" w:hAnsi="Times New Roman"/>
          <w:sz w:val="22"/>
          <w:szCs w:val="22"/>
        </w:rPr>
        <w:t xml:space="preserve">Submitted in partial fulfilment of the requirements for the degree of</w:t>
      </w:r>
    </w:p>
    <w:p>
      <w:pPr>
        <w:spacing w:after="500"/>
        <w:jc w:val="center"/>
      </w:pPr>
      <w:r>
        <w:rPr>
          <w:rFonts w:ascii="Times New Roman" w:cs="Times New Roman" w:eastAsia="Times New Roman" w:hAnsi="Times New Roman"/>
          <w:b/>
          <w:bCs/>
          <w:sz w:val="26"/>
          <w:szCs w:val="26"/>
        </w:rPr>
        <w:t xml:space="preserve">BACHELOR OF TECHNOLOGY</w:t>
      </w:r>
    </w:p>
    <w:p>
      <w:pPr>
        <w:spacing w:after="100"/>
        <w:jc w:val="center"/>
      </w:pPr>
      <w:r>
        <w:rPr>
          <w:rFonts w:ascii="Times New Roman" w:cs="Times New Roman" w:eastAsia="Times New Roman" w:hAnsi="Times New Roman"/>
          <w:b/>
          <w:bCs/>
          <w:sz w:val="24"/>
          <w:szCs w:val="24"/>
        </w:rPr>
        <w:t xml:space="preserve">Submitted by</w:t>
      </w:r>
    </w:p>
    <w:p>
      <w:pPr>
        <w:spacing w:after="60"/>
        <w:jc w:val="center"/>
      </w:pPr>
      <w:r>
        <w:rPr>
          <w:rFonts w:ascii="Times New Roman" w:cs="Times New Roman" w:eastAsia="Times New Roman" w:hAnsi="Times New Roman"/>
          <w:sz w:val="24"/>
          <w:szCs w:val="24"/>
        </w:rPr>
        <w:t xml:space="preserve">SOUMIT MAL  (Data Science)</w:t>
      </w:r>
    </w:p>
    <w:p>
      <w:pPr>
        <w:spacing w:after="60"/>
        <w:jc w:val="center"/>
      </w:pPr>
      <w:r>
        <w:rPr>
          <w:rFonts w:ascii="Times New Roman" w:cs="Times New Roman" w:eastAsia="Times New Roman" w:hAnsi="Times New Roman"/>
          <w:sz w:val="24"/>
          <w:szCs w:val="24"/>
        </w:rPr>
        <w:t xml:space="preserve">SUBHASISH KUMAR SAHU  (Data Science)</w:t>
      </w:r>
    </w:p>
    <w:p>
      <w:pPr>
        <w:spacing w:after="60"/>
        <w:jc w:val="center"/>
      </w:pPr>
      <w:r>
        <w:rPr>
          <w:rFonts w:ascii="Times New Roman" w:cs="Times New Roman" w:eastAsia="Times New Roman" w:hAnsi="Times New Roman"/>
          <w:sz w:val="24"/>
          <w:szCs w:val="24"/>
        </w:rPr>
        <w:t xml:space="preserve">ROSHAN SINGH  (Data Science)</w:t>
      </w:r>
    </w:p>
    <w:p>
      <w:pPr>
        <w:spacing w:after="500"/>
        <w:jc w:val="center"/>
      </w:pPr>
      <w:r>
        <w:rPr>
          <w:rFonts w:ascii="Times New Roman" w:cs="Times New Roman" w:eastAsia="Times New Roman" w:hAnsi="Times New Roman"/>
          <w:sz w:val="24"/>
          <w:szCs w:val="24"/>
        </w:rPr>
        <w:t xml:space="preserve">RAJA RAM KUMAR  (Computer Science &amp; Core)</w:t>
      </w:r>
    </w:p>
    <w:p>
      <w:pPr>
        <w:spacing w:after="60" w:before="500"/>
        <w:jc w:val="center"/>
      </w:pPr>
      <w:r>
        <w:rPr>
          <w:rFonts w:ascii="Times New Roman" w:cs="Times New Roman" w:eastAsia="Times New Roman" w:hAnsi="Times New Roman"/>
          <w:i/>
          <w:iCs/>
          <w:sz w:val="22"/>
          <w:szCs w:val="22"/>
        </w:rPr>
        <w:t xml:space="preserve">Minor Project — 7th Semester</w:t>
      </w:r>
    </w:p>
    <w:p>
      <w:pPr>
        <w:spacing w:after="60"/>
        <w:jc w:val="center"/>
      </w:pPr>
      <w:r>
        <w:rPr>
          <w:rFonts w:ascii="Times New Roman" w:cs="Times New Roman" w:eastAsia="Times New Roman" w:hAnsi="Times New Roman"/>
          <w:sz w:val="22"/>
          <w:szCs w:val="22"/>
        </w:rPr>
        <w:t xml:space="preserve">Department of Computer Science and Engineering</w:t>
      </w:r>
    </w:p>
    <w:p>
      <w:pPr>
        <w:spacing w:after="0"/>
        <w:jc w:val="center"/>
      </w:pPr>
      <w:r>
        <w:rPr>
          <w:rFonts w:ascii="Times New Roman" w:cs="Times New Roman" w:eastAsia="Times New Roman" w:hAnsi="Times New Roman"/>
          <w:sz w:val="22"/>
          <w:szCs w:val="22"/>
        </w:rPr>
        <w:t xml:space="preserve">Academic Year 2025–2026</w:t>
      </w:r>
    </w:p>
    <w:p>
      <w:r>
        <w:br w:type="page"/>
      </w:r>
    </w:p>
    <w:p>
      <w:pPr>
        <w:sectPr>
          <w:pgSz w:w="11906" w:h="16838" w:orient="portrait"/>
          <w:pgMar w:top="1440" w:right="1440" w:bottom="1440" w:left="1440" w:header="708" w:footer="708" w:gutter="0"/>
          <w:pgNumType/>
          <w:docGrid w:linePitch="360"/>
        </w:sectPr>
      </w:pPr>
    </w:p>
    <w:p>
      <w:pPr>
        <w:pStyle w:val="Heading1"/>
        <w:spacing w:after="140" w:before="240"/>
      </w:pPr>
      <w:r>
        <w:rPr>
          <w:rFonts w:ascii="Times New Roman" w:cs="Times New Roman" w:eastAsia="Times New Roman" w:hAnsi="Times New Roman"/>
          <w:b/>
          <w:bCs/>
          <w:color w:val="1F3864"/>
          <w:sz w:val="32"/>
          <w:szCs w:val="32"/>
        </w:rPr>
        <w:t xml:space="preserve">Abstract</w:t>
      </w:r>
    </w:p>
    <w:p>
      <w:pPr>
        <w:spacing w:after="200" w:before="0" w:line="264" w:lineRule="auto"/>
        <w:jc w:val="both"/>
      </w:pPr>
      <w:r>
        <w:rPr>
          <w:rFonts w:ascii="Times New Roman" w:cs="Times New Roman" w:eastAsia="Times New Roman" w:hAnsi="Times New Roman"/>
          <w:b w:val="false"/>
          <w:bCs w:val="false"/>
          <w:i w:val="false"/>
          <w:iCs w:val="false"/>
          <w:sz w:val="24"/>
          <w:szCs w:val="24"/>
        </w:rPr>
        <w:t xml:space="preserve">Reliable forecasting of electric load demand is a cornerstone of modern power system planning, dispatch and demand-side management. This project, developed in association with the repository MP-1-7th-Sem-Soumit-Subhasish-Roshan-Rajaram, presents an end-to-end pipeline for short-term and multi-horizon electricity load forecasting that combines classical signal-processing techniques with modern deep learning. Three heterogeneous datasets are used for empirical validation: the PJM Interconnection hourly load series (PJME_hourly.csv), a multi-state Indian electricity demand dataset spanning January 2020 to March 2025 (India_Elec_data), and a synthetic building-level energy consumption dataset with weather and occupancy covariates (Energy_consumption_dataset.csv). The proposed pipeline denoises the raw load series using the Fast Fourier Transform (FFT), removes point anomalies with the Local Outlier Factor (LOF) algorithm, and encodes the cleaned univariate series using Recurrence Plot (RP) and Gramian Angular Field (GAF) imaging prior to being modelled by a Hyperband-optimized Hybrid CNN-LSTM Autoencoder. The convolutional encoder extracts local spatial features from the (optionally image-encoded) input window, a repeat-vector bottleneck compresses this representation, and an LSTM decoder reconstructs a multi-step forecast in an autoregressive manner. Hyperband search is used to tune the learning rate, dropout ratio, number of hidden units and depth of the network. The proposed model is benchmarked against ARIMA, Support Vector Machine (SVM) regression, an Artificial Neural Network (ANN) and a 1-D Convolutional Neural Network (1D-CNN) using five standard error metrics — MAE, MSE, RMSE, MAPE and SMAPE — at both hourly and daily resolutions. Experimental results indicate that the proposed hybrid model reduces RMSE by 18–31% and MAPE by 20–35% relative to the strongest baseline across the three datasets, confirming the value of combining noise/outlier-aware preprocessing with a hybrid spatio-temporal deep learning architecture for real-world load forecasting tasks.</w:t>
      </w:r>
    </w:p>
    <w:p>
      <w:pPr>
        <w:spacing w:after="200" w:before="0" w:line="264" w:lineRule="auto"/>
        <w:jc w:val="both"/>
      </w:pPr>
      <w:r>
        <w:rPr>
          <w:rFonts w:ascii="Times New Roman" w:cs="Times New Roman" w:eastAsia="Times New Roman" w:hAnsi="Times New Roman"/>
          <w:b w:val="false"/>
          <w:bCs w:val="false"/>
          <w:i/>
          <w:iCs/>
          <w:sz w:val="24"/>
          <w:szCs w:val="24"/>
        </w:rPr>
        <w:t xml:space="preserve">Keywords: Load Forecasting, Deep Learning, CNN-LSTM Autoencoder, Hyperband Optimization, Fast Fourier Transform, Local Outlier Factor, Recurrence Plot, Gramian Angular Field, Smart Grid.</w:t>
      </w:r>
    </w:p>
    <w:p>
      <w:pPr>
        <w:pStyle w:val="Heading1"/>
        <w:spacing w:after="140" w:before="240"/>
      </w:pPr>
      <w:r>
        <w:rPr>
          <w:rFonts w:ascii="Times New Roman" w:cs="Times New Roman" w:eastAsia="Times New Roman" w:hAnsi="Times New Roman"/>
          <w:b/>
          <w:bCs/>
          <w:color w:val="1F3864"/>
          <w:sz w:val="32"/>
          <w:szCs w:val="32"/>
        </w:rPr>
        <w:t xml:space="preserve">1. Problem Specification</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Electric utilities and distribution companies must continuously balance generation and consumption in near real time. Errors in load forecasts translate directly into increased operating cost, unnecessary reserve margins, grid instability and, in the worst case, load-shedding or blackouts. The problem addressed by this project is stated formally as follows:</w:t>
      </w:r>
    </w:p>
    <w:p>
      <w:pPr>
        <w:spacing w:after="110" w:before="0" w:line="264" w:lineRule="auto"/>
        <w:ind w:firstLine="400"/>
        <w:jc w:val="both"/>
      </w:pPr>
      <w:r>
        <w:rPr>
          <w:rFonts w:ascii="Times New Roman" w:cs="Times New Roman" w:eastAsia="Times New Roman" w:hAnsi="Times New Roman"/>
          <w:b w:val="false"/>
          <w:bCs w:val="false"/>
          <w:i w:val="false"/>
          <w:iCs w:val="false"/>
          <w:sz w:val="24"/>
          <w:szCs w:val="24"/>
        </w:rPr>
        <w:t xml:space="preserve">Given a historical univariate (or multivariate) time series of electricity load / demand observations sampled at a fixed interval (hourly or daily), together with optional exogenous covariates such as temperature, humidity, occupancy and calendar indicators, the objective is to learn a mapping that predicts the load for one or more future time steps while being robust to (i) high-frequency measurement noise, (ii) sporadic outliers caused by sensor faults or unusual events, and (iii) non-stationary seasonal and trend components that evolve over months and years.</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Formally, given a window of n past observations X(t) = [x(t-n+1), x(t-n+2), ..., x(t)], the task is to learn a function F such that:</w:t>
      </w:r>
    </w:p>
    <w:p>
      <w:pPr>
        <w:spacing w:after="80" w:before="80"/>
        <w:jc w:val="center"/>
      </w:pPr>
      <w:r>
        <w:rPr>
          <w:rFonts w:ascii="Cambria Math" w:cs="Cambria Math" w:eastAsia="Cambria Math" w:hAnsi="Cambria Math"/>
          <w:i/>
          <w:iCs/>
          <w:sz w:val="24"/>
          <w:szCs w:val="24"/>
        </w:rPr>
        <w:t xml:space="preserve">x̂(t+1), x̂(t+2), ..., x̂(t+h) = F( X(t) ;  θ )</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where h is the forecast horizon (a single step for short-term forecasting or a vector of steps for multi-step / multi-horizon forecasting) and θ denotes the learnable parameters of the forecasting model. The specific objectives of this project are to:</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Design a robust preprocessing pipeline that removes high-frequency noise and statistical outliers from raw load data without discarding genuine demand spikes.</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Investigate image-based time-series encodings (Recurrence Plots and Gramian Angular Fields) as an alternative representation for convolutional feature extraction.</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Develop a Hybrid CNN-LSTM Autoencoder capable of unsupervised representation learning followed by supervised multi-step, autoregressive forecasting.</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Use Hyperband optimization to efficiently search the hyperparameter space of the proposed deep network.</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Benchmark the proposed approach against ARIMA, SVM, ANN and 1D-CNN baselines on three real-world/synthetic datasets of differing granularity and geography.</w:t>
      </w:r>
    </w:p>
    <w:p>
      <w:pPr>
        <w:pStyle w:val="Heading1"/>
        <w:spacing w:after="140" w:before="240"/>
      </w:pPr>
      <w:r>
        <w:rPr>
          <w:rFonts w:ascii="Times New Roman" w:cs="Times New Roman" w:eastAsia="Times New Roman" w:hAnsi="Times New Roman"/>
          <w:b/>
          <w:bCs/>
          <w:color w:val="1F3864"/>
          <w:sz w:val="32"/>
          <w:szCs w:val="32"/>
        </w:rPr>
        <w:t xml:space="preserve">2. Introduction</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Energy is central to economic and social progress, and global primary energy consumption has been projected to grow steadily over the coming decades as urbanization, electrification of transport, and the proliferation of energy-intensive appliances continue to accelerate demand [1]. Because electrical energy must, in general, be consumed as soon as it is generated, distribution system operators and utilities rely heavily on accurate load forecasting to plan generation dispatch, schedule maintenance, manage reserves, and participate efficiently in electricity markets [2].</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Load forecasting problems are traditionally classified by their time horizon into long-term (multi-year, used for capacity planning), medium-term (weeks to a year, used for maintenance and fuel procurement scheduling) and short-term (an hour to a week ahead, used for economic dispatch and unit commitment) forecasting [1], [3]. Forecasting can also be classified by spatial granularity: regional/transmission-level, substation/feeder-level, building-level, and single-appliance-level forecasting, with accuracy typically decreasing as granularity becomes finer because of the increased volatility of small-scale loads [4].</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Traditional statistical approaches such as Auto-Regressive Integrated Moving Average (ARIMA), exponential smoothing and multiple linear regression have long served as the workhorse of load forecasting because of their interpretability and low computational cost [3]. However, such linear models struggle to capture the highly non-linear, non-stationary and multi-seasonal characteristics exhibited by real electricity demand, particularly at finer granularities where individual household appliances introduce sharp, discontinuous jumps in consumption [4].</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The advent of machine learning (ML) — Support Vector Regression (SVR), Random Forests, Gradient Boosting and Artificial Neural Networks (ANN) — provided a substantial improvement by allowing models to learn non-linear relationships directly from historical data without requiring an explicit parametric form [3]. More recently, deep learning architectures, in particular Convolutional Neural Networks (CNN) and Long Short-Term Memory (LSTM) recurrent networks, have been shown to further improve forecasting accuracy by automatically learning hierarchical spatial features and long-range temporal dependencies respectively [4], [5].</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This project builds on these advances by proposing a complete forecasting pipeline that (a) cleans the raw signal using Fast Fourier Transform (FFT) based denoising and Local Outlier Factor (LOF) based anomaly removal, (b) optionally re-represents the cleaned univariate series as a two-dimensional image using Recurrence Plot (RP) or Gramian Angular Field (GAF) encoding to leverage the pattern-recognition strength of CNNs, and (c) forecasts multiple future steps using a Hybrid CNN-LSTM Autoencoder whose hyperparameters are tuned automatically via the Hyperband algorithm. The complete framework, implemented and experimented with in the accompanying repository MP-1-7th-Sem-Soumit-Subhasish-Roshan-Rajaram, is evaluated on three datasets of differing character: the widely used PJM Interconnection hourly load dataset (PJME_hourly.csv) from the United States, a multi-state Indian daily electricity demand dataset (January 2020 – March 2025), and a synthetic building-level energy consumption dataset enriched with weather, occupancy and HVAC/lighting usage features.</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The remainder of this report is organized as follows. Section 3 surveys the relevant literature on statistical, machine learning and deep learning approaches to load forecasting. Section 4 identifies the research gaps that motivate the present work. Section 5 describes the proposed solution in detail, including data preprocessing, feature engineering, mathematical formulation of FFT denoising, LOF, RP/GAF encoding and the Hyperband-optimized Hybrid CNN-LSTM Autoencoder architecture. Section 6 presents experimental results and a comparative discussion against baseline models. Section 7 concludes the report and outlines directions for future work.</w:t>
      </w:r>
    </w:p>
    <w:p>
      <w:pPr>
        <w:pStyle w:val="Heading1"/>
        <w:spacing w:after="140" w:before="240"/>
      </w:pPr>
      <w:r>
        <w:rPr>
          <w:rFonts w:ascii="Times New Roman" w:cs="Times New Roman" w:eastAsia="Times New Roman" w:hAnsi="Times New Roman"/>
          <w:b/>
          <w:bCs/>
          <w:color w:val="1F3864"/>
          <w:sz w:val="32"/>
          <w:szCs w:val="32"/>
        </w:rPr>
        <w:t xml:space="preserve">3. Literature Survey</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A substantial body of research has addressed electricity load forecasting using statistical, machine learning and, more recently, deep learning techniques. This section reviews representative work across each category.</w:t>
      </w:r>
    </w:p>
    <w:p>
      <w:pPr>
        <w:pStyle w:val="Heading2"/>
        <w:spacing w:after="110" w:before="200"/>
      </w:pPr>
      <w:r>
        <w:rPr>
          <w:rFonts w:ascii="Times New Roman" w:cs="Times New Roman" w:eastAsia="Times New Roman" w:hAnsi="Times New Roman"/>
          <w:b/>
          <w:bCs/>
          <w:color w:val="2E5395"/>
          <w:sz w:val="28"/>
          <w:szCs w:val="28"/>
        </w:rPr>
        <w:t xml:space="preserve">3.1 Classical Statistical and Regression-Based Approaches</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Classical forecasting relies on models such as ARIMA, seasonal ARIMA, and multiple/linear regression that estimate future load as a function of historical observations and exogenous variables. Rallapalli and Ghosh compared a multiplicative-seasonal ARIMA model against the forecasting method used by the Central Electricity Authority of India and demonstrated the superior accuracy of the seasonal ARIMA formulation for monthly peak demand forecasting [6]. Amber et al. combined genetic programming with multivariate linear regression to forecast daily electricity use in UK higher-education buildings using significant independent variables [7]. While these techniques are simple to design and interpret, they generally assume linear or weakly non-linear relationships and struggle with the volatility and multi-seasonality of real-world load data [3].</w:t>
      </w:r>
    </w:p>
    <w:p>
      <w:pPr>
        <w:pStyle w:val="Heading2"/>
        <w:spacing w:after="110" w:before="200"/>
      </w:pPr>
      <w:r>
        <w:rPr>
          <w:rFonts w:ascii="Times New Roman" w:cs="Times New Roman" w:eastAsia="Times New Roman" w:hAnsi="Times New Roman"/>
          <w:b/>
          <w:bCs/>
          <w:color w:val="2E5395"/>
          <w:sz w:val="28"/>
          <w:szCs w:val="28"/>
        </w:rPr>
        <w:t xml:space="preserve">3.2 Machine Learning Approaches</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Support Vector Regression (SVR), Random Forests, k-Nearest Neighbours and Gradient Boosting have all been applied to load forecasting with improved capability to capture non-linear dependencies. Fu et al. compared SVM, ANN and ARIMA methods for predicting next-day electricity load of public buildings with sub-metering devices [8]. Zhang et al. proposed an SVR-based method for single residential customer forecasting and reported a lowest MAPE of 12.78% for daily and 23.31% for hourly forecasts, highlighting the difficulty of forecasting highly volatile single-household loads compared to aggregated loads [9].</w:t>
      </w:r>
    </w:p>
    <w:p>
      <w:pPr>
        <w:pStyle w:val="Heading2"/>
        <w:spacing w:after="110" w:before="200"/>
      </w:pPr>
      <w:r>
        <w:rPr>
          <w:rFonts w:ascii="Times New Roman" w:cs="Times New Roman" w:eastAsia="Times New Roman" w:hAnsi="Times New Roman"/>
          <w:b/>
          <w:bCs/>
          <w:color w:val="2E5395"/>
          <w:sz w:val="28"/>
          <w:szCs w:val="28"/>
        </w:rPr>
        <w:t xml:space="preserve">3.3 Deep Learning Approaches</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Convolutional Neural Networks (CNN) and Recurrent Neural Networks (RNN), particularly LSTM, have substantially advanced load forecasting performance in the last decade. Estebsari and Rajabi proposed encoding univariate residential load time series into two-dimensional images using Recurrence Plots (RP), Gramian Angular Fields (GAF) and Markov Transition Fields (MTF), and showed that feeding RP-encoded images into a 2-D CNN reduced MAPE from around 18% (1-D CNN applied directly to the raw series) to approximately 12.5% on a single-household load forecasting task, outperforming SVM and ANN baselines as well [10]. This finding directly motivates the RP/GAF encoding stage adopted in the present work.</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Mohanty and Dash proposed a hybrid CNN and LSTM Auto-Encoder architecture for multi-step energy consumption forecasting in which the input series is first de-noised using the Fast Fourier Transform and cleaned of outliers using the Local Outlier Factor algorithm, prior to unsupervised representation learning by the autoencoder and hyperparameter tuning via the Hyperband algorithm [11]. On the PJM hourly dataset, their proposed architecture achieved an MAE of 657.04 and a MAPE of 4.09% at hourly resolution and an MAE of 13,033.69 and MAPE of 3.53% at daily resolution, outperforming standalone CNN, LSTM and LSTM-Autoencoder baselines by a wide margin [11]. This work forms the primary methodological backbone of the present project.</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More recently, Neda proposed a hybrid LSTM-XGBoost framework that combines seasonal-trend decomposition (STL) with an LSTM branch (modelling trend and residual components) and an XGBoost branch (modelling the seasonal component together with weather and calendar features), reporting an RMSE of 1.93 and MAPE of 4.3% at a 24-hour horizon on a 1,200-smart-meter dataset, outperforming standalone LSTM, XGBoost, Random Forest, SVR and ARIMA baselines with statistically validated improvements (paired t-test, p &lt; 0.05) [12]. This study additionally demonstrated that ablating weather and lag-based features increases RMSE by roughly 12-16%, confirming the value of careful feature engineering, and that model performance remains stable across all four seasons.</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Other notable contributions include LSTM-based fault detection for smart factories [13], attention-augmented LSTM models for travel-time prediction [14], and hybrid CNN-LSTM models applied outside the energy domain such as sentiment analysis [15] and arrhythmia detection from ECG signals [16], all of which illustrate the general effectiveness of combining convolutional feature extraction with recurrent temporal modelling.</w:t>
      </w:r>
    </w:p>
    <w:p>
      <w:pPr>
        <w:pStyle w:val="Heading2"/>
        <w:spacing w:after="110" w:before="200"/>
      </w:pPr>
      <w:r>
        <w:rPr>
          <w:rFonts w:ascii="Times New Roman" w:cs="Times New Roman" w:eastAsia="Times New Roman" w:hAnsi="Times New Roman"/>
          <w:b/>
          <w:bCs/>
          <w:color w:val="2E5395"/>
          <w:sz w:val="28"/>
          <w:szCs w:val="28"/>
        </w:rPr>
        <w:t xml:space="preserve">3.4 Hyperparameter Optimization</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Given the sensitivity of deep learning models to hyperparameter choices, automated tuning methods have received increasing attention. Grid search and random search remain popular due to their simplicity and parallelizability but do not guarantee convergence to a near-optimal configuration unless the search space is exhaustively sampled [17]. Bayesian optimization improves sample efficiency for continuous hyperparameters but scales poorly with dimensionality and cannot natively handle categorical parameters [18]. Li et al. introduced Hyperband, which frames hyperparameter search as a non-stochastic, infinite-armed-bandit resource-allocation problem and applies successive halving to allocate a training budget adaptively across randomly sampled configurations, achieving an order-of-magnitude speed-up over random search and Bayesian optimization while natively supporting mixed continuous/categorical search spaces [19]. Hyperband is therefore adopted in this project for tuning the learning rate, dropout ratio, hidden-unit count and network depth of the proposed hybrid model.</w:t>
      </w:r>
    </w:p>
    <w:p>
      <w:pPr>
        <w:pStyle w:val="Heading1"/>
        <w:spacing w:after="140" w:before="240"/>
      </w:pPr>
      <w:r>
        <w:rPr>
          <w:rFonts w:ascii="Times New Roman" w:cs="Times New Roman" w:eastAsia="Times New Roman" w:hAnsi="Times New Roman"/>
          <w:b/>
          <w:bCs/>
          <w:color w:val="1F3864"/>
          <w:sz w:val="32"/>
          <w:szCs w:val="32"/>
        </w:rPr>
        <w:t xml:space="preserve">4. Research Gap</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Despite considerable progress, the reviewed literature reveals several recurring limitations that motivate the design choices adopted in this project:</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Limited joint treatment of noise and outliers: Most CNN/LSTM-based load forecasting studies apply normalization alone and do not explicitly denoise the signal or remove point anomalies prior to model training, leaving the network to implicitly learn to ignore noise, which increases training time and can bias the learned representation [3], [4].</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Under-exploration of image-based encodings for load data: While Estebsari and Rajabi demonstrated the benefit of RP/GAF encoding for single-household load forecasting [10], this idea has rarely been combined with a hybrid autoencoder architecture or evaluated across datasets of differing granularity (hourly grid-level, daily state-level, and building-level).</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Manual or ad hoc hyperparameter tuning: A large fraction of published hybrid deep learning models for load forecasting (e.g., LSTM-XGBoost, CNN-LSTM) rely on manually chosen hyperparameters or simple grid search [12], which is both computationally expensive and unlikely to find a near-optimal configuration; systematic Hyperband-based tuning of a joint CNN-LSTM autoencoder remains comparatively under-studied.</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Restricted evaluation across only a single dataset or geography: Many existing studies validate their proposed model on a single dataset (e.g., PJM only, or a single Indian state), making it difficult to assess generalizability across differing demand regimes, climates and data granularities.</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Lack of a unified multi-metric evaluation protocol: Several studies rely on a single error metric (typically MAPE or RMSE) without reporting the complementary set of scale-dependent (MAE, MSE, RMSE) and percentage-based (MAPE, SMAPE) metrics, limiting comparability across studies.</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This project addresses these gaps by (i) explicitly combining FFT-based denoising with LOF-based outlier removal in a single preprocessing pipeline, (ii) evaluating RP/GAF image encoding as an input representation to the convolutional encoder of a hybrid autoencoder, (iii) applying Hyperband optimization to jointly tune the CNN-LSTM autoencoder, and (iv) validating the resulting pipeline across three datasets that differ in granularity (hourly vs. daily), geography (USA vs. India) and nature (real grid-level vs. synthetic building-level), while reporting a comprehensive five-metric evaluation (MAE, MSE, RMSE, MAPE, SMAPE) against four established baselines (ARIMA, SVM, ANN, 1D-CNN).</w:t>
      </w:r>
    </w:p>
    <w:p>
      <w:pPr>
        <w:pStyle w:val="Heading1"/>
        <w:spacing w:after="140" w:before="240"/>
      </w:pPr>
      <w:r>
        <w:rPr>
          <w:rFonts w:ascii="Times New Roman" w:cs="Times New Roman" w:eastAsia="Times New Roman" w:hAnsi="Times New Roman"/>
          <w:b/>
          <w:bCs/>
          <w:color w:val="1F3864"/>
          <w:sz w:val="32"/>
          <w:szCs w:val="32"/>
        </w:rPr>
        <w:t xml:space="preserve">5. Proposed Solution</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The proposed system is organized as a five-stage pipeline: (1) data acquisition and cleaning, (2) FFT-based denoising, (3) LOF-based outlier removal, (4) feature engineering and optional RP/GAF image encoding, and (5) Hyperband-optimized Hybrid CNN-LSTM Autoencoder modelling and autoregressive multi-step forecasting. Figure 1 illustrates the overall workflow implemented in the project repository.</w:t>
      </w:r>
    </w:p>
    <w:p>
      <w:pPr>
        <w:spacing w:after="60" w:before="200"/>
        <w:jc w:val="center"/>
      </w:pPr>
      <w:r>
        <w:drawing>
          <wp:inline distT="0" distB="0" distL="0" distR="0">
            <wp:extent cx="4095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622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 End-to-end workflow of the proposed load forecasting pipeline, from raw data ingestion through preprocessing, encoding and hybrid deep-learning-based forecasting.</w:t>
      </w:r>
    </w:p>
    <w:p>
      <w:pPr>
        <w:pStyle w:val="Heading2"/>
        <w:spacing w:after="110" w:before="200"/>
      </w:pPr>
      <w:r>
        <w:rPr>
          <w:rFonts w:ascii="Times New Roman" w:cs="Times New Roman" w:eastAsia="Times New Roman" w:hAnsi="Times New Roman"/>
          <w:b/>
          <w:bCs/>
          <w:color w:val="2E5395"/>
          <w:sz w:val="28"/>
          <w:szCs w:val="28"/>
        </w:rPr>
        <w:t xml:space="preserve">5.1 Datasets</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Three datasets of differing granularity, geography and nature were used to evaluate the generality of the proposed pipeline:</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PJME_hourly.csv — Hourly electricity load (in megawatts) recorded by PJM Interconnection LLC, a regional transmission organization serving parts of thirteen U.S. states and the District of Columbia, spanning from late 2002 to mid-2018 and containing over 145,000 hourly readings.</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India_Elec_data (Jan 2020 – Mar 2025) — A daily, state-wise electricity demand dataset covering all Indian states/union territories, including Maximum Demand Met, Energy Met, Drawl Schedule, Over-/Under-Drawal and Energy Shortage, comprising over 69,000 records.</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Energy_consumption_dataset.csv — A building-level synthetic dataset of 5,000 hourly records enriched with calendar features (Month, Hour, Day-of-Week, Holiday), weather covariates (Temperature, Humidity), and building operational features (Square Footage, Occupancy, HVAC Usage, Lighting Usage, Renewable Energy generation), used to evaluate the pipeline's ability to incorporate exogenous features.</w:t>
      </w:r>
    </w:p>
    <w:p>
      <w:pPr>
        <w:pStyle w:val="Heading2"/>
        <w:spacing w:after="110" w:before="200"/>
      </w:pPr>
      <w:r>
        <w:rPr>
          <w:rFonts w:ascii="Times New Roman" w:cs="Times New Roman" w:eastAsia="Times New Roman" w:hAnsi="Times New Roman"/>
          <w:b/>
          <w:bCs/>
          <w:color w:val="2E5395"/>
          <w:sz w:val="28"/>
          <w:szCs w:val="28"/>
        </w:rPr>
        <w:t xml:space="preserve">5.2 Data Preprocessing and Feature Engineering</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Raw load data are first checked for missing timestamps, which are imputed using the mean of the corresponding time-of-day and day-of-week values from neighbouring weeks, following the strategy adopted in comparable studies [10]. Continuous covariates (temperature, humidity, historical load) are then scaled using Min-Max normalization to the range [0, 1] to prevent variables of differing magnitude from dominating gradient updates:</w:t>
      </w:r>
    </w:p>
    <w:p>
      <w:pPr>
        <w:spacing w:after="80" w:before="80"/>
        <w:jc w:val="center"/>
      </w:pPr>
      <w:r>
        <w:rPr>
          <w:rFonts w:ascii="Cambria Math" w:cs="Cambria Math" w:eastAsia="Cambria Math" w:hAnsi="Cambria Math"/>
          <w:i/>
          <w:iCs/>
          <w:sz w:val="24"/>
          <w:szCs w:val="24"/>
        </w:rPr>
        <w:t xml:space="preserve">x' = (x − x_min) / (x_max − x_min)</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Categorical features such as Day-of-Week, Holiday indicator and HVAC/Lighting usage are one-hot or ordinal encoded. Feature engineering additionally constructs lagged load features L(t−1), L(t−2), …, L(t−n), rolling statistics (moving average and moving standard deviation over 24-hour and 7-day windows), and calendar-derived cyclical features (hour-of-day and day-of-week encoded via sine/cosine transforms) to expose periodicity directly to the model:</w:t>
      </w:r>
    </w:p>
    <w:p>
      <w:pPr>
        <w:spacing w:after="80" w:before="80"/>
        <w:jc w:val="center"/>
      </w:pPr>
      <w:r>
        <w:rPr>
          <w:rFonts w:ascii="Cambria Math" w:cs="Cambria Math" w:eastAsia="Cambria Math" w:hAnsi="Cambria Math"/>
          <w:i/>
          <w:iCs/>
          <w:sz w:val="24"/>
          <w:szCs w:val="24"/>
        </w:rPr>
        <w:t xml:space="preserve">hour_sin = sin(2π·hour/24),   hour_cos = cos(2π·hour/24)</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The cleaned and engineered series is then partitioned chronologically into training (70%), validation (15%) and test (15%) subsets to preserve the temporal ordering and avoid information leakage from future to past.</w:t>
      </w:r>
    </w:p>
    <w:p>
      <w:pPr>
        <w:pStyle w:val="Heading2"/>
        <w:spacing w:after="110" w:before="200"/>
      </w:pPr>
      <w:r>
        <w:rPr>
          <w:rFonts w:ascii="Times New Roman" w:cs="Times New Roman" w:eastAsia="Times New Roman" w:hAnsi="Times New Roman"/>
          <w:b/>
          <w:bCs/>
          <w:color w:val="2E5395"/>
          <w:sz w:val="28"/>
          <w:szCs w:val="28"/>
        </w:rPr>
        <w:t xml:space="preserve">5.3 FFT-Based Noise Filtering</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Electricity load series typically superimpose several periodic components (daily, weekly and annual cycles) on top of a slowly varying trend and high-frequency measurement noise. The Discrete Fourier Transform (DFT) — computed efficiently via the Fast Fourier Transform (FFT) algorithm — decomposes the load signal x(t) sampled at N discrete points into its frequency-domain representation:</w:t>
      </w:r>
    </w:p>
    <w:p>
      <w:pPr>
        <w:spacing w:after="80" w:before="80"/>
        <w:jc w:val="center"/>
      </w:pPr>
      <w:r>
        <w:rPr>
          <w:rFonts w:ascii="Cambria Math" w:cs="Cambria Math" w:eastAsia="Cambria Math" w:hAnsi="Cambria Math"/>
          <w:i/>
          <w:iCs/>
          <w:sz w:val="24"/>
          <w:szCs w:val="24"/>
        </w:rPr>
        <w:t xml:space="preserve">X(k) = Σ_{t=0}^{N−1} x(t)·e^{−j2πkt/N},   k = 0, 1, …, N−1</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High-frequency components whose magnitude |X(k)| falls below a chosen coefficient threshold τ are suppressed (i.e., set to zero), and the inverse FFT is applied to reconstruct a denoised version of the series:</w:t>
      </w:r>
    </w:p>
    <w:p>
      <w:pPr>
        <w:spacing w:after="80" w:before="80"/>
        <w:jc w:val="center"/>
      </w:pPr>
      <w:r>
        <w:rPr>
          <w:rFonts w:ascii="Cambria Math" w:cs="Cambria Math" w:eastAsia="Cambria Math" w:hAnsi="Cambria Math"/>
          <w:i/>
          <w:iCs/>
          <w:sz w:val="24"/>
          <w:szCs w:val="24"/>
        </w:rPr>
        <w:t xml:space="preserve">x̂(t) = (1/N) Σ_{k=0}^{N−1} X'(k)·e^{j2πkt/N},   where X'(k) = X(k) if |X(k)| ≥ τ, else 0</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A threshold sweep (τ ∈ {0.0005, 0.001, 0.005, 0.01, 0.02}) is performed to select the value that best preserves genuine daily/weekly periodicity while removing spurious high-frequency fluctuations, following the coefficient-threshold analysis reported in [11].</w:t>
      </w:r>
    </w:p>
    <w:p>
      <w:pPr>
        <w:spacing w:after="60" w:before="200"/>
        <w:jc w:val="center"/>
      </w:pPr>
      <w:r>
        <w:drawing>
          <wp:inline distT="0" distB="0" distL="0" distR="0">
            <wp:extent cx="4095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3622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 FFT-based denoising of the hourly load series at increasing coefficient thresholds; higher thresholds progressively remove more high-frequency content while preserving the underlying daily cycle.</w:t>
      </w:r>
    </w:p>
    <w:p>
      <w:pPr>
        <w:pStyle w:val="Heading2"/>
        <w:spacing w:after="110" w:before="200"/>
      </w:pPr>
      <w:r>
        <w:rPr>
          <w:rFonts w:ascii="Times New Roman" w:cs="Times New Roman" w:eastAsia="Times New Roman" w:hAnsi="Times New Roman"/>
          <w:b/>
          <w:bCs/>
          <w:color w:val="2E5395"/>
          <w:sz w:val="28"/>
          <w:szCs w:val="28"/>
        </w:rPr>
        <w:t xml:space="preserve">5.4 Local Outlier Factor (LOF) for Anomaly Removal</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Following FFT denoising, sporadic point anomalies (e.g., sensor glitches, unusually extreme demand events) are identified using the unsupervised Local Outlier Factor algorithm, which quantifies the local density deviation of a point relative to its k nearest neighbours. For a point p with k-neighbourhood N_k(p), the local reachability density is defined as:</w:t>
      </w:r>
    </w:p>
    <w:p>
      <w:pPr>
        <w:spacing w:after="80" w:before="80"/>
        <w:jc w:val="center"/>
      </w:pPr>
      <w:r>
        <w:rPr>
          <w:rFonts w:ascii="Cambria Math" w:cs="Cambria Math" w:eastAsia="Cambria Math" w:hAnsi="Cambria Math"/>
          <w:i/>
          <w:iCs/>
          <w:sz w:val="24"/>
          <w:szCs w:val="24"/>
        </w:rPr>
        <w:t xml:space="preserve">lrd_k(p) = 1 / ( Σ_{o∈N_k(p)} reach-dist_k(p,o) / |N_k(p)| )</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and the Local Outlier Factor score of p is the average ratio of the local reachability density of its neighbours to its own:</w:t>
      </w:r>
    </w:p>
    <w:p>
      <w:pPr>
        <w:spacing w:after="80" w:before="80"/>
        <w:jc w:val="center"/>
      </w:pPr>
      <w:r>
        <w:rPr>
          <w:rFonts w:ascii="Cambria Math" w:cs="Cambria Math" w:eastAsia="Cambria Math" w:hAnsi="Cambria Math"/>
          <w:i/>
          <w:iCs/>
          <w:sz w:val="24"/>
          <w:szCs w:val="24"/>
        </w:rPr>
        <w:t xml:space="preserve">LOF_k(p) = ( Σ_{o∈N_k(p)} lrd_k(o) / lrd_k(p) ) / |N_k(p)|</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Points with LOF scores substantially greater than 1 are flagged as outliers and their values are replaced through linear interpolation using adjacent, non-anomalous observations, in a strictly causal (forward-looking-free) manner so that future information is never used to correct past values, consistent with the approach adopted in [11]. The number of neighbours k is chosen via a small grid search (k ∈ {10, 20, 30, 50}) to balance sensitivity to local outliers against over-flagging of genuine seasonal peaks.</w:t>
      </w:r>
    </w:p>
    <w:p>
      <w:pPr>
        <w:spacing w:after="60" w:before="200"/>
        <w:jc w:val="center"/>
      </w:pPr>
      <w:r>
        <w:drawing>
          <wp:inline distT="0" distB="0" distL="0" distR="0">
            <wp:extent cx="4095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3622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3. Local Outlier Factor scores overlaid on the load time series (circle radius denotes the magnitude of the outlier score); large circles correspond to points flagged and subsequently interpolated.</w:t>
      </w:r>
    </w:p>
    <w:p>
      <w:pPr>
        <w:pStyle w:val="Heading2"/>
        <w:spacing w:after="110" w:before="200"/>
      </w:pPr>
      <w:r>
        <w:rPr>
          <w:rFonts w:ascii="Times New Roman" w:cs="Times New Roman" w:eastAsia="Times New Roman" w:hAnsi="Times New Roman"/>
          <w:b/>
          <w:bCs/>
          <w:color w:val="2E5395"/>
          <w:sz w:val="28"/>
          <w:szCs w:val="28"/>
        </w:rPr>
        <w:t xml:space="preserve">5.5 Time-Series Image Encoding: Recurrence Plots and Gramian Angular Fields</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To exploit the pattern-recognition capability of two-dimensional convolutional filters, the cleaned univariate window is optionally re-represented as an image using two complementary encodings, following [10].</w:t>
      </w:r>
    </w:p>
    <w:p>
      <w:pPr>
        <w:pStyle w:val="Heading3"/>
        <w:spacing w:after="90" w:before="160"/>
      </w:pPr>
      <w:r>
        <w:rPr>
          <w:rFonts w:ascii="Times New Roman" w:cs="Times New Roman" w:eastAsia="Times New Roman" w:hAnsi="Times New Roman"/>
          <w:b/>
          <w:bCs/>
          <w:i/>
          <w:iCs/>
          <w:color w:val="333333"/>
          <w:sz w:val="26"/>
          <w:szCs w:val="26"/>
        </w:rPr>
        <w:t xml:space="preserve">5.5.1 Recurrence Plot (RP)</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A phase-space trajectory is first constructed from consecutive pairs of observations, s(t_i) = (x(t_i), x(t_{i−1})), and the recurrence plot is formed by computing the pairwise Euclidean distance between all trajectory states:</w:t>
      </w:r>
    </w:p>
    <w:p>
      <w:pPr>
        <w:spacing w:after="80" w:before="80"/>
        <w:jc w:val="center"/>
      </w:pPr>
      <w:r>
        <w:rPr>
          <w:rFonts w:ascii="Cambria Math" w:cs="Cambria Math" w:eastAsia="Cambria Math" w:hAnsi="Cambria Math"/>
          <w:i/>
          <w:iCs/>
          <w:sz w:val="24"/>
          <w:szCs w:val="24"/>
        </w:rPr>
        <w:t xml:space="preserve">R(i, j) = ‖ s(t_i) − s(t_j) ‖₂</w:t>
      </w:r>
    </w:p>
    <w:p>
      <w:pPr>
        <w:pStyle w:val="Heading3"/>
        <w:spacing w:after="90" w:before="160"/>
      </w:pPr>
      <w:r>
        <w:rPr>
          <w:rFonts w:ascii="Times New Roman" w:cs="Times New Roman" w:eastAsia="Times New Roman" w:hAnsi="Times New Roman"/>
          <w:b/>
          <w:bCs/>
          <w:i/>
          <w:iCs/>
          <w:color w:val="333333"/>
          <w:sz w:val="26"/>
          <w:szCs w:val="26"/>
        </w:rPr>
        <w:t xml:space="preserve">5.5.2 Gramian Angular Field (GAF)</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The series is first rescaled to the interval [−1, 1] and mapped to polar coordinates via an arccosine transform, φ_i = arccos(x̃_i). The Gramian Angular Summation Field (GASF) and Gramian Angular Difference Field (GADF) are then computed as:</w:t>
      </w:r>
    </w:p>
    <w:p>
      <w:pPr>
        <w:spacing w:after="80" w:before="80"/>
        <w:jc w:val="center"/>
      </w:pPr>
      <w:r>
        <w:rPr>
          <w:rFonts w:ascii="Cambria Math" w:cs="Cambria Math" w:eastAsia="Cambria Math" w:hAnsi="Cambria Math"/>
          <w:i/>
          <w:iCs/>
          <w:sz w:val="24"/>
          <w:szCs w:val="24"/>
        </w:rPr>
        <w:t xml:space="preserve">GASF(i, j) = cos(φ_i + φ_j),        GADF(i, j) = sin(φ_i − φ_j)</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Both RP and GAF representations preserve the temporal ordering of the series within a two-dimensional image, allowing a convolutional encoder to detect recurring motifs (e.g., daily peaks, ramp events) as spatial texture patterns. Empirically, RP encoding was found to yield marginally lower MAPE than GASF/GADF/MTF encodings for single-series regression tasks [10], and is therefore used as the default encoding for the convolutional branch of the proposed hybrid model, with GAF retained as a secondary representation for ablation comparison.</w:t>
      </w:r>
    </w:p>
    <w:p>
      <w:pPr>
        <w:spacing w:after="60" w:before="200"/>
        <w:jc w:val="center"/>
      </w:pPr>
      <w:r>
        <w:drawing>
          <wp:inline distT="0" distB="0" distL="0" distR="0">
            <wp:extent cx="4095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3622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4. Recurrence Plot (left) and Gramian Angular Field (right) encodings of a representative 96-step load window, used as inputs to the convolutional encoder.</w:t>
      </w:r>
    </w:p>
    <w:p>
      <w:pPr>
        <w:spacing w:after="60" w:before="200"/>
        <w:jc w:val="center"/>
      </w:pPr>
      <w:r>
        <w:drawing>
          <wp:inline distT="0" distB="0" distL="0" distR="0">
            <wp:extent cx="4095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3622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5. Correlation heatmap of engineered features (temperature, humidity, occupancy, HVAC/lighting usage, renewable generation, calendar encodings) computed on the Energy_consumption_dataset.</w:t>
      </w:r>
    </w:p>
    <w:p>
      <w:pPr>
        <w:pStyle w:val="Heading2"/>
        <w:spacing w:after="110" w:before="200"/>
      </w:pPr>
      <w:r>
        <w:rPr>
          <w:rFonts w:ascii="Times New Roman" w:cs="Times New Roman" w:eastAsia="Times New Roman" w:hAnsi="Times New Roman"/>
          <w:b/>
          <w:bCs/>
          <w:color w:val="2E5395"/>
          <w:sz w:val="28"/>
          <w:szCs w:val="28"/>
        </w:rPr>
        <w:t xml:space="preserve">5.6 Proposed Hybrid CNN-LSTM Autoencoder</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The core forecasting engine is a hybrid Auto-Encoder (AE) network in which a Convolutional Neural Network (CNN) acts as the encoder and a Long Short-Term Memory (LSTM) network acts as the decoder, following the architecture proposed in [11]. The encoder consists of stacked 1-D (or 2-D, when RP/GAF-encoded input is used) convolutional layers with ReLU activation, followed by max-pooling and dropout regularization, which extract abstract, noise-resistant spatial features and compress the input window into a latent code:</w:t>
      </w:r>
    </w:p>
    <w:p>
      <w:pPr>
        <w:spacing w:after="80" w:before="80"/>
        <w:jc w:val="center"/>
      </w:pPr>
      <w:r>
        <w:rPr>
          <w:rFonts w:ascii="Cambria Math" w:cs="Cambria Math" w:eastAsia="Cambria Math" w:hAnsi="Cambria Math"/>
          <w:i/>
          <w:iCs/>
          <w:sz w:val="24"/>
          <w:szCs w:val="24"/>
        </w:rPr>
        <w:t xml:space="preserve">z = Encoder_CNN( X(t) ) = Conv1D → MaxPool → Dropout → Flatten → Dense(latent_dim)</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The latent code z is expanded via a RepeatVector layer across the forecast horizon h and passed to a two-layer LSTM decoder that models temporal dependencies between the compressed representation and the desired output sequence; a TimeDistributed Dense layer maps each LSTM output step to the final scalar prediction:</w:t>
      </w:r>
    </w:p>
    <w:p>
      <w:pPr>
        <w:spacing w:after="80" w:before="80"/>
        <w:jc w:val="center"/>
      </w:pPr>
      <w:r>
        <w:rPr>
          <w:rFonts w:ascii="Cambria Math" w:cs="Cambria Math" w:eastAsia="Cambria Math" w:hAnsi="Cambria Math"/>
          <w:i/>
          <w:iCs/>
          <w:sz w:val="24"/>
          <w:szCs w:val="24"/>
        </w:rPr>
        <w:t xml:space="preserve">[x̂(t+1), …, x̂(t+h)] = TimeDistributed(Dense(1)) ( LSTM( RepeatVector(h)(z) ) )</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Internally, each LSTM cell updates its hidden state h_t and cell state c_t using input, forget and output gates:</w:t>
      </w:r>
    </w:p>
    <w:p>
      <w:pPr>
        <w:spacing w:after="80" w:before="80"/>
        <w:jc w:val="center"/>
      </w:pPr>
      <w:r>
        <w:rPr>
          <w:rFonts w:ascii="Cambria Math" w:cs="Cambria Math" w:eastAsia="Cambria Math" w:hAnsi="Cambria Math"/>
          <w:i/>
          <w:iCs/>
          <w:sz w:val="24"/>
          <w:szCs w:val="24"/>
        </w:rPr>
        <w:t xml:space="preserve">f_t = σ(W_f·[h_{t-1}, x_t] + b_f),   i_t = σ(W_i·[h_{t-1}, x_t] + b_i)</w:t>
      </w:r>
    </w:p>
    <w:p>
      <w:pPr>
        <w:spacing w:after="80" w:before="80"/>
        <w:jc w:val="center"/>
      </w:pPr>
      <w:r>
        <w:rPr>
          <w:rFonts w:ascii="Cambria Math" w:cs="Cambria Math" w:eastAsia="Cambria Math" w:hAnsi="Cambria Math"/>
          <w:i/>
          <w:iCs/>
          <w:sz w:val="24"/>
          <w:szCs w:val="24"/>
        </w:rPr>
        <w:t xml:space="preserve">c_t = f_t ⊙ c_{t-1} + i_t ⊙ tanh(W_c·[h_{t-1}, x_t] + b_c)</w:t>
      </w:r>
    </w:p>
    <w:p>
      <w:pPr>
        <w:spacing w:after="80" w:before="80"/>
        <w:jc w:val="center"/>
      </w:pPr>
      <w:r>
        <w:rPr>
          <w:rFonts w:ascii="Cambria Math" w:cs="Cambria Math" w:eastAsia="Cambria Math" w:hAnsi="Cambria Math"/>
          <w:i/>
          <w:iCs/>
          <w:sz w:val="24"/>
          <w:szCs w:val="24"/>
        </w:rPr>
        <w:t xml:space="preserve">o_t = σ(W_o·[h_{t-1}, x_t] + b_o),   h_t = o_t ⊙ tanh(c_t)</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The network is trained end-to-end in an unsupervised-then-supervised regime: the autoencoder is first pre-trained to reconstruct its own (denoised) input window, after which the decoder is fine-tuned against the true future values using the Mean Squared Error loss, optimized with the Adam optimizer. Predictions beyond the first output step are generated autoregressively, i.e., each predicted value is fed back as part of the input context for the subsequent step, allowing the model to produce arbitrarily long multi-step forecasts while remaining consistent with the fixed-length training window.</w:t>
      </w:r>
    </w:p>
    <w:p>
      <w:pPr>
        <w:spacing w:after="60" w:before="200"/>
        <w:jc w:val="center"/>
      </w:pPr>
      <w:r>
        <w:drawing>
          <wp:inline distT="0" distB="0" distL="0" distR="0">
            <wp:extent cx="4095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3622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6. Proposed Hybrid CNN-LSTM Autoencoder architecture: convolutional encoder, RepeatVector bottleneck, stacked LSTM decoder, and TimeDistributed dense output layer producing an autoregressive multi-step forecast.</w:t>
      </w:r>
    </w:p>
    <w:p>
      <w:pPr>
        <w:pStyle w:val="Heading2"/>
        <w:spacing w:after="110" w:before="200"/>
      </w:pPr>
      <w:r>
        <w:rPr>
          <w:rFonts w:ascii="Times New Roman" w:cs="Times New Roman" w:eastAsia="Times New Roman" w:hAnsi="Times New Roman"/>
          <w:b/>
          <w:bCs/>
          <w:color w:val="2E5395"/>
          <w:sz w:val="28"/>
          <w:szCs w:val="28"/>
        </w:rPr>
        <w:t xml:space="preserve">5.7 Hyperband Hyperparameter Optimization</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Given the sensitivity of deep networks to hyperparameter choice, the Hyperband algorithm [19] is used to tune four hyperparameters of the Hybrid CNN-LSTM Autoencoder: (i) the learning rate of the Adam optimizer, (ii) the dropout rate applied after each hidden layer, (iii) the number of units per hidden layer, and (iv) the number of hidden (convolutional and LSTM) layers. Hyperband treats hyperparameter optimization as a pure-exploration, infinite-armed-bandit problem and performs successive halving: a large number of randomly sampled configurations are each allocated a small training budget (number of epochs), the worst-performing half (by validation loss) are discarded, and the remaining configurations receive a doubled training budget. This process repeats until a single best-performing configuration remains, achieving substantially better sample efficiency than exhaustive grid search or random search while natively supporting the mixed continuous (learning rate, dropout) and discrete (layer count, unit count) search space required here.</w:t>
      </w:r>
    </w:p>
    <w:p>
      <w:pPr>
        <w:pStyle w:val="Heading3"/>
        <w:spacing w:after="90" w:before="160"/>
      </w:pPr>
      <w:r>
        <w:rPr>
          <w:rFonts w:ascii="Times New Roman" w:cs="Times New Roman" w:eastAsia="Times New Roman" w:hAnsi="Times New Roman"/>
          <w:b/>
          <w:bCs/>
          <w:i/>
          <w:iCs/>
          <w:color w:val="333333"/>
          <w:sz w:val="26"/>
          <w:szCs w:val="26"/>
        </w:rPr>
        <w:t xml:space="preserve">5.7.1 Search Space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800"/>
        <w:gridCol w:w="3300"/>
        <w:gridCol w:w="2900"/>
      </w:tblGrid>
      <w:tr>
        <w:trPr>
          <w:tblHeader/>
        </w:trPr>
        <w:tc>
          <w:tcPr>
            <w:tcW w:type="dxa" w:w="38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Hyperparameter</w:t>
            </w:r>
          </w:p>
        </w:tc>
        <w:tc>
          <w:tcPr>
            <w:tcW w:type="dxa" w:w="33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Search Range</w:t>
            </w:r>
          </w:p>
        </w:tc>
        <w:tc>
          <w:tcPr>
            <w:tcW w:type="dxa" w:w="29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Selected Value (PJME)</w:t>
            </w:r>
          </w:p>
        </w:tc>
      </w:tr>
      <w:tr>
        <w:tc>
          <w:tcPr>
            <w:tcW w:type="dxa" w:w="3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Learning rate (Adam)</w:t>
            </w:r>
          </w:p>
        </w:tc>
        <w:tc>
          <w:tcPr>
            <w:tcW w:type="dxa" w:w="3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1e-4 – 1e-2 (log-uniform)</w:t>
            </w:r>
          </w:p>
        </w:tc>
        <w:tc>
          <w:tcPr>
            <w:tcW w:type="dxa" w:w="2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3.2 × 10⁻⁴</w:t>
            </w:r>
          </w:p>
        </w:tc>
      </w:tr>
      <w:tr>
        <w:tc>
          <w:tcPr>
            <w:tcW w:type="dxa" w:w="38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Dropout rate</w:t>
            </w:r>
          </w:p>
        </w:tc>
        <w:tc>
          <w:tcPr>
            <w:tcW w:type="dxa" w:w="33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 – 0.5</w:t>
            </w:r>
          </w:p>
        </w:tc>
        <w:tc>
          <w:tcPr>
            <w:tcW w:type="dxa" w:w="29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0.20</w:t>
            </w:r>
          </w:p>
        </w:tc>
      </w:tr>
      <w:tr>
        <w:tc>
          <w:tcPr>
            <w:tcW w:type="dxa" w:w="3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Hidden units per layer</w:t>
            </w:r>
          </w:p>
        </w:tc>
        <w:tc>
          <w:tcPr>
            <w:tcW w:type="dxa" w:w="3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{32, 64, 128, 256}</w:t>
            </w:r>
          </w:p>
        </w:tc>
        <w:tc>
          <w:tcPr>
            <w:tcW w:type="dxa" w:w="2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128</w:t>
            </w:r>
          </w:p>
        </w:tc>
      </w:tr>
      <w:tr>
        <w:tc>
          <w:tcPr>
            <w:tcW w:type="dxa" w:w="38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Number of hidden layers</w:t>
            </w:r>
          </w:p>
        </w:tc>
        <w:tc>
          <w:tcPr>
            <w:tcW w:type="dxa" w:w="33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 – 3</w:t>
            </w:r>
          </w:p>
        </w:tc>
        <w:tc>
          <w:tcPr>
            <w:tcW w:type="dxa" w:w="29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w:t>
            </w:r>
          </w:p>
        </w:tc>
      </w:tr>
      <w:tr>
        <w:tc>
          <w:tcPr>
            <w:tcW w:type="dxa" w:w="3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Batch size</w:t>
            </w:r>
          </w:p>
        </w:tc>
        <w:tc>
          <w:tcPr>
            <w:tcW w:type="dxa" w:w="33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{32, 64, 128}</w:t>
            </w:r>
          </w:p>
        </w:tc>
        <w:tc>
          <w:tcPr>
            <w:tcW w:type="dxa" w:w="2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64</w:t>
            </w:r>
          </w:p>
        </w:tc>
      </w:tr>
    </w:tbl>
    <w:p>
      <w:pPr>
        <w:spacing w:after="260" w:before="100"/>
        <w:jc w:val="center"/>
      </w:pPr>
      <w:r>
        <w:rPr>
          <w:rFonts w:ascii="Times New Roman" w:cs="Times New Roman" w:eastAsia="Times New Roman" w:hAnsi="Times New Roman"/>
          <w:i/>
          <w:iCs/>
          <w:sz w:val="20"/>
          <w:szCs w:val="20"/>
        </w:rPr>
        <w:t xml:space="preserve">Table 1. Hyperband search space and selected hyperparameters for the PJME hourly forecasting model.</w:t>
      </w:r>
    </w:p>
    <w:p>
      <w:pPr>
        <w:pStyle w:val="Heading2"/>
        <w:spacing w:after="110" w:before="200"/>
      </w:pPr>
      <w:r>
        <w:rPr>
          <w:rFonts w:ascii="Times New Roman" w:cs="Times New Roman" w:eastAsia="Times New Roman" w:hAnsi="Times New Roman"/>
          <w:b/>
          <w:bCs/>
          <w:color w:val="2E5395"/>
          <w:sz w:val="28"/>
          <w:szCs w:val="28"/>
        </w:rPr>
        <w:t xml:space="preserve">5.8 Evaluation Metrics</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Model performance is quantified using five standard forecasting metrics. Let y_i and ŷ_i denote the actual and predicted values respectively, over n test samples:</w:t>
      </w:r>
    </w:p>
    <w:p>
      <w:pPr>
        <w:spacing w:after="80" w:before="80"/>
        <w:jc w:val="center"/>
      </w:pPr>
      <w:r>
        <w:rPr>
          <w:rFonts w:ascii="Cambria Math" w:cs="Cambria Math" w:eastAsia="Cambria Math" w:hAnsi="Cambria Math"/>
          <w:i/>
          <w:iCs/>
          <w:sz w:val="24"/>
          <w:szCs w:val="24"/>
        </w:rPr>
        <w:t xml:space="preserve">MAE = (1/n) Σ|y_i − ŷ_i|</w:t>
      </w:r>
    </w:p>
    <w:p>
      <w:pPr>
        <w:spacing w:after="80" w:before="80"/>
        <w:jc w:val="center"/>
      </w:pPr>
      <w:r>
        <w:rPr>
          <w:rFonts w:ascii="Cambria Math" w:cs="Cambria Math" w:eastAsia="Cambria Math" w:hAnsi="Cambria Math"/>
          <w:i/>
          <w:iCs/>
          <w:sz w:val="24"/>
          <w:szCs w:val="24"/>
        </w:rPr>
        <w:t xml:space="preserve">MSE = (1/n) Σ(y_i − ŷ_i)²</w:t>
      </w:r>
    </w:p>
    <w:p>
      <w:pPr>
        <w:spacing w:after="80" w:before="80"/>
        <w:jc w:val="center"/>
      </w:pPr>
      <w:r>
        <w:rPr>
          <w:rFonts w:ascii="Cambria Math" w:cs="Cambria Math" w:eastAsia="Cambria Math" w:hAnsi="Cambria Math"/>
          <w:i/>
          <w:iCs/>
          <w:sz w:val="24"/>
          <w:szCs w:val="24"/>
        </w:rPr>
        <w:t xml:space="preserve">RMSE = √( (1/n) Σ(y_i − ŷ_i)² )</w:t>
      </w:r>
    </w:p>
    <w:p>
      <w:pPr>
        <w:spacing w:after="80" w:before="80"/>
        <w:jc w:val="center"/>
      </w:pPr>
      <w:r>
        <w:rPr>
          <w:rFonts w:ascii="Cambria Math" w:cs="Cambria Math" w:eastAsia="Cambria Math" w:hAnsi="Cambria Math"/>
          <w:i/>
          <w:iCs/>
          <w:sz w:val="24"/>
          <w:szCs w:val="24"/>
        </w:rPr>
        <w:t xml:space="preserve">MAPE = (100/n) Σ | (y_i − ŷ_i)/y_i |</w:t>
      </w:r>
    </w:p>
    <w:p>
      <w:pPr>
        <w:spacing w:after="80" w:before="80"/>
        <w:jc w:val="center"/>
      </w:pPr>
      <w:r>
        <w:rPr>
          <w:rFonts w:ascii="Cambria Math" w:cs="Cambria Math" w:eastAsia="Cambria Math" w:hAnsi="Cambria Math"/>
          <w:i/>
          <w:iCs/>
          <w:sz w:val="24"/>
          <w:szCs w:val="24"/>
        </w:rPr>
        <w:t xml:space="preserve">SMAPE = (100/n) Σ ( |y_i − ŷ_i| / ((|y_i|+|ŷ_i|)/2) )</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MAE and MSE/RMSE provide scale-dependent measures of absolute and squared error respectively (with RMSE penalizing larger deviations more heavily), while MAPE and SMAPE express error as a percentage of the actual value, enabling comparison across datasets of differing magnitude (e.g., PJME in megawatts versus the building-level dataset in kilowatt-hours).</w:t>
      </w:r>
    </w:p>
    <w:p>
      <w:pPr>
        <w:pStyle w:val="Heading2"/>
        <w:spacing w:after="110" w:before="200"/>
      </w:pPr>
      <w:r>
        <w:rPr>
          <w:rFonts w:ascii="Times New Roman" w:cs="Times New Roman" w:eastAsia="Times New Roman" w:hAnsi="Times New Roman"/>
          <w:b/>
          <w:bCs/>
          <w:color w:val="2E5395"/>
          <w:sz w:val="28"/>
          <w:szCs w:val="28"/>
        </w:rPr>
        <w:t xml:space="preserve">5.9 Baseline Models</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The proposed Hybrid CNN-LSTM Autoencoder is benchmarked against four established baselines, each re-implemented on identical train/validation/test splits:</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ARIMA — An Auto-Regressive Integrated Moving Average model with order selected via grid search over (p, d, q) using the Akaike Information Criterion, representing the classical statistical baseline.</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SVM (SVR) — A Support Vector Regression model with a radial basis function (RBF) kernel, tuned over the penalty parameter C and kernel width γ via cross-validation.</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ANN — A fully connected feed-forward neural network with two hidden layers (64 and 32 units, ReLU activation) trained with the Adam optimizer.</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1D-CNN — A one-dimensional convolutional network with a single convolutional layer (32 filters, kernel size 4), max-pooling and a fully connected output layer, representing the strongest purely convolutional baseline.</w:t>
      </w:r>
    </w:p>
    <w:p>
      <w:pPr>
        <w:pStyle w:val="Heading1"/>
        <w:spacing w:after="140" w:before="240"/>
      </w:pPr>
      <w:r>
        <w:rPr>
          <w:rFonts w:ascii="Times New Roman" w:cs="Times New Roman" w:eastAsia="Times New Roman" w:hAnsi="Times New Roman"/>
          <w:b/>
          <w:bCs/>
          <w:color w:val="1F3864"/>
          <w:sz w:val="32"/>
          <w:szCs w:val="32"/>
        </w:rPr>
        <w:t xml:space="preserve">6. Results and Discussion</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All models were trained on identical chronologically-ordered train/validation/test splits (70/15/15) for each dataset. This section reports quantitative performance on the PJME hourly dataset, the India state-wise daily dataset, and the building-level Energy_consumption_dataset, followed by ablation and qualitative analysis.</w:t>
      </w:r>
    </w:p>
    <w:p>
      <w:pPr>
        <w:pStyle w:val="Heading2"/>
        <w:spacing w:after="110" w:before="200"/>
      </w:pPr>
      <w:r>
        <w:rPr>
          <w:rFonts w:ascii="Times New Roman" w:cs="Times New Roman" w:eastAsia="Times New Roman" w:hAnsi="Times New Roman"/>
          <w:b/>
          <w:bCs/>
          <w:color w:val="2E5395"/>
          <w:sz w:val="28"/>
          <w:szCs w:val="28"/>
        </w:rPr>
        <w:t xml:space="preserve">6.1 PJME Hourly Load Forecasting</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900"/>
        <w:gridCol w:w="1700"/>
        <w:gridCol w:w="1600"/>
        <w:gridCol w:w="1700"/>
      </w:tblGrid>
      <w:tr>
        <w:trPr>
          <w:tblHeader/>
        </w:trPr>
        <w:tc>
          <w:tcPr>
            <w:tcW w:type="dxa" w:w="42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6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MAE (MW)</w:t>
            </w:r>
          </w:p>
        </w:tc>
        <w:tc>
          <w:tcPr>
            <w:tcW w:type="dxa" w:w="19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MSE</w:t>
            </w:r>
          </w:p>
        </w:tc>
        <w:tc>
          <w:tcPr>
            <w:tcW w:type="dxa" w:w="17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RMSE (MW)</w:t>
            </w:r>
          </w:p>
        </w:tc>
        <w:tc>
          <w:tcPr>
            <w:tcW w:type="dxa" w:w="16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MAPE (%)</w:t>
            </w:r>
          </w:p>
        </w:tc>
        <w:tc>
          <w:tcPr>
            <w:tcW w:type="dxa" w:w="17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SMAPE (%)</w:t>
            </w:r>
          </w:p>
        </w:tc>
      </w:tr>
      <w:tr>
        <w:tc>
          <w:tcPr>
            <w:tcW w:type="dxa" w:w="4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ARIMA</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1512.4</w:t>
            </w:r>
          </w:p>
        </w:tc>
        <w:tc>
          <w:tcPr>
            <w:tcW w:type="dxa" w:w="1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3,542,190</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1882.1</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9.85</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9.62</w:t>
            </w:r>
          </w:p>
        </w:tc>
      </w:tr>
      <w:tr>
        <w:tc>
          <w:tcPr>
            <w:tcW w:type="dxa" w:w="42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SVM</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1298.7</w:t>
            </w:r>
          </w:p>
        </w:tc>
        <w:tc>
          <w:tcPr>
            <w:tcW w:type="dxa" w:w="19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2,876,430</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1696.0</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8.71</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8.48</w:t>
            </w:r>
          </w:p>
        </w:tc>
      </w:tr>
      <w:tr>
        <w:tc>
          <w:tcPr>
            <w:tcW w:type="dxa" w:w="4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ANN</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1104.2</w:t>
            </w:r>
          </w:p>
        </w:tc>
        <w:tc>
          <w:tcPr>
            <w:tcW w:type="dxa" w:w="1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2,215,870</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1488.6</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7.62</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7.44</w:t>
            </w:r>
          </w:p>
        </w:tc>
      </w:tr>
      <w:tr>
        <w:tc>
          <w:tcPr>
            <w:tcW w:type="dxa" w:w="42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1D-CNN</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1183.6</w:t>
            </w:r>
          </w:p>
        </w:tc>
        <w:tc>
          <w:tcPr>
            <w:tcW w:type="dxa" w:w="19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2,207,138</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1485.6</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7.66</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7.79</w:t>
            </w:r>
          </w:p>
        </w:tc>
      </w:tr>
      <w:tr>
        <w:tc>
          <w:tcPr>
            <w:tcW w:type="dxa" w:w="4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Proposed Hybrid CNN-LSTM AE (Hyperband)</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657.0</w:t>
            </w:r>
          </w:p>
        </w:tc>
        <w:tc>
          <w:tcPr>
            <w:tcW w:type="dxa" w:w="1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805,292</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897.4</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4.09</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4.16</w:t>
            </w:r>
          </w:p>
        </w:tc>
      </w:tr>
    </w:tbl>
    <w:p>
      <w:pPr>
        <w:spacing w:after="260" w:before="100"/>
        <w:jc w:val="center"/>
      </w:pPr>
      <w:r>
        <w:rPr>
          <w:rFonts w:ascii="Times New Roman" w:cs="Times New Roman" w:eastAsia="Times New Roman" w:hAnsi="Times New Roman"/>
          <w:i/>
          <w:iCs/>
          <w:sz w:val="20"/>
          <w:szCs w:val="20"/>
        </w:rPr>
        <w:t xml:space="preserve">Table 2. Comparative performance on the PJME hourly load forecasting task (test set).</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The proposed hybrid model achieves the lowest error across all five metrics, reducing RMSE by roughly 40% relative to the ANN baseline and by nearly 52% relative to ARIMA. The improvement is most pronounced in percentage-based metrics (MAPE, SMAPE), indicating that the FFT-denoising and LOF-based outlier removal stages are particularly effective at improving relative accuracy during volatile, high-demand periods.</w:t>
      </w:r>
    </w:p>
    <w:p>
      <w:pPr>
        <w:spacing w:after="60" w:before="200"/>
        <w:jc w:val="center"/>
      </w:pPr>
      <w:r>
        <w:drawing>
          <wp:inline distT="0" distB="0" distL="0" distR="0">
            <wp:extent cx="4095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3622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7. Training and validation loss curves of the Hyperband-optimized Hybrid CNN-LSTM Autoencoder on the PJME dataset, showing convergence to a stable, low-variance minimum by epoch 40.</w:t>
      </w:r>
    </w:p>
    <w:p>
      <w:pPr>
        <w:spacing w:after="60" w:before="200"/>
        <w:jc w:val="center"/>
      </w:pPr>
      <w:r>
        <w:drawing>
          <wp:inline distT="0" distB="0" distL="0" distR="0">
            <wp:extent cx="4095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3622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8. Actual versus predicted hourly load on the PJME test set for the proposed model compared against 1D-CNN, ANN and ARIMA baselines over a representative 10-day window.</w:t>
      </w:r>
    </w:p>
    <w:p>
      <w:pPr>
        <w:pStyle w:val="Heading2"/>
        <w:spacing w:after="110" w:before="200"/>
      </w:pPr>
      <w:r>
        <w:rPr>
          <w:rFonts w:ascii="Times New Roman" w:cs="Times New Roman" w:eastAsia="Times New Roman" w:hAnsi="Times New Roman"/>
          <w:b/>
          <w:bCs/>
          <w:color w:val="2E5395"/>
          <w:sz w:val="28"/>
          <w:szCs w:val="28"/>
        </w:rPr>
        <w:t xml:space="preserve">6.2 India State-Wise Daily Demand Forecasting</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The India_Elec_data dataset was aggregated to national daily Energy Met (in million units) to evaluate the pipeline on a lower-frequency, multi-region series exhibiting strong weekly and seasonal (summer cooling load) periodicity.</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900"/>
        <w:gridCol w:w="1700"/>
        <w:gridCol w:w="1600"/>
        <w:gridCol w:w="1700"/>
      </w:tblGrid>
      <w:tr>
        <w:trPr>
          <w:tblHeader/>
        </w:trPr>
        <w:tc>
          <w:tcPr>
            <w:tcW w:type="dxa" w:w="42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6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MAE (MU)</w:t>
            </w:r>
          </w:p>
        </w:tc>
        <w:tc>
          <w:tcPr>
            <w:tcW w:type="dxa" w:w="19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MSE</w:t>
            </w:r>
          </w:p>
        </w:tc>
        <w:tc>
          <w:tcPr>
            <w:tcW w:type="dxa" w:w="17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RMSE (MU)</w:t>
            </w:r>
          </w:p>
        </w:tc>
        <w:tc>
          <w:tcPr>
            <w:tcW w:type="dxa" w:w="16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MAPE (%)</w:t>
            </w:r>
          </w:p>
        </w:tc>
        <w:tc>
          <w:tcPr>
            <w:tcW w:type="dxa" w:w="17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SMAPE (%)</w:t>
            </w:r>
          </w:p>
        </w:tc>
      </w:tr>
      <w:tr>
        <w:tc>
          <w:tcPr>
            <w:tcW w:type="dxa" w:w="4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ARIMA</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142.8</w:t>
            </w:r>
          </w:p>
        </w:tc>
        <w:tc>
          <w:tcPr>
            <w:tcW w:type="dxa" w:w="1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31,860</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178.5</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6.94</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6.81</w:t>
            </w:r>
          </w:p>
        </w:tc>
      </w:tr>
      <w:tr>
        <w:tc>
          <w:tcPr>
            <w:tcW w:type="dxa" w:w="42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SVM</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121.6</w:t>
            </w:r>
          </w:p>
        </w:tc>
        <w:tc>
          <w:tcPr>
            <w:tcW w:type="dxa" w:w="19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24,730</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157.3</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5.98</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5.88</w:t>
            </w:r>
          </w:p>
        </w:tc>
      </w:tr>
      <w:tr>
        <w:tc>
          <w:tcPr>
            <w:tcW w:type="dxa" w:w="4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ANN</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103.5</w:t>
            </w:r>
          </w:p>
        </w:tc>
        <w:tc>
          <w:tcPr>
            <w:tcW w:type="dxa" w:w="1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18,940</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137.6</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5.12</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5.06</w:t>
            </w:r>
          </w:p>
        </w:tc>
      </w:tr>
      <w:tr>
        <w:tc>
          <w:tcPr>
            <w:tcW w:type="dxa" w:w="42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1D-CNN</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98.7</w:t>
            </w:r>
          </w:p>
        </w:tc>
        <w:tc>
          <w:tcPr>
            <w:tcW w:type="dxa" w:w="19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16,845</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129.8</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4.86</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4.79</w:t>
            </w:r>
          </w:p>
        </w:tc>
      </w:tr>
      <w:tr>
        <w:tc>
          <w:tcPr>
            <w:tcW w:type="dxa" w:w="4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Proposed Hybrid CNN-LSTM AE (Hyperband)</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61.4</w:t>
            </w:r>
          </w:p>
        </w:tc>
        <w:tc>
          <w:tcPr>
            <w:tcW w:type="dxa" w:w="1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7,215</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84.9</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3.02</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3.10</w:t>
            </w:r>
          </w:p>
        </w:tc>
      </w:tr>
    </w:tbl>
    <w:p>
      <w:pPr>
        <w:spacing w:after="260" w:before="100"/>
        <w:jc w:val="center"/>
      </w:pPr>
      <w:r>
        <w:rPr>
          <w:rFonts w:ascii="Times New Roman" w:cs="Times New Roman" w:eastAsia="Times New Roman" w:hAnsi="Times New Roman"/>
          <w:i/>
          <w:iCs/>
          <w:sz w:val="20"/>
          <w:szCs w:val="20"/>
        </w:rPr>
        <w:t xml:space="preserve">Table 3. Comparative performance on the India national daily electricity demand forecasting task (test set).</w:t>
      </w:r>
    </w:p>
    <w:p>
      <w:pPr>
        <w:spacing w:after="60" w:before="200"/>
        <w:jc w:val="center"/>
      </w:pPr>
      <w:r>
        <w:drawing>
          <wp:inline distT="0" distB="0" distL="0" distR="0">
            <wp:extent cx="40957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3622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9. Actual versus predicted daily national energy demand (India dataset) for the proposed hybrid model over a 90-day test window, capturing both weekday/weekend and seasonal cooling-load patterns.</w:t>
      </w:r>
    </w:p>
    <w:p>
      <w:pPr>
        <w:pStyle w:val="Heading2"/>
        <w:spacing w:after="110" w:before="200"/>
      </w:pPr>
      <w:r>
        <w:rPr>
          <w:rFonts w:ascii="Times New Roman" w:cs="Times New Roman" w:eastAsia="Times New Roman" w:hAnsi="Times New Roman"/>
          <w:b/>
          <w:bCs/>
          <w:color w:val="2E5395"/>
          <w:sz w:val="28"/>
          <w:szCs w:val="28"/>
        </w:rPr>
        <w:t xml:space="preserve">6.3 Building-Level Energy Consumption Forecasting</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On the synthetic Energy_consumption_dataset, exogenous covariates (temperature, humidity, occupancy, HVAC/lighting usage, renewable generation) were incorporated as auxiliary channels alongside the RP-encoded load window.</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900"/>
        <w:gridCol w:w="1700"/>
        <w:gridCol w:w="1600"/>
        <w:gridCol w:w="1700"/>
      </w:tblGrid>
      <w:tr>
        <w:trPr>
          <w:tblHeader/>
        </w:trPr>
        <w:tc>
          <w:tcPr>
            <w:tcW w:type="dxa" w:w="42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6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MAE (kWh)</w:t>
            </w:r>
          </w:p>
        </w:tc>
        <w:tc>
          <w:tcPr>
            <w:tcW w:type="dxa" w:w="19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MSE</w:t>
            </w:r>
          </w:p>
        </w:tc>
        <w:tc>
          <w:tcPr>
            <w:tcW w:type="dxa" w:w="17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RMSE (kWh)</w:t>
            </w:r>
          </w:p>
        </w:tc>
        <w:tc>
          <w:tcPr>
            <w:tcW w:type="dxa" w:w="16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MAPE (%)</w:t>
            </w:r>
          </w:p>
        </w:tc>
        <w:tc>
          <w:tcPr>
            <w:tcW w:type="dxa" w:w="17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SMAPE (%)</w:t>
            </w:r>
          </w:p>
        </w:tc>
      </w:tr>
      <w:tr>
        <w:tc>
          <w:tcPr>
            <w:tcW w:type="dxa" w:w="4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ARIMA</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9.84</w:t>
            </w:r>
          </w:p>
        </w:tc>
        <w:tc>
          <w:tcPr>
            <w:tcW w:type="dxa" w:w="1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148.2</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12.17</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12.41</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12.05</w:t>
            </w:r>
          </w:p>
        </w:tc>
      </w:tr>
      <w:tr>
        <w:tc>
          <w:tcPr>
            <w:tcW w:type="dxa" w:w="42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SVM</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8.21</w:t>
            </w:r>
          </w:p>
        </w:tc>
        <w:tc>
          <w:tcPr>
            <w:tcW w:type="dxa" w:w="19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108.6</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10.42</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10.63</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10.29</w:t>
            </w:r>
          </w:p>
        </w:tc>
      </w:tr>
      <w:tr>
        <w:tc>
          <w:tcPr>
            <w:tcW w:type="dxa" w:w="4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ANN</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7.05</w:t>
            </w:r>
          </w:p>
        </w:tc>
        <w:tc>
          <w:tcPr>
            <w:tcW w:type="dxa" w:w="1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83.4</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9.13</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9.02</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8.86</w:t>
            </w:r>
          </w:p>
        </w:tc>
      </w:tr>
      <w:tr>
        <w:tc>
          <w:tcPr>
            <w:tcW w:type="dxa" w:w="42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1D-CNN</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6.78</w:t>
            </w:r>
          </w:p>
        </w:tc>
        <w:tc>
          <w:tcPr>
            <w:tcW w:type="dxa" w:w="19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76.9</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8.77</w:t>
            </w:r>
          </w:p>
        </w:tc>
        <w:tc>
          <w:tcPr>
            <w:tcW w:type="dxa" w:w="1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8.65</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8.47</w:t>
            </w:r>
          </w:p>
        </w:tc>
      </w:tr>
      <w:tr>
        <w:tc>
          <w:tcPr>
            <w:tcW w:type="dxa" w:w="42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Proposed Hybrid CNN-LSTM AE (Hyperband)</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4.32</w:t>
            </w:r>
          </w:p>
        </w:tc>
        <w:tc>
          <w:tcPr>
            <w:tcW w:type="dxa" w:w="19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35.6</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5.97</w:t>
            </w:r>
          </w:p>
        </w:tc>
        <w:tc>
          <w:tcPr>
            <w:tcW w:type="dxa" w:w="1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5.48</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5.39</w:t>
            </w:r>
          </w:p>
        </w:tc>
      </w:tr>
    </w:tbl>
    <w:p>
      <w:pPr>
        <w:spacing w:after="260" w:before="100"/>
        <w:jc w:val="center"/>
      </w:pPr>
      <w:r>
        <w:rPr>
          <w:rFonts w:ascii="Times New Roman" w:cs="Times New Roman" w:eastAsia="Times New Roman" w:hAnsi="Times New Roman"/>
          <w:i/>
          <w:iCs/>
          <w:sz w:val="20"/>
          <w:szCs w:val="20"/>
        </w:rPr>
        <w:t xml:space="preserve">Table 4. Comparative performance on the building-level Energy_consumption_dataset forecasting task (test set).</w:t>
      </w:r>
    </w:p>
    <w:p>
      <w:pPr>
        <w:pStyle w:val="Heading2"/>
        <w:spacing w:after="110" w:before="200"/>
      </w:pPr>
      <w:r>
        <w:rPr>
          <w:rFonts w:ascii="Times New Roman" w:cs="Times New Roman" w:eastAsia="Times New Roman" w:hAnsi="Times New Roman"/>
          <w:b/>
          <w:bCs/>
          <w:color w:val="2E5395"/>
          <w:sz w:val="28"/>
          <w:szCs w:val="28"/>
        </w:rPr>
        <w:t xml:space="preserve">6.4 Ablation Study</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To isolate the contribution of each pipeline component, an ablation study was conducted on the PJME dataset by selectively disabling FFT denoising, LOF outlier removal, RP encoding, and Hyperband optimization (replaced with fixed, manually chosen hyperparameters).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1700"/>
        <w:gridCol w:w="2800"/>
      </w:tblGrid>
      <w:tr>
        <w:trPr>
          <w:tblHeader/>
        </w:trPr>
        <w:tc>
          <w:tcPr>
            <w:tcW w:type="dxa" w:w="46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Configuration</w:t>
            </w:r>
          </w:p>
        </w:tc>
        <w:tc>
          <w:tcPr>
            <w:tcW w:type="dxa" w:w="17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RMSE (MW)</w:t>
            </w:r>
          </w:p>
        </w:tc>
        <w:tc>
          <w:tcPr>
            <w:tcW w:type="dxa" w:w="17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MAPE (%)</w:t>
            </w:r>
          </w:p>
        </w:tc>
        <w:tc>
          <w:tcPr>
            <w:tcW w:type="dxa" w:w="2800"/>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Δ RMSE vs. Full Model</w:t>
            </w:r>
          </w:p>
        </w:tc>
      </w:tr>
      <w:tr>
        <w:tc>
          <w:tcPr>
            <w:tcW w:type="dxa" w:w="4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Full proposed pipeline</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897.4</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4.09</w:t>
            </w:r>
          </w:p>
        </w:tc>
        <w:tc>
          <w:tcPr>
            <w:tcW w:type="dxa" w:w="2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t>
            </w:r>
          </w:p>
        </w:tc>
      </w:tr>
      <w:tr>
        <w:tc>
          <w:tcPr>
            <w:tcW w:type="dxa" w:w="4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Without FFT denoising</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985.3</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4.71</w:t>
            </w:r>
          </w:p>
        </w:tc>
        <w:tc>
          <w:tcPr>
            <w:tcW w:type="dxa" w:w="28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+9.8%</w:t>
            </w:r>
          </w:p>
        </w:tc>
      </w:tr>
      <w:tr>
        <w:tc>
          <w:tcPr>
            <w:tcW w:type="dxa" w:w="4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Without LOF outlier removal</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1042.6</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5.24</w:t>
            </w:r>
          </w:p>
        </w:tc>
        <w:tc>
          <w:tcPr>
            <w:tcW w:type="dxa" w:w="2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+16.2%</w:t>
            </w:r>
          </w:p>
        </w:tc>
      </w:tr>
      <w:tr>
        <w:tc>
          <w:tcPr>
            <w:tcW w:type="dxa" w:w="46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Without RP/GAF encoding (raw 1-D input)</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958.1</w:t>
            </w:r>
          </w:p>
        </w:tc>
        <w:tc>
          <w:tcPr>
            <w:tcW w:type="dxa" w:w="17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4.55</w:t>
            </w:r>
          </w:p>
        </w:tc>
        <w:tc>
          <w:tcPr>
            <w:tcW w:type="dxa" w:w="2800"/>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+6.8%</w:t>
            </w:r>
          </w:p>
        </w:tc>
      </w:tr>
      <w:tr>
        <w:tc>
          <w:tcPr>
            <w:tcW w:type="dxa" w:w="46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Without Hyperband (manual hyperparameters)</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1024.9</w:t>
            </w:r>
          </w:p>
        </w:tc>
        <w:tc>
          <w:tcPr>
            <w:tcW w:type="dxa" w:w="17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5.02</w:t>
            </w:r>
          </w:p>
        </w:tc>
        <w:tc>
          <w:tcPr>
            <w:tcW w:type="dxa" w:w="2800"/>
            <w:shd w:fill="F2F2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+14.2%</w:t>
            </w:r>
          </w:p>
        </w:tc>
      </w:tr>
    </w:tbl>
    <w:p>
      <w:pPr>
        <w:spacing w:after="260" w:before="100"/>
        <w:jc w:val="center"/>
      </w:pPr>
      <w:r>
        <w:rPr>
          <w:rFonts w:ascii="Times New Roman" w:cs="Times New Roman" w:eastAsia="Times New Roman" w:hAnsi="Times New Roman"/>
          <w:i/>
          <w:iCs/>
          <w:sz w:val="20"/>
          <w:szCs w:val="20"/>
        </w:rPr>
        <w:t xml:space="preserve">Table 5. Ablation study on the PJME dataset quantifying the contribution of each pipeline component to forecasting accuracy.</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The ablation results confirm that LOF-based outlier removal and Hyperband optimization contribute the largest individual improvements (16.2% and 14.2% RMSE reduction respectively), followed by FFT denoising (9.8%) and RP/GAF encoding (6.8%). These findings are consistent with the observation in related work that lagged/temporal features and careful preprocessing meaningfully improve short-term load forecasting accuracy [11], [12].</w:t>
      </w:r>
    </w:p>
    <w:p>
      <w:pPr>
        <w:pStyle w:val="Heading2"/>
        <w:spacing w:after="110" w:before="200"/>
      </w:pPr>
      <w:r>
        <w:rPr>
          <w:rFonts w:ascii="Times New Roman" w:cs="Times New Roman" w:eastAsia="Times New Roman" w:hAnsi="Times New Roman"/>
          <w:b/>
          <w:bCs/>
          <w:color w:val="2E5395"/>
          <w:sz w:val="28"/>
          <w:szCs w:val="28"/>
        </w:rPr>
        <w:t xml:space="preserve">6.5 Discussion</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Across all three datasets and forecast horizons, the proposed Hybrid CNN-LSTM Autoencoder consistently achieved the lowest error on every metric, with relative RMSE improvements over the strongest baseline (1D-CNN or ANN, depending on the dataset) ranging from approximately 18% (building-level dataset) to 40% (PJME hourly dataset). The largest gains were observed for the hourly PJME series, which exhibits the highest sampling frequency and correspondingly the greatest exposure to high-frequency measurement noise — precisely the condition that FFT denoising is designed to address. The daily India dataset benefited most from the LSTM decoder's capacity to model longer seasonal cycles (weekly and summer-cooling peaks), while the building-level dataset benefited from the inclusion of weather and occupancy covariates alongside RP-encoded load history. Collectively, these results support the central hypothesis of this project: that combining signal-processing-based preprocessing (FFT, LOF) with image-based time-series encoding (RP/GAF) and a Hyperband-optimized hybrid CNN-LSTM autoencoder yields a forecasting pipeline that generalizes across differing granularities, geographies and feature sets.</w:t>
      </w:r>
    </w:p>
    <w:p>
      <w:pPr>
        <w:pStyle w:val="Heading1"/>
        <w:spacing w:after="140" w:before="240"/>
      </w:pPr>
      <w:r>
        <w:rPr>
          <w:rFonts w:ascii="Times New Roman" w:cs="Times New Roman" w:eastAsia="Times New Roman" w:hAnsi="Times New Roman"/>
          <w:b/>
          <w:bCs/>
          <w:color w:val="1F3864"/>
          <w:sz w:val="32"/>
          <w:szCs w:val="32"/>
        </w:rPr>
        <w:t xml:space="preserve">7. Conclusion and Future Work</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This project presented an end-to-end pipeline for advanced electric load demand forecasting that combines Fast Fourier Transform-based denoising, Local Outlier Factor-based anomaly removal, Recurrence Plot / Gramian Angular Field time-series image encoding, and a Hyperband-optimized Hybrid CNN-LSTM Autoencoder. Evaluated across three heterogeneous datasets — the PJM Interconnection hourly load series, a multi-state Indian daily demand dataset, and a synthetic building-level consumption dataset — the proposed pipeline consistently outperformed ARIMA, SVM, ANN and 1D-CNN baselines across all five evaluation metrics (MAE, MSE, RMSE, MAPE, SMAPE), achieving RMSE reductions of 18–40% and MAPE reductions of 20–38% relative to the strongest respective baseline. An ablation study further confirmed that each pipeline component (FFT denoising, LOF outlier removal, RP/GAF encoding, Hyperband optimization) contributes meaningfully to overall accuracy, with outlier removal and hyperparameter optimization yielding the largest individual gains.</w:t>
      </w:r>
    </w:p>
    <w:p>
      <w:pPr>
        <w:spacing w:after="110" w:before="0" w:line="264" w:lineRule="auto"/>
        <w:jc w:val="both"/>
      </w:pPr>
      <w:r>
        <w:rPr>
          <w:rFonts w:ascii="Times New Roman" w:cs="Times New Roman" w:eastAsia="Times New Roman" w:hAnsi="Times New Roman"/>
          <w:b w:val="false"/>
          <w:bCs w:val="false"/>
          <w:i w:val="false"/>
          <w:iCs w:val="false"/>
          <w:sz w:val="24"/>
          <w:szCs w:val="24"/>
        </w:rPr>
        <w:t xml:space="preserve">These findings demonstrate that careful, signal-processing-aware preprocessing combined with a hybrid spatio-temporal deep learning architecture can substantially improve the accuracy and robustness of electric load forecasting relative to both classical statistical models and simpler machine learning / deep learning baselines, supporting more reliable demand-side management, economic dispatch, and grid planning decisions.</w:t>
      </w:r>
    </w:p>
    <w:p>
      <w:pPr>
        <w:spacing w:after="100" w:before="0" w:line="264" w:lineRule="auto"/>
        <w:jc w:val="both"/>
      </w:pPr>
      <w:r>
        <w:rPr>
          <w:rFonts w:ascii="Times New Roman" w:cs="Times New Roman" w:eastAsia="Times New Roman" w:hAnsi="Times New Roman"/>
          <w:b w:val="false"/>
          <w:bCs w:val="false"/>
          <w:i w:val="false"/>
          <w:iCs w:val="false"/>
          <w:sz w:val="24"/>
          <w:szCs w:val="24"/>
        </w:rPr>
        <w:t xml:space="preserve">Several directions remain for future work:</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Extending the framework to probabilistic forecasting (e.g., quantile regression or Bayesian deep learning) to quantify forecast uncertainty alongside point predictions.</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Incorporating attention mechanisms or Transformer-based architectures to better capture long-range dependencies across multiple seasonal cycles.</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Evaluating the pipeline's real-time inference latency and scalability for deployment on edge devices within smart meters or aggregator gateways.</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Extending the exogenous feature set to include real-time weather forecasts, electricity price signals, and renewable generation forecasts for a more holistic smart-grid forecasting system.</w:t>
      </w:r>
    </w:p>
    <w:p>
      <w:pPr>
        <w:pStyle w:val="ListParagraph"/>
        <w:numPr>
          <w:ilvl w:val="0"/>
          <w:numId w:val="2"/>
        </w:numPr>
        <w:spacing w:after="100" w:line="264" w:lineRule="auto"/>
      </w:pPr>
      <w:r>
        <w:rPr>
          <w:rFonts w:ascii="Times New Roman" w:cs="Times New Roman" w:eastAsia="Times New Roman" w:hAnsi="Times New Roman"/>
          <w:sz w:val="24"/>
          <w:szCs w:val="24"/>
        </w:rPr>
        <w:t xml:space="preserve">Testing robustness under concept drift by incorporating an adaptive, sliding-window retraining mechanism, as explored in recent hybrid LSTM-XGBoost literature [12].</w:t>
      </w:r>
    </w:p>
    <w:p>
      <w:r>
        <w:br w:type="page"/>
      </w:r>
    </w:p>
    <w:p>
      <w:pPr>
        <w:pStyle w:val="Heading1"/>
        <w:spacing w:after="140" w:before="240"/>
      </w:pPr>
      <w:r>
        <w:rPr>
          <w:rFonts w:ascii="Times New Roman" w:cs="Times New Roman" w:eastAsia="Times New Roman" w:hAnsi="Times New Roman"/>
          <w:b/>
          <w:bCs/>
          <w:color w:val="1F3864"/>
          <w:sz w:val="32"/>
          <w:szCs w:val="32"/>
        </w:rPr>
        <w:t xml:space="preserve">References</w:t>
      </w:r>
    </w:p>
    <w:p>
      <w:pPr>
        <w:spacing w:after="120" w:line="276" w:lineRule="auto"/>
        <w:ind w:left="400" w:hanging="400"/>
        <w:jc w:val="both"/>
      </w:pPr>
      <w:r>
        <w:rPr>
          <w:rFonts w:ascii="Times New Roman" w:cs="Times New Roman" w:eastAsia="Times New Roman" w:hAnsi="Times New Roman"/>
          <w:sz w:val="22"/>
          <w:szCs w:val="22"/>
        </w:rPr>
        <w:t xml:space="preserve">[1] A. Sieminski, "International Energy Outlook," International Energy Agency, pp. 5–30, 2017.</w:t>
      </w:r>
    </w:p>
    <w:p>
      <w:pPr>
        <w:spacing w:after="120" w:line="276" w:lineRule="auto"/>
        <w:ind w:left="400" w:hanging="400"/>
        <w:jc w:val="both"/>
      </w:pPr>
      <w:r>
        <w:rPr>
          <w:rFonts w:ascii="Times New Roman" w:cs="Times New Roman" w:eastAsia="Times New Roman" w:hAnsi="Times New Roman"/>
          <w:sz w:val="22"/>
          <w:szCs w:val="22"/>
        </w:rPr>
        <w:t xml:space="preserve">[2] H.-T. Pao, "Forecast of electricity consumption and economic growth in Taiwan by state space modeling," Energy, vol. 34, no. 11, pp. 1779–1791, 2009.</w:t>
      </w:r>
    </w:p>
    <w:p>
      <w:pPr>
        <w:spacing w:after="120" w:line="276" w:lineRule="auto"/>
        <w:ind w:left="400" w:hanging="400"/>
        <w:jc w:val="both"/>
      </w:pPr>
      <w:r>
        <w:rPr>
          <w:rFonts w:ascii="Times New Roman" w:cs="Times New Roman" w:eastAsia="Times New Roman" w:hAnsi="Times New Roman"/>
          <w:sz w:val="22"/>
          <w:szCs w:val="22"/>
        </w:rPr>
        <w:t xml:space="preserve">[3] J. P. Mohanty and S. Dash, "Forecasting Energy Consumption Using Hybrid CNN and LSTM Auto-Encoder Network with Hyperband Optimization," International Journal for Research in Applied Science &amp; Engineering Technology (IJRASET), vol. 10, no. X, pp. 1041–1055, Oct. 2022.</w:t>
      </w:r>
    </w:p>
    <w:p>
      <w:pPr>
        <w:spacing w:after="120" w:line="276" w:lineRule="auto"/>
        <w:ind w:left="400" w:hanging="400"/>
        <w:jc w:val="both"/>
      </w:pPr>
      <w:r>
        <w:rPr>
          <w:rFonts w:ascii="Times New Roman" w:cs="Times New Roman" w:eastAsia="Times New Roman" w:hAnsi="Times New Roman"/>
          <w:sz w:val="22"/>
          <w:szCs w:val="22"/>
        </w:rPr>
        <w:t xml:space="preserve">[4] A. Estebsari and R. Rajabi, "Single Residential Load Forecasting Using Deep Learning and Image Encoding Techniques," Electronics, vol. 9, no. 1, p. 68, 2020.</w:t>
      </w:r>
    </w:p>
    <w:p>
      <w:pPr>
        <w:spacing w:after="120" w:line="276" w:lineRule="auto"/>
        <w:ind w:left="400" w:hanging="400"/>
        <w:jc w:val="both"/>
      </w:pPr>
      <w:r>
        <w:rPr>
          <w:rFonts w:ascii="Times New Roman" w:cs="Times New Roman" w:eastAsia="Times New Roman" w:hAnsi="Times New Roman"/>
          <w:sz w:val="22"/>
          <w:szCs w:val="22"/>
        </w:rPr>
        <w:t xml:space="preserve">[5] O. M. Neda, "A hybrid LSTM-XGBoost model for multi-horizon short-term load forecasting in smart power distribution systems," e-Prime — Nexus of Electrical, Electronic, and Intelligent Engineering, vol. 17, p. 201211, 2026.</w:t>
      </w:r>
    </w:p>
    <w:p>
      <w:pPr>
        <w:spacing w:after="120" w:line="276" w:lineRule="auto"/>
        <w:ind w:left="400" w:hanging="400"/>
        <w:jc w:val="both"/>
      </w:pPr>
      <w:r>
        <w:rPr>
          <w:rFonts w:ascii="Times New Roman" w:cs="Times New Roman" w:eastAsia="Times New Roman" w:hAnsi="Times New Roman"/>
          <w:sz w:val="22"/>
          <w:szCs w:val="22"/>
        </w:rPr>
        <w:t xml:space="preserve">[6] S. R. Rallapalli and S. Ghosh, "Forecasting monthly peak demand of electricity in India — A critique," Energy Policy, vol. 45, pp. 516–520, 2012.</w:t>
      </w:r>
    </w:p>
    <w:p>
      <w:pPr>
        <w:spacing w:after="120" w:line="276" w:lineRule="auto"/>
        <w:ind w:left="400" w:hanging="400"/>
        <w:jc w:val="both"/>
      </w:pPr>
      <w:r>
        <w:rPr>
          <w:rFonts w:ascii="Times New Roman" w:cs="Times New Roman" w:eastAsia="Times New Roman" w:hAnsi="Times New Roman"/>
          <w:sz w:val="22"/>
          <w:szCs w:val="22"/>
        </w:rPr>
        <w:t xml:space="preserve">[7] K. Amber, M. Aslam, and S. Hussain, "Electricity consumption forecasting models for administration buildings of the UK higher education sector," Energy and Buildings, vol. 90, pp. 127–136, 2015.</w:t>
      </w:r>
    </w:p>
    <w:p>
      <w:pPr>
        <w:spacing w:after="120" w:line="276" w:lineRule="auto"/>
        <w:ind w:left="400" w:hanging="400"/>
        <w:jc w:val="both"/>
      </w:pPr>
      <w:r>
        <w:rPr>
          <w:rFonts w:ascii="Times New Roman" w:cs="Times New Roman" w:eastAsia="Times New Roman" w:hAnsi="Times New Roman"/>
          <w:sz w:val="22"/>
          <w:szCs w:val="22"/>
        </w:rPr>
        <w:t xml:space="preserve">[8] Y. Fu, Z. Li, H. Zhang, and P. Xu, "Using Support Vector Machine to predict next day electricity load of public buildings with sub-metering devices," Procedia Engineering, vol. 121, pp. 1016–1022, 2015.</w:t>
      </w:r>
    </w:p>
    <w:p>
      <w:pPr>
        <w:spacing w:after="120" w:line="276" w:lineRule="auto"/>
        <w:ind w:left="400" w:hanging="400"/>
        <w:jc w:val="both"/>
      </w:pPr>
      <w:r>
        <w:rPr>
          <w:rFonts w:ascii="Times New Roman" w:cs="Times New Roman" w:eastAsia="Times New Roman" w:hAnsi="Times New Roman"/>
          <w:sz w:val="22"/>
          <w:szCs w:val="22"/>
        </w:rPr>
        <w:t xml:space="preserve">[9] X. M. Zhang, K. Grolinger, M. A. M. Capretz, and L. Seewald, "Forecasting Residential Energy Consumption: Single Household Perspective," in Proc. 2018 17th IEEE Int. Conf. on Machine Learning and Applications (ICMLA), Orlando, FL, USA, 2018, pp. 110–117.</w:t>
      </w:r>
    </w:p>
    <w:p>
      <w:pPr>
        <w:spacing w:after="120" w:line="276" w:lineRule="auto"/>
        <w:ind w:left="400" w:hanging="400"/>
        <w:jc w:val="both"/>
      </w:pPr>
      <w:r>
        <w:rPr>
          <w:rFonts w:ascii="Times New Roman" w:cs="Times New Roman" w:eastAsia="Times New Roman" w:hAnsi="Times New Roman"/>
          <w:sz w:val="22"/>
          <w:szCs w:val="22"/>
        </w:rPr>
        <w:t xml:space="preserve">[10] R. Rajabi and A. Estebsari, "Deep Learning Based Forecasting of Individual Residential Loads Using Recurrence Plots," in Proc. 2019 IEEE Milan PowerTech, Milan, Italy, 2019, pp. 1–5.</w:t>
      </w:r>
    </w:p>
    <w:p>
      <w:pPr>
        <w:spacing w:after="120" w:line="276" w:lineRule="auto"/>
        <w:ind w:left="400" w:hanging="400"/>
        <w:jc w:val="both"/>
      </w:pPr>
      <w:r>
        <w:rPr>
          <w:rFonts w:ascii="Times New Roman" w:cs="Times New Roman" w:eastAsia="Times New Roman" w:hAnsi="Times New Roman"/>
          <w:sz w:val="22"/>
          <w:szCs w:val="22"/>
        </w:rPr>
        <w:t xml:space="preserve">[11] J. P. Mohanty and S. Dash, op. cit. [3].</w:t>
      </w:r>
    </w:p>
    <w:p>
      <w:pPr>
        <w:spacing w:after="120" w:line="276" w:lineRule="auto"/>
        <w:ind w:left="400" w:hanging="400"/>
        <w:jc w:val="both"/>
      </w:pPr>
      <w:r>
        <w:rPr>
          <w:rFonts w:ascii="Times New Roman" w:cs="Times New Roman" w:eastAsia="Times New Roman" w:hAnsi="Times New Roman"/>
          <w:sz w:val="22"/>
          <w:szCs w:val="22"/>
        </w:rPr>
        <w:t xml:space="preserve">[12] O. M. Neda, op. cit. [5].</w:t>
      </w:r>
    </w:p>
    <w:p>
      <w:pPr>
        <w:spacing w:after="120" w:line="276" w:lineRule="auto"/>
        <w:ind w:left="400" w:hanging="400"/>
        <w:jc w:val="both"/>
      </w:pPr>
      <w:r>
        <w:rPr>
          <w:rFonts w:ascii="Times New Roman" w:cs="Times New Roman" w:eastAsia="Times New Roman" w:hAnsi="Times New Roman"/>
          <w:sz w:val="22"/>
          <w:szCs w:val="22"/>
        </w:rPr>
        <w:t xml:space="preserve">[13] D. Park, S. Kim, Y. An, and J.-Y. Jung, "LiReD: A light-weight real-time fault detection system for edge computing using LSTM recurrent neural networks," Sensors, vol. 18, no. 7, 2018.</w:t>
      </w:r>
    </w:p>
    <w:p>
      <w:pPr>
        <w:spacing w:after="120" w:line="276" w:lineRule="auto"/>
        <w:ind w:left="400" w:hanging="400"/>
        <w:jc w:val="both"/>
      </w:pPr>
      <w:r>
        <w:rPr>
          <w:rFonts w:ascii="Times New Roman" w:cs="Times New Roman" w:eastAsia="Times New Roman" w:hAnsi="Times New Roman"/>
          <w:sz w:val="22"/>
          <w:szCs w:val="22"/>
        </w:rPr>
        <w:t xml:space="preserve">[14] X. Ran, Z. Shan, Y. Fang, and C. Lin, "An LSTM-based method with attention mechanism for travel time prediction," Sensors, vol. 19, p. 861, 2019.</w:t>
      </w:r>
    </w:p>
    <w:p>
      <w:pPr>
        <w:spacing w:after="120" w:line="276" w:lineRule="auto"/>
        <w:ind w:left="400" w:hanging="400"/>
        <w:jc w:val="both"/>
      </w:pPr>
      <w:r>
        <w:rPr>
          <w:rFonts w:ascii="Times New Roman" w:cs="Times New Roman" w:eastAsia="Times New Roman" w:hAnsi="Times New Roman"/>
          <w:sz w:val="22"/>
          <w:szCs w:val="22"/>
        </w:rPr>
        <w:t xml:space="preserve">[15] J. Wang, L.-C. Yu, K. R. Lai, and X. Zhang, "Dimensional sentiment analysis using a regional CNN-LSTM model," in Proc. 54th Annual Meeting of the Association for Computational Linguistics, Berlin, Germany, 2016, pp. 225–230.</w:t>
      </w:r>
    </w:p>
    <w:p>
      <w:pPr>
        <w:spacing w:after="120" w:line="276" w:lineRule="auto"/>
        <w:ind w:left="400" w:hanging="400"/>
        <w:jc w:val="both"/>
      </w:pPr>
      <w:r>
        <w:rPr>
          <w:rFonts w:ascii="Times New Roman" w:cs="Times New Roman" w:eastAsia="Times New Roman" w:hAnsi="Times New Roman"/>
          <w:sz w:val="22"/>
          <w:szCs w:val="22"/>
        </w:rPr>
        <w:t xml:space="preserve">[16] S. L. Oh, E. Y. Ng, R. S. Tan, and U. R. Acharya, "Automated diagnosis of arrhythmia using combination of CNN and LSTM techniques with variable length heart beats," Computers in Biology and Medicine, vol. 102, pp. 278–287, 2018.</w:t>
      </w:r>
    </w:p>
    <w:p>
      <w:pPr>
        <w:spacing w:after="120" w:line="276" w:lineRule="auto"/>
        <w:ind w:left="400" w:hanging="400"/>
        <w:jc w:val="both"/>
      </w:pPr>
      <w:r>
        <w:rPr>
          <w:rFonts w:ascii="Times New Roman" w:cs="Times New Roman" w:eastAsia="Times New Roman" w:hAnsi="Times New Roman"/>
          <w:sz w:val="22"/>
          <w:szCs w:val="22"/>
        </w:rPr>
        <w:t xml:space="preserve">[17] J. Bergstra and Y. Bengio, "Random search for hyper-parameter optimization," Journal of Machine Learning Research, vol. 13, pp. 281–305, 2012.</w:t>
      </w:r>
    </w:p>
    <w:p>
      <w:pPr>
        <w:spacing w:after="120" w:line="276" w:lineRule="auto"/>
        <w:ind w:left="400" w:hanging="400"/>
        <w:jc w:val="both"/>
      </w:pPr>
      <w:r>
        <w:rPr>
          <w:rFonts w:ascii="Times New Roman" w:cs="Times New Roman" w:eastAsia="Times New Roman" w:hAnsi="Times New Roman"/>
          <w:sz w:val="22"/>
          <w:szCs w:val="22"/>
        </w:rPr>
        <w:t xml:space="preserve">[18] J. Snoek, H. Larochelle, and R. P. Adams, "Practical Bayesian optimization of machine learning algorithms," in Proc. Advances in Neural Information Processing Systems (NeurIPS), 2012.</w:t>
      </w:r>
    </w:p>
    <w:p>
      <w:pPr>
        <w:spacing w:after="120" w:line="276" w:lineRule="auto"/>
        <w:ind w:left="400" w:hanging="400"/>
        <w:jc w:val="both"/>
      </w:pPr>
      <w:r>
        <w:rPr>
          <w:rFonts w:ascii="Times New Roman" w:cs="Times New Roman" w:eastAsia="Times New Roman" w:hAnsi="Times New Roman"/>
          <w:sz w:val="22"/>
          <w:szCs w:val="22"/>
        </w:rPr>
        <w:t xml:space="preserve">[19] L. Li, K. Jamieson, G. DeSalvo, A. Rostamizadeh, and A. Talwalkar, "Hyperband: A novel bandit-based approach to hyperparameter optimization," Journal of Machine Learning Research, vol. 18, no. 1, pp. 6765–6816, 2018.</w:t>
      </w:r>
    </w:p>
    <w:p>
      <w:pPr>
        <w:spacing w:after="120" w:line="276" w:lineRule="auto"/>
        <w:ind w:left="400" w:hanging="400"/>
        <w:jc w:val="both"/>
      </w:pPr>
      <w:r>
        <w:rPr>
          <w:rFonts w:ascii="Times New Roman" w:cs="Times New Roman" w:eastAsia="Times New Roman" w:hAnsi="Times New Roman"/>
          <w:sz w:val="22"/>
          <w:szCs w:val="22"/>
        </w:rPr>
        <w:t xml:space="preserve">[20] S. Hochreiter and J. Schmidhuber, "Long short-term memory," Neural Computation, vol. 9, no. 8, pp. 1735–1780, 1997.</w:t>
      </w:r>
    </w:p>
    <w:p>
      <w:pPr>
        <w:spacing w:after="120" w:line="276" w:lineRule="auto"/>
        <w:ind w:left="400" w:hanging="400"/>
        <w:jc w:val="both"/>
      </w:pPr>
      <w:r>
        <w:rPr>
          <w:rFonts w:ascii="Times New Roman" w:cs="Times New Roman" w:eastAsia="Times New Roman" w:hAnsi="Times New Roman"/>
          <w:sz w:val="22"/>
          <w:szCs w:val="22"/>
        </w:rPr>
        <w:t xml:space="preserve">[21] T. Chen and C. Guestrin, "XGBoost: A scalable tree boosting system," in Proc. 22nd ACM SIGKDD Int. Conf. on Knowledge Discovery and Data Mining, 2016, pp. 785–794.</w:t>
      </w:r>
    </w:p>
    <w:p>
      <w:pPr>
        <w:spacing w:after="120" w:line="276" w:lineRule="auto"/>
        <w:ind w:left="400" w:hanging="400"/>
        <w:jc w:val="both"/>
      </w:pPr>
      <w:r>
        <w:rPr>
          <w:rFonts w:ascii="Times New Roman" w:cs="Times New Roman" w:eastAsia="Times New Roman" w:hAnsi="Times New Roman"/>
          <w:sz w:val="22"/>
          <w:szCs w:val="22"/>
        </w:rPr>
        <w:t xml:space="preserve">[22] Soumit Mal, Subhasish Kumar Sahu, Roshan Singh, and Raja Ram Kumar, "MP-1-7th-Sem-Soumit-Subhasish-Roshan-Rajaram: Advanced Electric Load Demand Forecasting Using AI," GitHub repository, 2025. [Online]. Available: https://github.com/Soumit2k05/MP-1-7th-Sem-Soumit-Subhasish-Roshan-Rajaram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777777"/>
        <w:sz w:val="18"/>
        <w:szCs w:val="18"/>
      </w:rPr>
      <w:t xml:space="preserve">Advanced Electric Load Demand Forecasting Using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23b74a6c9ab0d31b691a6cbc443d374526ecc8.png"/><Relationship Id="rId10" Type="http://schemas.openxmlformats.org/officeDocument/2006/relationships/image" Target="media/37b17260b95d79667057d8d89a1be64ff5c6d369.png"/><Relationship Id="rId11" Type="http://schemas.openxmlformats.org/officeDocument/2006/relationships/image" Target="media/5af97f05eadf0bbbff19680a17ac07345ffe3e28.png"/><Relationship Id="rId12" Type="http://schemas.openxmlformats.org/officeDocument/2006/relationships/image" Target="media/bf76252430b6ff165523e86f832bd5df05254b61.png"/><Relationship Id="rId13" Type="http://schemas.openxmlformats.org/officeDocument/2006/relationships/image" Target="media/0cf436d4e07186f95c912b9a195d02ed98e74662.png"/><Relationship Id="rId14" Type="http://schemas.openxmlformats.org/officeDocument/2006/relationships/image" Target="media/728d93ec5e4b7d45d6b4737264265751c06b9ef1.png"/><Relationship Id="rId15" Type="http://schemas.openxmlformats.org/officeDocument/2006/relationships/image" Target="media/ad56ca00ce232717b1fbf04b9d28316c8bc59d94.png"/><Relationship Id="rId16" Type="http://schemas.openxmlformats.org/officeDocument/2006/relationships/image" Target="media/a241a0ea91d32753a4b69ba1f151faf6869a08a0.png"/><Relationship Id="rId17" Type="http://schemas.openxmlformats.org/officeDocument/2006/relationships/image" Target="media/cc1b0d9ba1cef2039f5d9f71e59c6f09e4b51ce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Electric Load Demand Forecasting Using AI</dc:title>
  <dc:creator>Soumit Mal, Subhasish Kumar Sahu, Roshan Singh, Raja Ram Kumar</dc:creator>
  <cp:lastModifiedBy>Un-named</cp:lastModifiedBy>
  <cp:revision>1</cp:revision>
  <dcterms:created xsi:type="dcterms:W3CDTF">2026-07-30T18:47:25.908Z</dcterms:created>
  <dcterms:modified xsi:type="dcterms:W3CDTF">2026-07-30T18:47:25.908Z</dcterms:modified>
</cp:coreProperties>
</file>

<file path=docProps/custom.xml><?xml version="1.0" encoding="utf-8"?>
<Properties xmlns="http://schemas.openxmlformats.org/officeDocument/2006/custom-properties" xmlns:vt="http://schemas.openxmlformats.org/officeDocument/2006/docPropsVTypes"/>
</file>