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F5D" w14:paraId="5EF09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0E7490"/>
              <w:left w:val="single" w:sz="10" w:space="0" w:color="0E7490"/>
              <w:bottom w:val="single" w:sz="10" w:space="0" w:color="0E7490"/>
              <w:right w:val="single" w:sz="10" w:space="0" w:color="0E7490"/>
            </w:tcBorders>
            <w:shd w:val="clear" w:color="auto" w:fill="1B2A4A"/>
            <w:tcMar>
              <w:top w:w="200" w:type="dxa"/>
              <w:left w:w="200" w:type="dxa"/>
              <w:bottom w:w="160" w:type="dxa"/>
              <w:right w:w="200" w:type="dxa"/>
            </w:tcMar>
          </w:tcPr>
          <w:p w14:paraId="4AB5184F" w14:textId="77777777" w:rsidR="001C2F5D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Key Insights Report</w:t>
            </w:r>
          </w:p>
          <w:p w14:paraId="20726099" w14:textId="1BEC7A16" w:rsidR="001C2F5D" w:rsidRDefault="00000000">
            <w:pPr>
              <w:jc w:val="center"/>
            </w:pPr>
            <w:r>
              <w:rPr>
                <w:color w:val="CBD5E1"/>
              </w:rPr>
              <w:t>Car Insurance Portfolio Analysis | 2024–2026</w:t>
            </w:r>
          </w:p>
        </w:tc>
      </w:tr>
    </w:tbl>
    <w:p w14:paraId="4EA4AAD1" w14:textId="77777777" w:rsidR="001C2F5D" w:rsidRDefault="001C2F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F5D" w14:paraId="2D720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E7490"/>
              <w:left w:val="single" w:sz="8" w:space="0" w:color="0E7490"/>
              <w:bottom w:val="single" w:sz="8" w:space="0" w:color="0E7490"/>
              <w:right w:val="single" w:sz="8" w:space="0" w:color="0E7490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39E0CE" w14:textId="77777777" w:rsidR="001C2F5D" w:rsidRDefault="00000000">
            <w:pPr>
              <w:jc w:val="both"/>
            </w:pPr>
            <w:r>
              <w:rPr>
                <w:color w:val="1B2A4A"/>
              </w:rPr>
              <w:t xml:space="preserve">This simulated portfolio of </w:t>
            </w:r>
            <w:r>
              <w:rPr>
                <w:b/>
                <w:bCs/>
                <w:color w:val="1B2A4A"/>
              </w:rPr>
              <w:t>1,000,000 car insurance policies</w:t>
            </w:r>
            <w:r>
              <w:rPr>
                <w:color w:val="1B2A4A"/>
              </w:rPr>
              <w:t xml:space="preserve"> sold in 2024 reveals a structurally loss-making design — a deliberate outcome of the simulation parameters. The 7 insights below are drawn from the data and serve as actionable intelligence for product pricing, risk management, and portfolio strategy.</w:t>
            </w:r>
          </w:p>
        </w:tc>
      </w:tr>
    </w:tbl>
    <w:p w14:paraId="098060AF" w14:textId="77777777" w:rsidR="001C2F5D" w:rsidRDefault="001C2F5D">
      <w:pPr>
        <w:spacing w:after="160"/>
      </w:pPr>
    </w:p>
    <w:p w14:paraId="1D09CD5A" w14:textId="77777777" w:rsidR="001C2F5D" w:rsidRDefault="00000000">
      <w:pPr>
        <w:pStyle w:val="Heading1"/>
      </w:pPr>
      <w:r>
        <w:t>Key Insights</w:t>
      </w:r>
    </w:p>
    <w:p w14:paraId="1C17BCE1" w14:textId="77777777" w:rsidR="001C2F5D" w:rsidRDefault="001C2F5D">
      <w:pPr>
        <w:pBdr>
          <w:bottom w:val="single" w:sz="12" w:space="1" w:color="0E7490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F5D" w14:paraId="41784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C2626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200" w:type="dxa"/>
              <w:bottom w:w="80" w:type="dxa"/>
              <w:right w:w="140" w:type="dxa"/>
            </w:tcMar>
          </w:tcPr>
          <w:p w14:paraId="55B5CCA4" w14:textId="77777777" w:rsidR="001C2F5D" w:rsidRDefault="00000000">
            <w:pPr>
              <w:spacing w:after="40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INSIGHT </w:t>
            </w:r>
            <w:proofErr w:type="gramStart"/>
            <w:r>
              <w:rPr>
                <w:b/>
                <w:bCs/>
                <w:color w:val="DC2626"/>
                <w:sz w:val="16"/>
                <w:szCs w:val="16"/>
              </w:rPr>
              <w:t xml:space="preserve">01  </w:t>
            </w:r>
            <w:r>
              <w:rPr>
                <w:b/>
                <w:bCs/>
                <w:color w:val="1B2A4A"/>
                <w:sz w:val="24"/>
                <w:szCs w:val="24"/>
              </w:rPr>
              <w:t>Portfolio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 xml:space="preserve"> is Structurally Loss-Making by Design</w:t>
            </w:r>
          </w:p>
          <w:p w14:paraId="3A78A5AA" w14:textId="77777777" w:rsidR="001C2F5D" w:rsidRDefault="00000000">
            <w:pPr>
              <w:spacing w:after="80"/>
            </w:pPr>
            <w:r>
              <w:rPr>
                <w:i/>
                <w:iCs/>
                <w:color w:val="DC2626"/>
                <w:sz w:val="19"/>
                <w:szCs w:val="19"/>
              </w:rPr>
              <w:t>Total Claims / Total Premium = 206% — premiums at INR 100 vs claims at INR 10,000</w:t>
            </w:r>
          </w:p>
        </w:tc>
      </w:tr>
      <w:tr w:rsidR="001C2F5D" w14:paraId="09C3B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DC2626"/>
              <w:bottom w:val="single" w:sz="4" w:space="0" w:color="DC2626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140" w:type="dxa"/>
            </w:tcMar>
          </w:tcPr>
          <w:p w14:paraId="3F7361AA" w14:textId="77777777" w:rsidR="001C2F5D" w:rsidRDefault="00000000">
            <w:pPr>
              <w:spacing w:after="80"/>
              <w:jc w:val="both"/>
            </w:pPr>
            <w:r>
              <w:rPr>
                <w:color w:val="334155"/>
                <w:sz w:val="18"/>
                <w:szCs w:val="18"/>
              </w:rPr>
              <w:t>The portfolio collects INR 240.1 million in premiums but pays out INR 494.5 million in claims (2025–2026 combined). This 206% loss ratio is by design — with premiums at INR 100/year and claims at INR 10,000, the premium is 100x smaller than the claim. In practice, actuarial pricing would require premiums of at minimum INR 200–300/year per tenure year to achieve a viable loss ratio of ~70%.</w:t>
            </w:r>
          </w:p>
          <w:p w14:paraId="48769F22" w14:textId="77777777" w:rsidR="001C2F5D" w:rsidRDefault="00000000">
            <w:pPr>
              <w:jc w:val="both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Recommended Action: </w:t>
            </w:r>
            <w:r>
              <w:rPr>
                <w:color w:val="7C3AED"/>
                <w:sz w:val="18"/>
                <w:szCs w:val="18"/>
              </w:rPr>
              <w:t>Immediate repricing is needed. Risk-adjusted premiums should reflect actual claim frequency and severity.</w:t>
            </w:r>
          </w:p>
        </w:tc>
      </w:tr>
    </w:tbl>
    <w:p w14:paraId="343048CB" w14:textId="77777777" w:rsidR="001C2F5D" w:rsidRDefault="001C2F5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F5D" w14:paraId="03CCE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24" w:space="0" w:color="16A34A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200" w:type="dxa"/>
              <w:bottom w:w="80" w:type="dxa"/>
              <w:right w:w="140" w:type="dxa"/>
            </w:tcMar>
          </w:tcPr>
          <w:p w14:paraId="3B655DED" w14:textId="77777777" w:rsidR="001C2F5D" w:rsidRDefault="00000000">
            <w:pPr>
              <w:spacing w:after="40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INSIGHT </w:t>
            </w:r>
            <w:proofErr w:type="gramStart"/>
            <w:r>
              <w:rPr>
                <w:b/>
                <w:bCs/>
                <w:color w:val="16A34A"/>
                <w:sz w:val="16"/>
                <w:szCs w:val="16"/>
              </w:rPr>
              <w:t xml:space="preserve">02  </w:t>
            </w:r>
            <w:r>
              <w:rPr>
                <w:b/>
                <w:bCs/>
                <w:color w:val="1B2A4A"/>
                <w:sz w:val="24"/>
                <w:szCs w:val="24"/>
              </w:rPr>
              <w:t>3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>-Year Tenure is the Most Profitable Segment</w:t>
            </w:r>
          </w:p>
          <w:p w14:paraId="3AD12032" w14:textId="77777777" w:rsidR="001C2F5D" w:rsidRDefault="00000000">
            <w:pPr>
              <w:spacing w:after="80"/>
            </w:pPr>
            <w:r>
              <w:rPr>
                <w:i/>
                <w:iCs/>
                <w:color w:val="16A34A"/>
                <w:sz w:val="19"/>
                <w:szCs w:val="19"/>
              </w:rPr>
              <w:t>3Y Claim/Premium Ratio = 1.32x — the lowest of all tenure groups</w:t>
            </w:r>
          </w:p>
        </w:tc>
      </w:tr>
      <w:tr w:rsidR="001C2F5D" w14:paraId="4D33F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6A34A"/>
              <w:bottom w:val="single" w:sz="4" w:space="0" w:color="16A34A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140" w:type="dxa"/>
            </w:tcMar>
          </w:tcPr>
          <w:p w14:paraId="661A1526" w14:textId="77777777" w:rsidR="001C2F5D" w:rsidRDefault="00000000">
            <w:pPr>
              <w:spacing w:after="80"/>
              <w:jc w:val="both"/>
            </w:pPr>
            <w:r>
              <w:rPr>
                <w:color w:val="334155"/>
                <w:sz w:val="18"/>
                <w:szCs w:val="18"/>
              </w:rPr>
              <w:t>The 3-year policy cohort (400,000 policies) generates the most total premium (~INR 9.6 Cr) and has the lowest claims-to-premium ratio at 1.32x. This segment is not targeted in the 2026 claim wave (which only affects 4-year policies), giving it a relative structural advantage.</w:t>
            </w:r>
          </w:p>
          <w:p w14:paraId="11AA4C0B" w14:textId="77777777" w:rsidR="001C2F5D" w:rsidRDefault="00000000">
            <w:pPr>
              <w:jc w:val="both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Recommended Action: </w:t>
            </w:r>
            <w:r>
              <w:rPr>
                <w:color w:val="7C3AED"/>
                <w:sz w:val="18"/>
                <w:szCs w:val="18"/>
              </w:rPr>
              <w:t>Consider incentivising 3-year tenure uptake through discounts or bundled benefits.</w:t>
            </w:r>
          </w:p>
        </w:tc>
      </w:tr>
    </w:tbl>
    <w:p w14:paraId="5CC1BB9C" w14:textId="77777777" w:rsidR="001C2F5D" w:rsidRDefault="001C2F5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F5D" w14:paraId="6D35F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C2626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200" w:type="dxa"/>
              <w:bottom w:w="80" w:type="dxa"/>
              <w:right w:w="140" w:type="dxa"/>
            </w:tcMar>
          </w:tcPr>
          <w:p w14:paraId="0F4747C9" w14:textId="77777777" w:rsidR="001C2F5D" w:rsidRDefault="00000000">
            <w:pPr>
              <w:spacing w:after="40"/>
            </w:pPr>
            <w:r>
              <w:rPr>
                <w:b/>
                <w:bCs/>
                <w:color w:val="DC2626"/>
                <w:sz w:val="16"/>
                <w:szCs w:val="16"/>
              </w:rPr>
              <w:t xml:space="preserve">INSIGHT </w:t>
            </w:r>
            <w:proofErr w:type="gramStart"/>
            <w:r>
              <w:rPr>
                <w:b/>
                <w:bCs/>
                <w:color w:val="DC2626"/>
                <w:sz w:val="16"/>
                <w:szCs w:val="16"/>
              </w:rPr>
              <w:t xml:space="preserve">03  </w:t>
            </w:r>
            <w:r>
              <w:rPr>
                <w:b/>
                <w:bCs/>
                <w:color w:val="1B2A4A"/>
                <w:sz w:val="24"/>
                <w:szCs w:val="24"/>
              </w:rPr>
              <w:t>1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>-Year &amp; 4-Year Policies Are Highest Risk</w:t>
            </w:r>
          </w:p>
          <w:p w14:paraId="3C99A404" w14:textId="77777777" w:rsidR="001C2F5D" w:rsidRDefault="00000000">
            <w:pPr>
              <w:spacing w:after="80"/>
            </w:pPr>
            <w:r>
              <w:rPr>
                <w:i/>
                <w:iCs/>
                <w:color w:val="DC2626"/>
                <w:sz w:val="19"/>
                <w:szCs w:val="19"/>
              </w:rPr>
              <w:t xml:space="preserve">1Y ratio = </w:t>
            </w:r>
            <w:proofErr w:type="gramStart"/>
            <w:r>
              <w:rPr>
                <w:i/>
                <w:iCs/>
                <w:color w:val="DC2626"/>
                <w:sz w:val="19"/>
                <w:szCs w:val="19"/>
              </w:rPr>
              <w:t>3.88x  |</w:t>
            </w:r>
            <w:proofErr w:type="gramEnd"/>
            <w:r>
              <w:rPr>
                <w:i/>
                <w:iCs/>
                <w:color w:val="DC2626"/>
                <w:sz w:val="19"/>
                <w:szCs w:val="19"/>
              </w:rPr>
              <w:t xml:space="preserve">  4Y ratio = 3.48x — both nearly 3–4x break-even</w:t>
            </w:r>
          </w:p>
        </w:tc>
      </w:tr>
      <w:tr w:rsidR="001C2F5D" w14:paraId="00252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DC2626"/>
              <w:bottom w:val="single" w:sz="4" w:space="0" w:color="DC2626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140" w:type="dxa"/>
            </w:tcMar>
          </w:tcPr>
          <w:p w14:paraId="4A66F513" w14:textId="77777777" w:rsidR="001C2F5D" w:rsidRDefault="00000000">
            <w:pPr>
              <w:spacing w:after="80"/>
              <w:jc w:val="both"/>
            </w:pPr>
            <w:r>
              <w:rPr>
                <w:color w:val="334155"/>
                <w:sz w:val="18"/>
                <w:szCs w:val="18"/>
              </w:rPr>
              <w:t>1-year policies are high-risk because they generate only INR 100 in premium but face the same INR 10,000 claim exposure. 4-year policies face dual exposure — both from the 2025 date-based claim event and the dedicated 2026 claim wave that targets this cohort exclusively.</w:t>
            </w:r>
          </w:p>
          <w:p w14:paraId="6AD4C8B8" w14:textId="77777777" w:rsidR="001C2F5D" w:rsidRDefault="00000000">
            <w:pPr>
              <w:jc w:val="both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Recommended Action: </w:t>
            </w:r>
            <w:r>
              <w:rPr>
                <w:color w:val="7C3AED"/>
                <w:sz w:val="18"/>
                <w:szCs w:val="18"/>
              </w:rPr>
              <w:t>Consider re-underwriting short-tenure policies and adding excess clauses for 4-year holders.</w:t>
            </w:r>
          </w:p>
        </w:tc>
      </w:tr>
    </w:tbl>
    <w:p w14:paraId="2D4EC497" w14:textId="77777777" w:rsidR="001C2F5D" w:rsidRDefault="001C2F5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F5D" w14:paraId="1A039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E7490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200" w:type="dxa"/>
              <w:bottom w:w="80" w:type="dxa"/>
              <w:right w:w="140" w:type="dxa"/>
            </w:tcMar>
          </w:tcPr>
          <w:p w14:paraId="41D8A6D4" w14:textId="77777777" w:rsidR="001C2F5D" w:rsidRDefault="00000000">
            <w:pPr>
              <w:spacing w:after="40"/>
            </w:pPr>
            <w:r>
              <w:rPr>
                <w:b/>
                <w:bCs/>
                <w:color w:val="0E7490"/>
                <w:sz w:val="16"/>
                <w:szCs w:val="16"/>
              </w:rPr>
              <w:t xml:space="preserve">INSIGHT </w:t>
            </w:r>
            <w:proofErr w:type="gramStart"/>
            <w:r>
              <w:rPr>
                <w:b/>
                <w:bCs/>
                <w:color w:val="0E7490"/>
                <w:sz w:val="16"/>
                <w:szCs w:val="16"/>
              </w:rPr>
              <w:t xml:space="preserve">04  </w:t>
            </w:r>
            <w:r>
              <w:rPr>
                <w:b/>
                <w:bCs/>
                <w:color w:val="1B2A4A"/>
                <w:sz w:val="24"/>
                <w:szCs w:val="24"/>
              </w:rPr>
              <w:t>No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 xml:space="preserve"> Meaningful Seasonality in Claim Ratios</w:t>
            </w:r>
          </w:p>
          <w:p w14:paraId="2F84F04D" w14:textId="77777777" w:rsidR="001C2F5D" w:rsidRDefault="00000000">
            <w:pPr>
              <w:spacing w:after="80"/>
            </w:pPr>
            <w:r>
              <w:rPr>
                <w:i/>
                <w:iCs/>
                <w:color w:val="0E7490"/>
                <w:sz w:val="19"/>
                <w:szCs w:val="19"/>
              </w:rPr>
              <w:t>Monthly ratios range from 2.00x (December) to 2.16x (September) — a tight 0.16x spread</w:t>
            </w:r>
          </w:p>
        </w:tc>
      </w:tr>
      <w:tr w:rsidR="001C2F5D" w14:paraId="28EC7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E7490"/>
              <w:bottom w:val="single" w:sz="4" w:space="0" w:color="0E7490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140" w:type="dxa"/>
            </w:tcMar>
          </w:tcPr>
          <w:p w14:paraId="171C3ACC" w14:textId="77777777" w:rsidR="001C2F5D" w:rsidRDefault="00000000">
            <w:pPr>
              <w:spacing w:after="80"/>
              <w:jc w:val="both"/>
            </w:pPr>
            <w:r>
              <w:rPr>
                <w:color w:val="334155"/>
                <w:sz w:val="18"/>
                <w:szCs w:val="18"/>
              </w:rPr>
              <w:lastRenderedPageBreak/>
              <w:t>Claim-to-premium ratios across the 12 months of policy sale are remarkably uniform. This indicates that the risk profile of policyholders is consistent throughout the year. September shows a slight uptick while December is marginally the lowest.</w:t>
            </w:r>
          </w:p>
          <w:p w14:paraId="31085D35" w14:textId="77777777" w:rsidR="001C2F5D" w:rsidRDefault="00000000">
            <w:pPr>
              <w:jc w:val="both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Recommended Action: </w:t>
            </w:r>
            <w:r>
              <w:rPr>
                <w:color w:val="7C3AED"/>
                <w:sz w:val="18"/>
                <w:szCs w:val="18"/>
              </w:rPr>
              <w:t>No seasonal pricing adjustments are warranted based on current data. Monitor for real-world deviations.</w:t>
            </w:r>
          </w:p>
        </w:tc>
      </w:tr>
    </w:tbl>
    <w:p w14:paraId="13961573" w14:textId="77777777" w:rsidR="001C2F5D" w:rsidRDefault="001C2F5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F5D" w14:paraId="3650C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7706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200" w:type="dxa"/>
              <w:bottom w:w="80" w:type="dxa"/>
              <w:right w:w="140" w:type="dxa"/>
            </w:tcMar>
          </w:tcPr>
          <w:p w14:paraId="7FC1A0BC" w14:textId="77777777" w:rsidR="001C2F5D" w:rsidRDefault="00000000">
            <w:pPr>
              <w:spacing w:after="40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INSIGHT </w:t>
            </w:r>
            <w:proofErr w:type="gramStart"/>
            <w:r>
              <w:rPr>
                <w:b/>
                <w:bCs/>
                <w:color w:val="D97706"/>
                <w:sz w:val="16"/>
                <w:szCs w:val="16"/>
              </w:rPr>
              <w:t xml:space="preserve">05  </w:t>
            </w:r>
            <w:r>
              <w:rPr>
                <w:b/>
                <w:bCs/>
                <w:color w:val="1B2A4A"/>
                <w:sz w:val="24"/>
                <w:szCs w:val="24"/>
              </w:rPr>
              <w:t>Massive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 xml:space="preserve"> Latent Claim Liability Remains</w:t>
            </w:r>
          </w:p>
          <w:p w14:paraId="424042D5" w14:textId="77777777" w:rsidR="001C2F5D" w:rsidRDefault="00000000">
            <w:pPr>
              <w:spacing w:after="80"/>
            </w:pPr>
            <w:r>
              <w:rPr>
                <w:i/>
                <w:iCs/>
                <w:color w:val="D97706"/>
                <w:sz w:val="19"/>
                <w:szCs w:val="19"/>
              </w:rPr>
              <w:t>~950,546 unclaimed vehicles = potential future liability of INR 9,505 Crore</w:t>
            </w:r>
          </w:p>
        </w:tc>
      </w:tr>
      <w:tr w:rsidR="001C2F5D" w14:paraId="15265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D97706"/>
              <w:bottom w:val="single" w:sz="4" w:space="0" w:color="D97706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140" w:type="dxa"/>
            </w:tcMar>
          </w:tcPr>
          <w:p w14:paraId="54D58138" w14:textId="77777777" w:rsidR="001C2F5D" w:rsidRDefault="00000000">
            <w:pPr>
              <w:spacing w:after="80"/>
              <w:jc w:val="both"/>
            </w:pPr>
            <w:r>
              <w:rPr>
                <w:color w:val="334155"/>
                <w:sz w:val="18"/>
                <w:szCs w:val="18"/>
              </w:rPr>
              <w:t>Only ~49,454 vehicles (~4.95%) have filed claims so far. The remaining ~950,546 active policies represent a potential future claim pool. Even a 10% eventual claim rate on unclaimed vehicles would add ~INR 950 Crore in liability — significantly exceeding the total premium base of INR 24 Crore.</w:t>
            </w:r>
          </w:p>
          <w:p w14:paraId="1DCB23BA" w14:textId="77777777" w:rsidR="001C2F5D" w:rsidRDefault="00000000">
            <w:pPr>
              <w:jc w:val="both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Recommended Action: </w:t>
            </w:r>
            <w:r>
              <w:rPr>
                <w:color w:val="7C3AED"/>
                <w:sz w:val="18"/>
                <w:szCs w:val="18"/>
              </w:rPr>
              <w:t>Build adequate reserves. Consider reinsurance for tail risk. Use predictive models to identify high-risk unclaimed vehicles.</w:t>
            </w:r>
          </w:p>
        </w:tc>
      </w:tr>
    </w:tbl>
    <w:p w14:paraId="7BCABF4F" w14:textId="77777777" w:rsidR="001C2F5D" w:rsidRDefault="001C2F5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F5D" w14:paraId="40DC2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E7490"/>
              <w:left w:val="single" w:sz="24" w:space="0" w:color="0E7490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200" w:type="dxa"/>
              <w:bottom w:w="80" w:type="dxa"/>
              <w:right w:w="140" w:type="dxa"/>
            </w:tcMar>
          </w:tcPr>
          <w:p w14:paraId="2C1A32A3" w14:textId="77777777" w:rsidR="001C2F5D" w:rsidRDefault="00000000">
            <w:pPr>
              <w:spacing w:after="40"/>
            </w:pPr>
            <w:r>
              <w:rPr>
                <w:b/>
                <w:bCs/>
                <w:color w:val="0E7490"/>
                <w:sz w:val="16"/>
                <w:szCs w:val="16"/>
              </w:rPr>
              <w:t xml:space="preserve">INSIGHT </w:t>
            </w:r>
            <w:proofErr w:type="gramStart"/>
            <w:r>
              <w:rPr>
                <w:b/>
                <w:bCs/>
                <w:color w:val="0E7490"/>
                <w:sz w:val="16"/>
                <w:szCs w:val="16"/>
              </w:rPr>
              <w:t xml:space="preserve">06  </w:t>
            </w:r>
            <w:r>
              <w:rPr>
                <w:b/>
                <w:bCs/>
                <w:color w:val="1B2A4A"/>
                <w:sz w:val="24"/>
                <w:szCs w:val="24"/>
              </w:rPr>
              <w:t>Only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 xml:space="preserve"> 27% of Premiums Have Been Earned by Feb 2026</w:t>
            </w:r>
          </w:p>
          <w:p w14:paraId="0415514A" w14:textId="77777777" w:rsidR="001C2F5D" w:rsidRDefault="00000000">
            <w:pPr>
              <w:spacing w:after="80"/>
            </w:pPr>
            <w:r>
              <w:rPr>
                <w:i/>
                <w:iCs/>
                <w:color w:val="0E7490"/>
                <w:sz w:val="19"/>
                <w:szCs w:val="19"/>
              </w:rPr>
              <w:t>Earned Premium = INR 6.59 Cr of INR 24.01 Cr total (27.4%) by Feb 28, 2026</w:t>
            </w:r>
          </w:p>
        </w:tc>
      </w:tr>
      <w:tr w:rsidR="001C2F5D" w14:paraId="14AD8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E7490"/>
              <w:bottom w:val="single" w:sz="4" w:space="0" w:color="0E7490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140" w:type="dxa"/>
            </w:tcMar>
          </w:tcPr>
          <w:p w14:paraId="59F44539" w14:textId="77777777" w:rsidR="001C2F5D" w:rsidRDefault="00000000">
            <w:pPr>
              <w:spacing w:after="80"/>
              <w:jc w:val="both"/>
            </w:pPr>
            <w:r>
              <w:rPr>
                <w:color w:val="334155"/>
                <w:sz w:val="18"/>
                <w:szCs w:val="18"/>
              </w:rPr>
              <w:t xml:space="preserve">Since all policies start 365 days after purchase, the premium </w:t>
            </w:r>
            <w:proofErr w:type="spellStart"/>
            <w:r>
              <w:rPr>
                <w:color w:val="334155"/>
                <w:sz w:val="18"/>
                <w:szCs w:val="18"/>
              </w:rPr>
              <w:t>earning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curve is heavily back-loaded. By Feb 28, 2026, only ~427 days of policy tenure have elapsed on average. The remaining INR ~17.4 Crore of unearned premium will be recognised over the next ~46 months at ~INR 37.9 Lakh per month.</w:t>
            </w:r>
          </w:p>
          <w:p w14:paraId="0B108AE7" w14:textId="77777777" w:rsidR="001C2F5D" w:rsidRDefault="00000000">
            <w:pPr>
              <w:jc w:val="both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Recommended Action: </w:t>
            </w:r>
            <w:r>
              <w:rPr>
                <w:color w:val="7C3AED"/>
                <w:sz w:val="18"/>
                <w:szCs w:val="18"/>
              </w:rPr>
              <w:t>Ensure unearned premium reserves are accurately maintained on balance sheet. Cash flow planning is essential.</w:t>
            </w:r>
          </w:p>
        </w:tc>
      </w:tr>
    </w:tbl>
    <w:p w14:paraId="606116A2" w14:textId="77777777" w:rsidR="001C2F5D" w:rsidRDefault="001C2F5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2F5D" w14:paraId="3CEC1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7706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200" w:type="dxa"/>
              <w:bottom w:w="80" w:type="dxa"/>
              <w:right w:w="140" w:type="dxa"/>
            </w:tcMar>
          </w:tcPr>
          <w:p w14:paraId="07AE3120" w14:textId="77777777" w:rsidR="001C2F5D" w:rsidRDefault="00000000">
            <w:pPr>
              <w:spacing w:after="40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INSIGHT </w:t>
            </w:r>
            <w:proofErr w:type="gramStart"/>
            <w:r>
              <w:rPr>
                <w:b/>
                <w:bCs/>
                <w:color w:val="D97706"/>
                <w:sz w:val="16"/>
                <w:szCs w:val="16"/>
              </w:rPr>
              <w:t xml:space="preserve">07  </w:t>
            </w:r>
            <w:r>
              <w:rPr>
                <w:b/>
                <w:bCs/>
                <w:color w:val="1B2A4A"/>
                <w:sz w:val="24"/>
                <w:szCs w:val="24"/>
              </w:rPr>
              <w:t>5</w:t>
            </w:r>
            <w:proofErr w:type="gramEnd"/>
            <w:r>
              <w:rPr>
                <w:b/>
                <w:bCs/>
                <w:color w:val="1B2A4A"/>
                <w:sz w:val="24"/>
                <w:szCs w:val="24"/>
              </w:rPr>
              <w:t>% Annual Claim Frequency Growth Worsens Profitability Significantly</w:t>
            </w:r>
          </w:p>
          <w:p w14:paraId="409F5E29" w14:textId="77777777" w:rsidR="001C2F5D" w:rsidRDefault="00000000">
            <w:pPr>
              <w:spacing w:after="80"/>
            </w:pPr>
            <w:r>
              <w:rPr>
                <w:i/>
                <w:iCs/>
                <w:color w:val="D97706"/>
                <w:sz w:val="19"/>
                <w:szCs w:val="19"/>
              </w:rPr>
              <w:t>By 2030, projected annual claims are ~34% above the 2025 baseline</w:t>
            </w:r>
          </w:p>
        </w:tc>
      </w:tr>
      <w:tr w:rsidR="001C2F5D" w14:paraId="37AAA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D97706"/>
              <w:bottom w:val="single" w:sz="4" w:space="0" w:color="D97706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100" w:type="dxa"/>
              <w:right w:w="140" w:type="dxa"/>
            </w:tcMar>
          </w:tcPr>
          <w:p w14:paraId="47C62EF0" w14:textId="77777777" w:rsidR="001C2F5D" w:rsidRDefault="00000000">
            <w:pPr>
              <w:spacing w:after="80"/>
              <w:jc w:val="both"/>
            </w:pPr>
            <w:r>
              <w:rPr>
                <w:color w:val="334155"/>
                <w:sz w:val="18"/>
                <w:szCs w:val="18"/>
              </w:rPr>
              <w:t>Compounding 5% annual growth on the 2025 claim base of INR 39.46 Crore yields ~INR 52.9 Crore by 2030 — a 34% increase. Given the portfolio is already loss-making, any increase in claim frequency without commensurate premium increases will compound losses. Even modest frequency growth makes future profitability increasingly challenging.</w:t>
            </w:r>
          </w:p>
          <w:p w14:paraId="190388FA" w14:textId="77777777" w:rsidR="001C2F5D" w:rsidRDefault="00000000">
            <w:pPr>
              <w:jc w:val="both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Recommended Action: </w:t>
            </w:r>
            <w:r>
              <w:rPr>
                <w:color w:val="7C3AED"/>
                <w:sz w:val="18"/>
                <w:szCs w:val="18"/>
              </w:rPr>
              <w:t>Model dynamic repricing mechanisms. Build frequency assumptions into future rate reviews. Consider no-claim bonuses to suppress frequency growth.</w:t>
            </w:r>
          </w:p>
        </w:tc>
      </w:tr>
    </w:tbl>
    <w:p w14:paraId="28A97D87" w14:textId="77777777" w:rsidR="001C2F5D" w:rsidRDefault="001C2F5D">
      <w:pPr>
        <w:spacing w:after="100"/>
      </w:pPr>
    </w:p>
    <w:p w14:paraId="09417C03" w14:textId="5FA0AEAC" w:rsidR="001C2F5D" w:rsidRDefault="001C2F5D">
      <w:pPr>
        <w:pBdr>
          <w:top w:val="single" w:sz="6" w:space="4" w:color="CBD5E1"/>
        </w:pBdr>
        <w:spacing w:before="80"/>
        <w:jc w:val="center"/>
      </w:pPr>
    </w:p>
    <w:sectPr w:rsidR="001C2F5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81132"/>
    <w:multiLevelType w:val="hybridMultilevel"/>
    <w:tmpl w:val="E89C4754"/>
    <w:lvl w:ilvl="0" w:tplc="E56262EE">
      <w:start w:val="1"/>
      <w:numFmt w:val="bullet"/>
      <w:lvlText w:val="●"/>
      <w:lvlJc w:val="left"/>
      <w:pPr>
        <w:ind w:left="720" w:hanging="360"/>
      </w:pPr>
    </w:lvl>
    <w:lvl w:ilvl="1" w:tplc="E168F366">
      <w:start w:val="1"/>
      <w:numFmt w:val="bullet"/>
      <w:lvlText w:val="○"/>
      <w:lvlJc w:val="left"/>
      <w:pPr>
        <w:ind w:left="1440" w:hanging="360"/>
      </w:pPr>
    </w:lvl>
    <w:lvl w:ilvl="2" w:tplc="49ACAC86">
      <w:start w:val="1"/>
      <w:numFmt w:val="bullet"/>
      <w:lvlText w:val="■"/>
      <w:lvlJc w:val="left"/>
      <w:pPr>
        <w:ind w:left="2160" w:hanging="360"/>
      </w:pPr>
    </w:lvl>
    <w:lvl w:ilvl="3" w:tplc="2610AEE4">
      <w:start w:val="1"/>
      <w:numFmt w:val="bullet"/>
      <w:lvlText w:val="●"/>
      <w:lvlJc w:val="left"/>
      <w:pPr>
        <w:ind w:left="2880" w:hanging="360"/>
      </w:pPr>
    </w:lvl>
    <w:lvl w:ilvl="4" w:tplc="DF986CEA">
      <w:start w:val="1"/>
      <w:numFmt w:val="bullet"/>
      <w:lvlText w:val="○"/>
      <w:lvlJc w:val="left"/>
      <w:pPr>
        <w:ind w:left="3600" w:hanging="360"/>
      </w:pPr>
    </w:lvl>
    <w:lvl w:ilvl="5" w:tplc="AE42B462">
      <w:start w:val="1"/>
      <w:numFmt w:val="bullet"/>
      <w:lvlText w:val="■"/>
      <w:lvlJc w:val="left"/>
      <w:pPr>
        <w:ind w:left="4320" w:hanging="360"/>
      </w:pPr>
    </w:lvl>
    <w:lvl w:ilvl="6" w:tplc="A48C42CC">
      <w:start w:val="1"/>
      <w:numFmt w:val="bullet"/>
      <w:lvlText w:val="●"/>
      <w:lvlJc w:val="left"/>
      <w:pPr>
        <w:ind w:left="5040" w:hanging="360"/>
      </w:pPr>
    </w:lvl>
    <w:lvl w:ilvl="7" w:tplc="1B1694C0">
      <w:start w:val="1"/>
      <w:numFmt w:val="bullet"/>
      <w:lvlText w:val="●"/>
      <w:lvlJc w:val="left"/>
      <w:pPr>
        <w:ind w:left="5760" w:hanging="360"/>
      </w:pPr>
    </w:lvl>
    <w:lvl w:ilvl="8" w:tplc="19784E8C">
      <w:start w:val="1"/>
      <w:numFmt w:val="bullet"/>
      <w:lvlText w:val="●"/>
      <w:lvlJc w:val="left"/>
      <w:pPr>
        <w:ind w:left="6480" w:hanging="360"/>
      </w:pPr>
    </w:lvl>
  </w:abstractNum>
  <w:num w:numId="1" w16cid:durableId="1723021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F5D"/>
    <w:rsid w:val="001B628B"/>
    <w:rsid w:val="001C2F5D"/>
    <w:rsid w:val="0069734B"/>
    <w:rsid w:val="006B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F9FB"/>
  <w15:docId w15:val="{7BED7170-F718-45CB-AFEB-44A53E36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Soumodwip Mondal</cp:lastModifiedBy>
  <cp:revision>3</cp:revision>
  <dcterms:created xsi:type="dcterms:W3CDTF">2026-03-10T15:30:00Z</dcterms:created>
  <dcterms:modified xsi:type="dcterms:W3CDTF">2026-03-10T15:58:00Z</dcterms:modified>
</cp:coreProperties>
</file>