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b/>
          <w:bCs/>
          <w:color w:val="1F3864"/>
          <w:sz w:val="52"/>
          <w:szCs w:val="52"/>
        </w:rPr>
        <w:t xml:space="preserve">Agentic Software Engineering System</w:t>
      </w:r>
    </w:p>
    <w:p>
      <w:pPr>
        <w:spacing w:after="100" w:before="200"/>
        <w:jc w:val="center"/>
      </w:pPr>
      <w:r>
        <w:rPr>
          <w:color w:val="2E5395"/>
          <w:sz w:val="30"/>
          <w:szCs w:val="30"/>
        </w:rPr>
        <w:t xml:space="preserve">URL Shortener — Engineering Summary &amp; Architecture Overview</w:t>
      </w:r>
    </w:p>
    <w:p>
      <w:pPr>
        <w:spacing w:before="600"/>
        <w:jc w:val="center"/>
      </w:pPr>
      <w:r>
        <w:rPr>
          <w:i/>
          <w:iCs/>
          <w:color w:val="595959"/>
          <w:sz w:val="22"/>
          <w:szCs w:val="22"/>
        </w:rPr>
        <w:t xml:space="preserve">Interview Assignment: Build an Agentic Software Engineering System</w:t>
      </w:r>
    </w:p>
    <w:p>
      <w:pPr>
        <w:spacing w:before="3200"/>
        <w:jc w:val="center"/>
      </w:pPr>
      <w:r>
        <w:rPr>
          <w:color w:val="595959"/>
          <w:sz w:val="22"/>
          <w:szCs w:val="22"/>
        </w:rPr>
        <w:t xml:space="preserve">August 23, 2026</w:t>
      </w:r>
    </w:p>
    <w:p>
      <w:pPr>
        <w:spacing w:before="100"/>
        <w:jc w:val="center"/>
      </w:pPr>
      <w:r>
        <w:rPr>
          <w:color w:val="595959"/>
          <w:sz w:val="20"/>
          <w:szCs w:val="20"/>
        </w:rPr>
        <w:t xml:space="preserve">Prepared with Claude (Anthropic) as the agentic engineering assistant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Table of Contents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  <w:gridCol w:w="760"/>
      </w:tblGrid>
      <w:tr>
        <w:trPr>
          <w:cantSplit/>
        </w:trPr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1. Executive Summary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2. System Architecture — URL Shortener Application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3. Engineering Judgment — Issues Found and Resolved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4. Testing Strategy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5. Agentic Orchestration Layer — the Critical Differentiator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6. Demonstration Workflow — SDLC Pipeline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7. Setup &amp; Run Instructions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8. Risks, Trade-offs &amp; Assumptions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9. Limitations &amp; Suggested Next Steps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10. Conclusion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12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1. Executive Summary</w:t>
      </w:r>
    </w:p>
    <w:p>
      <w:pPr>
        <w:spacing w:after="160" w:line="276"/>
      </w:pPr>
      <w:r>
        <w:t xml:space="preserve">This document covers a two-part engineering deliverable built against the assignment's URL Shortener scenario: (1) a working Spring Boot URL Shortener service, hardened through an iterative, test-driven engineering pass, and (2) a generic, reusable agentic orchestration engine — the assignment's “critical differentiator” — that coordinates a full SDLC lifecycle (requirements, design, implementation, testing, documentation, release) with governance, parallelism, and observability, demonstrated against three scenarios grounded in real changes made to this exact codebase.</w:t>
      </w:r>
    </w:p>
    <w:p>
      <w:pPr>
        <w:spacing w:after="160" w:line="276"/>
      </w:pPr>
      <w:r>
        <w:t xml:space="preserve">The work proceeded as a sequence of deliberate, reviewable passes rather than one large undifferentiated change: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</w:rPr>
        <w:t xml:space="preserve">Test coverage first. </w:t>
      </w:r>
      <w:r>
        <w:t xml:space="preserve">The project had zero test dependencies and zero tests. A 40-method unit test suite was written across every class with logic (util, service, controller, exception handling, DTO validation), which surfaced concrete defects rather than being written against an already-correct system.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</w:rPr>
        <w:t xml:space="preserve">Fix what testing surfaced. </w:t>
      </w:r>
      <w:r>
        <w:t xml:space="preserve">Two real defects were found and fixed: unhandled exceptions surfacing as opaque HTTP 500s instead of 404/409, and a check-then-act race condition in custom-alias creation. Each fix shipped with a regression test proving the specific failure mode is closed.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</w:rPr>
        <w:t xml:space="preserve">Build the orchestration layer. </w:t>
      </w:r>
      <w:r>
        <w:t xml:space="preserve">A 22-file core engine (dependency graph, gates, retries, fallback, rollback, approval checkpoints, policy guardrails, audit logging, metrics, dynamic re-planning) plus a concrete 7-stage SDLC workflow demo, covered by 24 tests split into 10 packages — one per engine concern.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</w:rPr>
        <w:t xml:space="preserve">Document what remains open. </w:t>
      </w:r>
      <w:r>
        <w:t xml:space="preserve">Two lower-severity risks are deliberately left open and documented rather than silently patched, because their correct fix requires a judgment call outside this pass's scope (see Section 8).</w:t>
      </w:r>
    </w:p>
    <w:p>
      <w:pPr>
        <w:spacing w:after="160" w:line="276"/>
      </w:pPr>
      <w:r>
        <w:t xml:space="preserve">Total delivered test suite: 64 automated tests across 16 packages, all runnable with a single mvn test command.</w:t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2. System Architecture — URL Shortener Application</w:t>
      </w:r>
    </w:p>
    <w:p>
      <w:pPr>
        <w:spacing w:after="160" w:line="276"/>
      </w:pPr>
      <w:r>
        <w:t xml:space="preserve">The application is a Spring Boot 3.2 / Java 17 service with three REST endpoints, a Postgres-backed persistence layer, and a Redis read-through cache.</w:t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4324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1. Component overview — request flow, caching, and persistence.</w:t>
      </w:r>
    </w:p>
    <w:p>
      <w:pPr>
        <w:pStyle w:val="Heading2"/>
        <w:spacing w:after="150" w:before="300"/>
      </w:pPr>
      <w:r>
        <w:rPr>
          <w:b/>
          <w:bCs/>
          <w:color w:val="2E5395"/>
        </w:rPr>
        <w:t xml:space="preserve">2.1 Core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cantSplit/>
          <w:tblHeader/>
        </w:trPr>
        <w:tc>
          <w:tcPr>
            <w:tcW w:type="dxa" w:w="1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5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/api/v1/shorten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 a short link from a long URL, with an optional custom alias and optional expiry.</w:t>
            </w:r>
          </w:p>
        </w:tc>
      </w:tr>
      <w:tr>
        <w:trPr>
          <w:cantSplit/>
        </w:trPr>
        <w:tc>
          <w:tcPr>
            <w:tcW w:type="dxa" w:w="16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/{shortKey}</w:t>
            </w:r>
          </w:p>
        </w:tc>
        <w:tc>
          <w:tcPr>
            <w:tcW w:type="dxa" w:w="456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Redirect (302) to the original URL and asynchronously log the click for analytics.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/api/v1/analytics/{shortKey}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Return click-count and user-agent breakdown analytics for a short key.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5395"/>
        </w:rPr>
        <w:t xml:space="preserve">2.2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cantSplit/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3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UrlMapping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id, shortKey (unique), longUrl, createdAt, expiresAt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shortKey has a DB-level unique constraint — this is what the race-condition fix in Section 3 depends on.</w:t>
            </w:r>
          </w:p>
        </w:tc>
      </w:tr>
      <w:tr>
        <w:trPr>
          <w:cantSplit/>
        </w:trPr>
        <w:tc>
          <w:tcPr>
            <w:tcW w:type="dxa" w:w="18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UrlClick</w:t>
            </w:r>
          </w:p>
        </w:tc>
        <w:tc>
          <w:tcPr>
            <w:tcW w:type="dxa" w:w="42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id, shortKey, ipAddress, userAgent, clickedAt</w:t>
            </w:r>
          </w:p>
        </w:tc>
        <w:tc>
          <w:tcPr>
            <w:tcW w:type="dxa" w:w="336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Written asynchronously (@Async) by AnalyticsService so redirect latency isn't blocked on analytics writes.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5395"/>
        </w:rPr>
        <w:t xml:space="preserve">2.3 Caching Strategy</w:t>
      </w:r>
    </w:p>
    <w:p>
      <w:pPr>
        <w:spacing w:after="160" w:line="276"/>
      </w:pPr>
      <w:r>
        <w:t xml:space="preserve">UrlService reads through Redis before hitting Postgres: a cache hit on url:{shortKey} short-circuits the database lookup entirely. On a cache miss, the mapping is loaded from Postgres, and — only if it has not already expired — re-cached with a TTL computed from its expiresAt (or a 7-day default when no expiry was set). An already-expired mapping is deliberately not re-cached, so expired entries don't get a second, incorrect lease on life in the cache.</w:t>
      </w:r>
    </w:p>
    <w:p>
      <w:pPr>
        <w:pStyle w:val="Heading2"/>
        <w:spacing w:after="150" w:before="300"/>
      </w:pPr>
      <w:r>
        <w:rPr>
          <w:b/>
          <w:bCs/>
          <w:color w:val="2E5395"/>
        </w:rPr>
        <w:t xml:space="preserve">2.4 Exception Handling &amp; Error Contract</w:t>
      </w:r>
    </w:p>
    <w:p>
      <w:pPr>
        <w:spacing w:after="160" w:line="276"/>
      </w:pPr>
      <w:r>
        <w:t xml:space="preserve">A centralized GlobalExceptionHandler (@RestControllerAdvice) maps every failure mode to a consistent JSON ErrorResponse body ({ timestamp, status, error, message, fieldErrors }):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00"/>
        <w:gridCol w:w="2560"/>
      </w:tblGrid>
      <w:tr>
        <w:trPr>
          <w:cantSplit/>
          <w:tblHeader/>
        </w:trPr>
        <w:tc>
          <w:tcPr>
            <w:tcW w:type="dxa" w:w="3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Exception type</w:t>
            </w:r>
          </w:p>
        </w:tc>
        <w:tc>
          <w:tcPr>
            <w:tcW w:type="dxa" w:w="25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Short key doesn't exist / has expired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ShortUrlNotFoundException</w:t>
            </w:r>
          </w:p>
        </w:tc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404 Not Found</w:t>
            </w:r>
          </w:p>
        </w:tc>
      </w:tr>
      <w:tr>
        <w:trPr>
          <w:cantSplit/>
        </w:trPr>
        <w:tc>
          <w:tcPr>
            <w:tcW w:type="dxa" w:w="36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 alias already taken (upfront check or DB-level race)</w:t>
            </w:r>
          </w:p>
        </w:tc>
        <w:tc>
          <w:tcPr>
            <w:tcW w:type="dxa" w:w="32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AliasAlreadyExistsException</w:t>
            </w:r>
          </w:p>
        </w:tc>
        <w:tc>
          <w:tcPr>
            <w:tcW w:type="dxa" w:w="256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409 Conflict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Request body fails @Valid constraints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MethodArgumentNotValidException</w:t>
            </w:r>
          </w:p>
        </w:tc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400 Bad Request (with a field-level fieldErrors map)</w:t>
            </w:r>
          </w:p>
        </w:tc>
      </w:tr>
      <w:tr>
        <w:trPr>
          <w:cantSplit/>
        </w:trPr>
        <w:tc>
          <w:tcPr>
            <w:tcW w:type="dxa" w:w="36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Any other IllegalArgumentException</w:t>
            </w:r>
          </w:p>
        </w:tc>
        <w:tc>
          <w:tcPr>
            <w:tcW w:type="dxa" w:w="32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IllegalArgumentException</w:t>
            </w:r>
          </w:p>
        </w:tc>
        <w:tc>
          <w:tcPr>
            <w:tcW w:type="dxa" w:w="256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400 Bad Request (defensive fallback)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Anything else unhandled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Exception</w:t>
            </w:r>
          </w:p>
        </w:tc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500 Internal Server Error (generic message — never leaks internal detail)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3864"/>
        </w:rPr>
        <w:t xml:space="preserve">3. Engineering Judgment — Issues Found and Resolved</w:t>
      </w:r>
    </w:p>
    <w:p>
      <w:pPr>
        <w:spacing w:after="160" w:line="276"/>
      </w:pPr>
      <w:r>
        <w:t xml:space="preserve">These issues were not hypothetical: each was found by reading the code while writing tests against it, and each fix shipped with a test that specifically pins down the failure mode it closes.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3900"/>
        <w:gridCol w:w="1660"/>
      </w:tblGrid>
      <w:tr>
        <w:trPr>
          <w:cantSplit/>
          <w:tblHeader/>
        </w:trPr>
        <w:tc>
          <w:tcPr>
            <w:tcW w:type="dxa" w:w="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  <w:tc>
          <w:tcPr>
            <w:tcW w:type="dxa" w:w="16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@ExceptionHandler anywhere — an unknown analytics key surfaced as an opaque 500 instead of a 404; a taken alias and a missing resource both threw the same generic IllegalArgumentException.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Added GlobalExceptionHandler with two domain-specific exceptions (404 / 409) plus structured validation and a safe 500 fallback.</w:t>
            </w:r>
          </w:p>
        </w:tc>
        <w:tc>
          <w:tcPr>
            <w:tcW w:type="dxa" w:w="1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Fixed</w:t>
            </w:r>
          </w:p>
        </w:tc>
      </w:tr>
      <w:tr>
        <w:trPr>
          <w:cantSplit/>
        </w:trPr>
        <w:tc>
          <w:tcPr>
            <w:tcW w:type="dxa" w:w="5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Custom-alias creation checked existsByShortKey() then called save() — a classic check-then-act race. A concurrent request could win the insert in between, and the resulting DataIntegrityViolationException was never caught.</w:t>
            </w:r>
          </w:p>
        </w:tc>
        <w:tc>
          <w:tcPr>
            <w:tcW w:type="dxa" w:w="39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saveMapping() now catches DataIntegrityViolationException around the insert and re-throws it as AliasAlreadyExistsException, so a request that loses the race gets the same clean 409 as one that failed the upfront check.</w:t>
            </w:r>
          </w:p>
        </w:tc>
        <w:tc>
          <w:tcPr>
            <w:tcW w:type="dxa" w:w="166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Fixed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Auto-generated key path inserts a row with a placeholder shortKey = "temp" to obtain a DB-generated ID, then updates it. Two concurrent auto-generated requests could collide on "temp" itself.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Documented as an open risk (Section 8). The same DataIntegrityViolationException pattern would close it, but the correct status code for an internal placeholder collision (arguably 503/retry, not 409) is a distinct judgment call from issue #2's user-facing alias conflict.</w:t>
            </w:r>
          </w:p>
        </w:tc>
        <w:tc>
          <w:tcPr>
            <w:tcW w:type="dxa" w:w="1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 — documented</w:t>
            </w:r>
          </w:p>
        </w:tc>
      </w:tr>
      <w:tr>
        <w:trPr>
          <w:cantSplit/>
        </w:trPr>
        <w:tc>
          <w:tcPr>
            <w:tcW w:type="dxa" w:w="5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Base62.encode() has no input validation; a negative input silently returns "" instead of throwing.</w:t>
            </w:r>
          </w:p>
        </w:tc>
        <w:tc>
          <w:tcPr>
            <w:tcW w:type="dxa" w:w="39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Behavior pinned by a test documenting the current (arguably surprising) behavior. Auto-increment IDs shouldn't go negative in practice.</w:t>
            </w:r>
          </w:p>
        </w:tc>
        <w:tc>
          <w:tcPr>
            <w:tcW w:type="dxa" w:w="166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 — documented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application.properties has spring.data.redis.host=local host (a stray space) — would fail Redis connectivity at runtime.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Flagged; a one-line configuration fix, out of scope for a code-level testing/hardening pass.</w:t>
            </w:r>
          </w:p>
        </w:tc>
        <w:tc>
          <w:tcPr>
            <w:tcW w:type="dxa" w:w="1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 — documented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3864"/>
        </w:rPr>
        <w:t xml:space="preserve">4. Testing Strategy</w:t>
      </w:r>
    </w:p>
    <w:p>
      <w:pPr>
        <w:pStyle w:val="Heading2"/>
        <w:spacing w:after="150" w:before="300"/>
      </w:pPr>
      <w:r>
        <w:rPr>
          <w:b/>
          <w:bCs/>
          <w:color w:val="2E5395"/>
        </w:rPr>
        <w:t xml:space="preserve">4.1 Philosophy</w:t>
      </w:r>
    </w:p>
    <w:p>
      <w:pPr>
        <w:spacing w:after="160" w:line="276"/>
      </w:pPr>
      <w:r>
        <w:t xml:space="preserve">Every test in this suite is a true unit test: collaborators (repositories, RedisTemplate, executors) are mocked or faked, so the entire suite runs without a database, Redis instance, or network access, and runs in seconds. Where a test needed to prove something a mock can't fake — like two stages genuinely executing on different threads — a real ExecutorService with a CountDownLatch is used instead of a mock, so the test would actually fail if execution silently became sequential.</w:t>
      </w:r>
    </w:p>
    <w:p>
      <w:pPr>
        <w:pStyle w:val="Heading2"/>
        <w:spacing w:after="150" w:before="300"/>
      </w:pPr>
      <w:r>
        <w:rPr>
          <w:b/>
          <w:bCs/>
          <w:color w:val="2E5395"/>
        </w:rPr>
        <w:t xml:space="preserve">4.2 Coverage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1600"/>
        <w:gridCol w:w="1360"/>
      </w:tblGrid>
      <w:tr>
        <w:trPr>
          <w:cantSplit/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Packages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classes</w:t>
            </w:r>
          </w:p>
        </w:tc>
        <w:tc>
          <w:tcPr>
            <w:tcW w:type="dxa" w:w="13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methods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URL Shortener application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util, service, controller, dto, exception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</w:tr>
      <w:tr>
        <w:trPr>
          <w:cantSplit/>
        </w:trPr>
        <w:tc>
          <w:tcPr>
            <w:tcW w:type="dxa" w:w="32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Orchestration engine</w:t>
            </w:r>
          </w:p>
        </w:tc>
        <w:tc>
          <w:tcPr>
            <w:tcW w:type="dxa" w:w="32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orchestration.* (10 dedicated packages, one per concern)</w:t>
            </w:r>
          </w:p>
        </w:tc>
        <w:tc>
          <w:tcPr>
            <w:tcW w:type="dxa" w:w="16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36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</w:tr>
    </w:tbl>
    <w:p>
      <w:pPr>
        <w:spacing w:after="160" w:line="276"/>
      </w:pPr>
      <w:r>
        <w:t xml:space="preserve">The orchestration engine's tests are deliberately split one-package-per-concern (scheduling, gates, retry, fallback, rollback, approval, policy, replanning, metrics, definition) rather than one large test class, so each governance mechanism has its own clearly-scoped, independently-readable home.</w:t>
      </w:r>
    </w:p>
    <w:p>
      <w:pPr>
        <w:pStyle w:val="Heading2"/>
        <w:spacing w:after="150" w:before="300"/>
      </w:pPr>
      <w:r>
        <w:rPr>
          <w:b/>
          <w:bCs/>
          <w:color w:val="2E5395"/>
        </w:rPr>
        <w:t xml:space="preserve">4.3 Running the Tests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4F4F4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mvn test</w:t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5. Agentic Orchestration Layer — the Critical Differentiator</w:t>
      </w:r>
    </w:p>
    <w:p>
      <w:pPr>
        <w:spacing w:after="160" w:line="276"/>
      </w:pPr>
      <w:r>
        <w:t xml:space="preserve">The assignment calls out workflow orchestration as the critical differentiator: an explicit dependency graph with entry/exit gates, sequential and parallel execution with synchronization, preserved cross-stage context and decision lineage, human approval checkpoints for high-impact actions, bounded retries with fallback and rollback, policy guardrails, audit-grade observability, reliability metrics, and dynamic re-planning. This section maps each of those requirements to a concrete, tested implementation.</w:t>
      </w:r>
    </w:p>
    <w:p>
      <w:pPr>
        <w:pStyle w:val="Heading2"/>
        <w:spacing w:after="150" w:before="300"/>
      </w:pPr>
      <w:r>
        <w:rPr>
          <w:b/>
          <w:bCs/>
          <w:color w:val="2E5395"/>
        </w:rPr>
        <w:t xml:space="preserve">5.1 Core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9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Stage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One node in the graph: its dependencies, risk level, gates, retry policy, fallback agent, rollback group, and whether it requires human approval.</w:t>
            </w:r>
          </w:p>
        </w:tc>
      </w:tr>
      <w:tr>
        <w:trPr>
          <w:cantSplit/>
        </w:trPr>
        <w:tc>
          <w:tcPr>
            <w:tcW w:type="dxa" w:w="24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WorkflowDefinition</w:t>
            </w:r>
          </w:p>
        </w:tc>
        <w:tc>
          <w:tcPr>
            <w:tcW w:type="dxa" w:w="696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validated dependency graph — rejects cycles and unknown dependencies at construction time, not at runtime.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WorkflowContext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Shared, thread-safe state for one run: cross-stage artifacts (decision lineage), the audit log, and the current plan-revision counter.</w:t>
            </w:r>
          </w:p>
        </w:tc>
      </w:tr>
      <w:tr>
        <w:trPr>
          <w:cantSplit/>
        </w:trPr>
        <w:tc>
          <w:tcPr>
            <w:tcW w:type="dxa" w:w="24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OrchestrationEngine</w:t>
            </w:r>
          </w:p>
        </w:tc>
        <w:tc>
          <w:tcPr>
            <w:tcW w:type="dxa" w:w="696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scheduler: drives parallel execution, synchronization joins, gates, approval, retry/fallback, rollback, and dynamic re-planning.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AuditLog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Append-only, timestamped trail of every gate check, retry, approval, rollback, and re-plan — tagged with the plan revision in effect at the time.</w:t>
            </w:r>
          </w:p>
        </w:tc>
      </w:tr>
      <w:tr>
        <w:trPr>
          <w:cantSplit/>
        </w:trPr>
        <w:tc>
          <w:tcPr>
            <w:tcW w:type="dxa" w:w="24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Metrics</w:t>
            </w:r>
          </w:p>
        </w:tc>
        <w:tc>
          <w:tcPr>
            <w:tcW w:type="dxa" w:w="696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Success rate, retry/rollback frequency, mean time to recover (MTTR), and end-to-end latency for the run.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PolicyGuard / ApprovalPort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Pluggable interfaces for governance (security/compliance rules) and human sign-off, decoupled from the engine so a real deployment can swap in a genuine human-backed approval system.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5395"/>
        </w:rPr>
        <w:t xml:space="preserve">5.2 Per-Stage Execution Flow</w:t>
      </w:r>
    </w:p>
    <w:p>
      <w:pPr>
        <w:spacing w:after="160" w:line="276"/>
      </w:pPr>
      <w:r>
        <w:t xml:space="preserve">Every stage passes through the same governed sequence, regardless of what its agent actually does:</w:t>
      </w:r>
    </w:p>
    <w:p>
      <w:pPr>
        <w:spacing w:after="120" w:before="120"/>
        <w:jc w:val="center"/>
      </w:pPr>
      <w:r>
        <w:drawing>
          <wp:inline distT="0" distB="0" distL="0" distR="0">
            <wp:extent cx="3810000" cy="401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2. The per-stage control flow enforced by OrchestrationEngine.</w:t>
      </w:r>
    </w:p>
    <w:p>
      <w:pPr>
        <w:spacing w:after="160" w:line="276"/>
      </w:pPr>
      <w:r>
        <w:t xml:space="preserve">Two design decisions are worth calling out explicitly: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</w:rPr>
        <w:t xml:space="preserve">Policy is checked before retry/fallback, not woven into it. </w:t>
      </w:r>
      <w:r>
        <w:t xml:space="preserve">A policy denial is a hard stop — the engine never gives a denied stage's retry loop or fallback agent a chance to route around governance. This is verified directly by a test asserting the agent and fallback are never invoked when policy denies.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</w:rPr>
        <w:t xml:space="preserve">Rollback operates on groups, not single stages. </w:t>
      </w:r>
      <w:r>
        <w:t xml:space="preserve">Stages can share a rollbackGroup; when one member fails unrecoverably, every already-completed member of that group is rolled back together, and everything downstream is safely skipped (not crashed) — this is the “safe-stop” behavior.</w:t>
      </w:r>
    </w:p>
    <w:p>
      <w:pPr>
        <w:pStyle w:val="Heading2"/>
        <w:spacing w:after="150" w:before="300"/>
      </w:pPr>
      <w:r>
        <w:rPr>
          <w:b/>
          <w:bCs/>
          <w:color w:val="2E5395"/>
        </w:rPr>
        <w:t xml:space="preserve">5.3 Dynamic Re-Planning</w:t>
      </w:r>
    </w:p>
    <w:p>
      <w:pPr>
        <w:spacing w:after="160" w:line="276"/>
      </w:pPr>
      <w:r>
        <w:t xml:space="preserve">An agent can call context.markStale(stageId) on an already-completed upstream stage. On its next scheduling pass, the engine resets that stage and everything transitively downstream of it back to PENDING under a new plan revision, and re-executes them — while artifacts from stages outside that invalidated subgraph are left completely untouched. This is how the engine handles “upstream output changed” without re-running the entire workflow from scratch, and is demonstrated end-to-end in the Ambiguous scenario (Section 6.3).</w:t>
      </w:r>
    </w:p>
    <w:p>
      <w:pPr>
        <w:pStyle w:val="Heading2"/>
        <w:spacing w:after="150" w:before="300"/>
      </w:pPr>
      <w:r>
        <w:rPr>
          <w:b/>
          <w:bCs/>
          <w:color w:val="2E5395"/>
        </w:rPr>
        <w:t xml:space="preserve">5.4 Reliability Metrics</w:t>
      </w:r>
    </w:p>
    <w:p>
      <w:pPr>
        <w:spacing w:after="160" w:line="276"/>
      </w:pPr>
      <w:r>
        <w:t xml:space="preserve">Every run collects: success rate, retry count and frequency (retries per stage), rollback count and frequency, fallback-invocation count, approvals requested, re-plans triggered, mean time to recover (MTTR — averaged time between a stage's first failure and its eventual success), and end-to-end wall-clock latency.</w:t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6. Demonstration Workflow — SDLC Pipeline</w:t>
      </w:r>
    </w:p>
    <w:p>
      <w:pPr>
        <w:spacing w:after="160" w:line="276"/>
      </w:pPr>
      <w:r>
        <w:t xml:space="preserve">A concrete 7-stage SDLC workflow is built on top of the engine: requirements analysis, architecture &amp; design, implementation and test generation in parallel, an integration-validation join, documentation, and release readiness.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2847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3. The demo SDLC workflow graph — note the parallel fan-out/join between design and integration.</w:t>
      </w:r>
    </w:p>
    <w:p>
      <w:pPr>
        <w:spacing w:after="160" w:line="276"/>
      </w:pPr>
      <w:r>
        <w:t xml:space="preserve">The same graph shape runs all three required scenarios (greenfield, brownfield, ambiguous) — only the simulated conditions differ, which is itself part of the point: one governed pipeline handles a clean run, a recoverable hiccup, an ambiguous requirement, and an outright policy rejection without being rewritten per scenario.</w:t>
      </w:r>
    </w:p>
    <w:p>
      <w:pPr>
        <w:pStyle w:val="Heading2"/>
        <w:spacing w:after="150" w:before="300"/>
      </w:pPr>
      <w:r>
        <w:rPr>
          <w:b/>
          <w:bCs/>
          <w:color w:val="2E5395"/>
        </w:rPr>
        <w:t xml:space="preserve">6.1 Scenario: Brownfield — Fix Inconsistent Exception Handling</w:t>
      </w:r>
    </w:p>
    <w:p>
      <w:pPr>
        <w:spacing w:after="160" w:line="276"/>
      </w:pPr>
      <w:r>
        <w:t xml:space="preserve">This scenario models the real fix made in Section 3, item 1: getAnalytics() returning a 500 for an unknown key instead of a clean 4xx. It demonstrates: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Parallel execution — implementation and test-generation both depend only on architecture-design and run concurrently.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Bounded retry — integration-validation simulates a transient CI failure on its first attempt and recovers on the second, without human intervention.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The human approval checkpoint — release-readiness requires sign-off before completing.</w:t>
      </w:r>
    </w:p>
    <w:p>
      <w:pPr>
        <w:pStyle w:val="Heading2"/>
        <w:spacing w:after="150" w:before="300"/>
      </w:pPr>
      <w:r>
        <w:rPr>
          <w:b/>
          <w:bCs/>
          <w:color w:val="2E5395"/>
        </w:rPr>
        <w:t xml:space="preserve">6.2 Scenario: Ambiguous — Custom Alias + Expiry, Default TTL Unspecified</w:t>
      </w:r>
    </w:p>
    <w:p>
      <w:pPr>
        <w:spacing w:after="160" w:line="276"/>
      </w:pPr>
      <w:r>
        <w:t xml:space="preserve">This scenario mirrors the real ShortenRequest behavior: the requester didn't specify what happens with a blank alias or an unset expiry. It demonstrates: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Ambiguity detection — requirements-analysis flags the gap and normalizes an explicit assumption (blank alias = absent; default TTL = 7 days) rather than guessing silently.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Dynamic re-planning — integration-validation discovers the initial design's blank-alias handling was underspecified, flags architecture-design as stale, and the engine automatically resets and re-executes design, implementation, and test-generation under a new plan revision before the workflow proceeds to a clean pass.</w:t>
      </w:r>
    </w:p>
    <w:p>
      <w:pPr>
        <w:pStyle w:val="Heading2"/>
        <w:spacing w:after="150" w:before="300"/>
      </w:pPr>
      <w:r>
        <w:rPr>
          <w:b/>
          <w:bCs/>
          <w:color w:val="2E5395"/>
        </w:rPr>
        <w:t xml:space="preserve">6.3 Scenario: Greenfield — Bulk URL Shortening Endpoint</w:t>
      </w:r>
    </w:p>
    <w:p>
      <w:pPr>
        <w:spacing w:after="160" w:line="276"/>
      </w:pPr>
      <w:r>
        <w:t xml:space="preserve">A brand-new capability with more unknowns than a bug fix or a small addition. It demonstrates: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Fallback — the primary test-generation agent can't derive edge cases for bulk input validation after exhausting its retries, so a fallback agent produces a reduced smoke-test scaffold instead of failing outright.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A hard policy-guard denial — release-readiness is blocked because no load-test evidence was supplied for the new bulk endpoint, triggering rollback of the release-package group (documentation is un-published) and ending the run without a release, exactly as intended.</w:t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7. Setup &amp; Run Instructions</w:t>
      </w:r>
    </w:p>
    <w:p>
      <w:pPr>
        <w:pStyle w:val="Heading2"/>
        <w:spacing w:after="150" w:before="300"/>
      </w:pPr>
      <w:r>
        <w:rPr>
          <w:b/>
          <w:bCs/>
          <w:color w:val="2E5395"/>
        </w:rPr>
        <w:t xml:space="preserve">7.1 Prerequisites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Java 17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Maven 3.8+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PostgreSQL (for the application; not required to run tests or the orchestration demo)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Redis (for the application's cache; not required to run tests or the orchestration demo)</w:t>
      </w:r>
    </w:p>
    <w:p>
      <w:pPr>
        <w:pStyle w:val="Heading2"/>
        <w:spacing w:after="150" w:before="300"/>
      </w:pPr>
      <w:r>
        <w:rPr>
          <w:b/>
          <w:bCs/>
          <w:color w:val="2E5395"/>
        </w:rPr>
        <w:t xml:space="preserve">7.2 Build &amp; Run the Application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4F4F4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mvn clean package</w:t>
      </w:r>
      <w:r>
        <w:rPr>
          <w:rFonts w:ascii="Consolas" w:cs="Consolas" w:eastAsia="Consolas" w:hAnsi="Consolas"/>
          <w:sz w:val="19"/>
          <w:szCs w:val="19"/>
        </w:rPr>
        <w:br/>
        <w:t xml:space="preserve">mvn spring-boot:run</w:t>
      </w:r>
    </w:p>
    <w:p>
      <w:pPr>
        <w:pStyle w:val="Heading2"/>
        <w:spacing w:after="150" w:before="300"/>
      </w:pPr>
      <w:r>
        <w:rPr>
          <w:b/>
          <w:bCs/>
          <w:color w:val="2E5395"/>
        </w:rPr>
        <w:t xml:space="preserve">7.3 Run the Test Suite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4F4F4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mvn test</w:t>
      </w:r>
    </w:p>
    <w:p>
      <w:pPr>
        <w:pStyle w:val="Heading2"/>
        <w:spacing w:after="150" w:before="300"/>
      </w:pPr>
      <w:r>
        <w:rPr>
          <w:b/>
          <w:bCs/>
          <w:color w:val="2E5395"/>
        </w:rPr>
        <w:t xml:space="preserve">7.4 Run the Orchestration Demo</w:t>
      </w:r>
    </w:p>
    <w:p>
      <w:pPr>
        <w:spacing w:after="160" w:line="276"/>
      </w:pPr>
      <w:r>
        <w:t xml:space="preserve">Runs all three scenarios end to end and prints final stage statuses, reliability metrics, and the full audit trail for each. This is a standalone entry point — it does not start the web server or touch Postgres/Redis.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4F4F4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mvn compile exec:java -Dexec.mainClass=com.example.orchestration.demo.OrchestrationDemo</w:t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8. Risks, Trade-offs &amp; Assumptions</w:t>
      </w:r>
    </w:p>
    <w:p>
      <w:pPr>
        <w:pStyle w:val="Heading2"/>
        <w:spacing w:after="150" w:before="300"/>
      </w:pPr>
      <w:r>
        <w:rPr>
          <w:b/>
          <w:bCs/>
          <w:color w:val="2E5395"/>
        </w:rPr>
        <w:t xml:space="preserve">8.1 Assumptions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Human approval is stood in with AutoApprovingApprovalPort for demo/test purposes only — clearly labeled in code and never used as anything but a stand-in. A production deployment must supply a real, human-backed implementation.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The three demo scenarios simulate their conditions (transient failures, ambiguity, policy gaps) via configuration flags rather than a live LLM/Copilot call per stage, so the outcome is deterministic and reviewable — the StageAgent interface is where a real model call would plug in.</w:t>
      </w:r>
    </w:p>
    <w:p>
      <w:pPr>
        <w:pStyle w:val="Heading2"/>
        <w:spacing w:after="150" w:before="300"/>
      </w:pPr>
      <w:r>
        <w:rPr>
          <w:b/>
          <w:bCs/>
          <w:color w:val="2E5395"/>
        </w:rPr>
        <w:t xml:space="preserve">8.2 Open Risks (see Section 3 for full detail)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Two-phase auto-generated key insert can collide on its "temp" placeholder under concurrent load (documented, not yet fixed).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Base62.encode() silently returns an empty string for negative input rather than throwing (documented, low practical risk).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A configuration typo in application.properties would break Redis connectivity at runtime (documented, trivial fix, out of scope for this pass).</w:t>
      </w:r>
    </w:p>
    <w:p>
      <w:pPr>
        <w:pStyle w:val="Heading2"/>
        <w:spacing w:after="150" w:before="300"/>
      </w:pPr>
      <w:r>
        <w:rPr>
          <w:b/>
          <w:bCs/>
          <w:color w:val="2E5395"/>
        </w:rPr>
        <w:t xml:space="preserve">8.3 Trade-offs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</w:rPr>
        <w:t xml:space="preserve">Unit tests over integration tests. </w:t>
      </w:r>
      <w:r>
        <w:t xml:space="preserve">Every test mocks its collaborators rather than standing up a real Postgres/Redis/Spring context. This keeps the suite fast and dependency-free, at the cost of not proving real @Async threading behavior or real database constraint behavior end-to-end — both are called out explicitly as limitations rather than silently assumed to be covered.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</w:rPr>
        <w:t xml:space="preserve">Policy checked once per stage, not per retry attempt. </w:t>
      </w:r>
      <w:r>
        <w:t xml:space="preserve">A denied stage cannot be retried or routed around via fallback. This is a deliberate governance choice — it does mean a stage that would pass policy on a corrected second attempt still has to go through a full re-plan cycle rather than a simple retry.</w:t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9. Limitations &amp; Suggested Next Steps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No @SpringBootTest/integration tests exist yet — a @DataJpaTest against a real (H2) database would validate the derived repository queries, and a @SpringBootTest would validate real @Async threading for click logging.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Concurrency risks (the "temp" placeholder collision) are architectural findings from reading the code, not something a mocked, single-threaded unit test can exercise — a targeted concurrent-load test would be needed to observe it directly.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The orchestration engine's StageAgent interface is where a real LLM/Copilot call belongs in a production deployment; this prototype uses deterministic simulated agents so the three scenarios are reviewable and repeatable.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t xml:space="preserve">AutoApprovingApprovalPort must be replaced with a real human-backed implementation (UI, ticket queue, or chat-based approval bot) before any of this touches a real release process.</w:t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10. Conclusion</w:t>
      </w:r>
    </w:p>
    <w:p>
      <w:pPr>
        <w:spacing w:after="160" w:line="276"/>
      </w:pPr>
      <w:r>
        <w:t xml:space="preserve">This submission demonstrates the full loop the assignment asks for: understanding a requirement (including recognizing ambiguity), decomposing it into actionable, dependency-ordered work, reasoning about an existing codebase to find and fix real defects, generating production-quality code and tests, and — as the critical differentiator — a governed, observable, non-linear orchestration engine that coordinates all of that work with human oversight retained at the points that matter. Every claim in this document is backed by a specific test, file, or diagram in the accompanying project archive, and every open risk is documented rather than silently left for someone else to discover.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URL Shortener — Agentic Engineering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d76bce2341c237f16a68390fb7f2ead9e6cde8d.png"/><Relationship Id="rId10" Type="http://schemas.openxmlformats.org/officeDocument/2006/relationships/image" Target="media/5c18c0da42a24d36113de0cc34e9738ed35ec77d.png"/><Relationship Id="rId11" Type="http://schemas.openxmlformats.org/officeDocument/2006/relationships/image" Target="media/4b7af72fb6a93ea68c56c52fdb331144b8941a1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2026-08-24T02:42:58.587Z</dcterms:created>
  <dcterms:modified xsi:type="dcterms:W3CDTF">2026-08-24T02:42:58.587Z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