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873FF" w14:textId="7588C724" w:rsidR="00F75079" w:rsidRDefault="007C568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Statement:</w:t>
      </w:r>
      <w:r w:rsidRPr="007C5688">
        <w:rPr>
          <w:rFonts w:ascii="Calibri" w:hAnsi="Calibri" w:cs="Calibri"/>
          <w:sz w:val="22"/>
          <w:szCs w:val="22"/>
        </w:rPr>
        <w:t xml:space="preserve"> Exposing</w:t>
      </w:r>
      <w:r>
        <w:rPr>
          <w:rFonts w:ascii="Calibri" w:hAnsi="Calibri" w:cs="Calibri"/>
          <w:sz w:val="22"/>
          <w:szCs w:val="22"/>
        </w:rPr>
        <w:t xml:space="preserve"> a single click ‘summarize’ button will increase search session success and reduce time to information without degrading the browser responsiveness or other core features.</w:t>
      </w:r>
    </w:p>
    <w:p w14:paraId="258C1160" w14:textId="016F663C" w:rsidR="007C5688" w:rsidRDefault="007C568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Null Hypothesis: Adding the “summarize” button has no effect on the task success rate </w:t>
      </w:r>
      <w:proofErr w:type="spellStart"/>
      <w:r>
        <w:rPr>
          <w:rFonts w:ascii="Calibri" w:hAnsi="Calibri" w:cs="Calibri"/>
          <w:sz w:val="22"/>
          <w:szCs w:val="22"/>
        </w:rPr>
        <w:t xml:space="preserve">compared </w:t>
      </w:r>
      <w:proofErr w:type="spellEnd"/>
      <w:r>
        <w:rPr>
          <w:rFonts w:ascii="Calibri" w:hAnsi="Calibri" w:cs="Calibri"/>
          <w:sz w:val="22"/>
          <w:szCs w:val="22"/>
        </w:rPr>
        <w:t xml:space="preserve">to the existing layout. </w:t>
      </w:r>
    </w:p>
    <w:p w14:paraId="231D90F1" w14:textId="3BB87EA0" w:rsidR="007C5688" w:rsidRDefault="007C568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Alternative Hypothesis: Button creates a real difference, helping </w:t>
      </w:r>
      <w:proofErr w:type="gramStart"/>
      <w:r>
        <w:rPr>
          <w:rFonts w:ascii="Calibri" w:hAnsi="Calibri" w:cs="Calibri"/>
          <w:sz w:val="22"/>
          <w:szCs w:val="22"/>
        </w:rPr>
        <w:t>users</w:t>
      </w:r>
      <w:proofErr w:type="gramEnd"/>
      <w:r>
        <w:rPr>
          <w:rFonts w:ascii="Calibri" w:hAnsi="Calibri" w:cs="Calibri"/>
          <w:sz w:val="22"/>
          <w:szCs w:val="22"/>
        </w:rPr>
        <w:t xml:space="preserve"> complete tasks at a higher rate.</w:t>
      </w:r>
    </w:p>
    <w:p w14:paraId="06363367" w14:textId="77777777" w:rsidR="007C5688" w:rsidRDefault="007C5688">
      <w:pPr>
        <w:rPr>
          <w:rFonts w:ascii="Calibri" w:hAnsi="Calibri" w:cs="Calibri"/>
          <w:sz w:val="22"/>
          <w:szCs w:val="22"/>
        </w:rPr>
      </w:pPr>
    </w:p>
    <w:p w14:paraId="12E4E527" w14:textId="36B7D986" w:rsidR="007C5688" w:rsidRDefault="007C568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Parameters Used</w:t>
      </w:r>
    </w:p>
    <w:p w14:paraId="056B1605" w14:textId="77777777" w:rsidR="00931901" w:rsidRDefault="00931901">
      <w:pPr>
        <w:rPr>
          <w:rFonts w:ascii="Calibri" w:hAnsi="Calibri" w:cs="Calibr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03013" w14:paraId="244EC460" w14:textId="77777777" w:rsidTr="00203013">
        <w:tc>
          <w:tcPr>
            <w:tcW w:w="3116" w:type="dxa"/>
          </w:tcPr>
          <w:p w14:paraId="54E70D1E" w14:textId="045FC140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Parameter</w:t>
            </w:r>
          </w:p>
        </w:tc>
        <w:tc>
          <w:tcPr>
            <w:tcW w:w="3117" w:type="dxa"/>
          </w:tcPr>
          <w:p w14:paraId="3EEF242C" w14:textId="117B9157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Value</w:t>
            </w:r>
          </w:p>
        </w:tc>
        <w:tc>
          <w:tcPr>
            <w:tcW w:w="3117" w:type="dxa"/>
          </w:tcPr>
          <w:p w14:paraId="774B7184" w14:textId="6D437D04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Rationale</w:t>
            </w:r>
          </w:p>
        </w:tc>
      </w:tr>
      <w:tr w:rsidR="00203013" w14:paraId="2C0349E7" w14:textId="77777777" w:rsidTr="00203013">
        <w:tc>
          <w:tcPr>
            <w:tcW w:w="3116" w:type="dxa"/>
          </w:tcPr>
          <w:p w14:paraId="7CD04E3E" w14:textId="148D8997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Unit of Randomization</w:t>
            </w:r>
          </w:p>
        </w:tc>
        <w:tc>
          <w:tcPr>
            <w:tcW w:w="3117" w:type="dxa"/>
          </w:tcPr>
          <w:p w14:paraId="5E56A9A4" w14:textId="392976ED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Client ID</w:t>
            </w:r>
          </w:p>
        </w:tc>
        <w:tc>
          <w:tcPr>
            <w:tcW w:w="3117" w:type="dxa"/>
          </w:tcPr>
          <w:p w14:paraId="3DB6E1DA" w14:textId="2B2EAB34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Long term retention measurement.</w:t>
            </w:r>
          </w:p>
        </w:tc>
      </w:tr>
      <w:tr w:rsidR="00203013" w14:paraId="34272CDE" w14:textId="77777777" w:rsidTr="00203013">
        <w:tc>
          <w:tcPr>
            <w:tcW w:w="3116" w:type="dxa"/>
          </w:tcPr>
          <w:p w14:paraId="1536F75D" w14:textId="66737433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Significance Level (alpha)</w:t>
            </w:r>
          </w:p>
        </w:tc>
        <w:tc>
          <w:tcPr>
            <w:tcW w:w="3117" w:type="dxa"/>
          </w:tcPr>
          <w:p w14:paraId="78BC7975" w14:textId="7B98CDC6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0.05</w:t>
            </w:r>
          </w:p>
        </w:tc>
        <w:tc>
          <w:tcPr>
            <w:tcW w:w="3117" w:type="dxa"/>
          </w:tcPr>
          <w:p w14:paraId="718C7310" w14:textId="7471E8C7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5% tolerance for Type I false-positive error.</w:t>
            </w:r>
          </w:p>
        </w:tc>
      </w:tr>
      <w:tr w:rsidR="00203013" w14:paraId="6FF74C6E" w14:textId="77777777" w:rsidTr="00203013">
        <w:tc>
          <w:tcPr>
            <w:tcW w:w="3116" w:type="dxa"/>
          </w:tcPr>
          <w:p w14:paraId="5DF10475" w14:textId="3BF33BCA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Statistical Power (1-b)</w:t>
            </w:r>
          </w:p>
        </w:tc>
        <w:tc>
          <w:tcPr>
            <w:tcW w:w="3117" w:type="dxa"/>
          </w:tcPr>
          <w:p w14:paraId="0244E51C" w14:textId="45AFACBE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0.80</w:t>
            </w:r>
          </w:p>
        </w:tc>
        <w:tc>
          <w:tcPr>
            <w:tcW w:w="3117" w:type="dxa"/>
          </w:tcPr>
          <w:p w14:paraId="2816062A" w14:textId="74EAB97C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20% tolerance for type 2 false negative error</w:t>
            </w:r>
          </w:p>
        </w:tc>
      </w:tr>
      <w:tr w:rsidR="00203013" w14:paraId="1B10CC69" w14:textId="77777777" w:rsidTr="00203013">
        <w:tc>
          <w:tcPr>
            <w:tcW w:w="3116" w:type="dxa"/>
          </w:tcPr>
          <w:p w14:paraId="4E267F83" w14:textId="480F701B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Baseline Success (p1)</w:t>
            </w:r>
          </w:p>
        </w:tc>
        <w:tc>
          <w:tcPr>
            <w:tcW w:w="3117" w:type="dxa"/>
          </w:tcPr>
          <w:p w14:paraId="35F6B38F" w14:textId="0FFD00A5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60%</w:t>
            </w:r>
          </w:p>
        </w:tc>
        <w:tc>
          <w:tcPr>
            <w:tcW w:w="3117" w:type="dxa"/>
          </w:tcPr>
          <w:p w14:paraId="54534F29" w14:textId="42758521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Historical search session rate.</w:t>
            </w:r>
          </w:p>
        </w:tc>
      </w:tr>
      <w:tr w:rsidR="00203013" w14:paraId="29E8262A" w14:textId="77777777" w:rsidTr="00203013">
        <w:tc>
          <w:tcPr>
            <w:tcW w:w="3116" w:type="dxa"/>
          </w:tcPr>
          <w:p w14:paraId="41FF87D0" w14:textId="67363823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Minimum Detectable Effect</w:t>
            </w:r>
          </w:p>
        </w:tc>
        <w:tc>
          <w:tcPr>
            <w:tcW w:w="3117" w:type="dxa"/>
          </w:tcPr>
          <w:p w14:paraId="030A05D7" w14:textId="79CFC203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1%</w:t>
            </w:r>
          </w:p>
        </w:tc>
        <w:tc>
          <w:tcPr>
            <w:tcW w:w="3117" w:type="dxa"/>
          </w:tcPr>
          <w:p w14:paraId="328EC353" w14:textId="5F9C884D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Smallest impact justifiable against UI real estate cost.</w:t>
            </w:r>
          </w:p>
        </w:tc>
      </w:tr>
      <w:tr w:rsidR="00203013" w14:paraId="1789AE5F" w14:textId="77777777" w:rsidTr="00203013">
        <w:tc>
          <w:tcPr>
            <w:tcW w:w="3116" w:type="dxa"/>
          </w:tcPr>
          <w:p w14:paraId="2BEB2607" w14:textId="76E86FE1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Required Sample Size</w:t>
            </w:r>
          </w:p>
        </w:tc>
        <w:tc>
          <w:tcPr>
            <w:tcW w:w="3117" w:type="dxa"/>
          </w:tcPr>
          <w:p w14:paraId="771E9E20" w14:textId="5015593A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110,000 per group</w:t>
            </w:r>
          </w:p>
        </w:tc>
        <w:tc>
          <w:tcPr>
            <w:tcW w:w="3117" w:type="dxa"/>
          </w:tcPr>
          <w:p w14:paraId="6CA52BAE" w14:textId="396B0A41" w:rsidR="00203013" w:rsidRDefault="00203013" w:rsidP="00203013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Statistically calculated, 2-sample z-test formula.</w:t>
            </w:r>
          </w:p>
        </w:tc>
      </w:tr>
    </w:tbl>
    <w:p w14:paraId="774C7638" w14:textId="50F19853" w:rsidR="00203013" w:rsidRPr="007C5688" w:rsidRDefault="00203013">
      <w:pPr>
        <w:rPr>
          <w:rFonts w:ascii="Calibri" w:hAnsi="Calibri" w:cs="Calibri"/>
          <w:sz w:val="22"/>
          <w:szCs w:val="22"/>
        </w:rPr>
      </w:pPr>
    </w:p>
    <w:sectPr w:rsidR="00203013" w:rsidRPr="007C5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688"/>
    <w:rsid w:val="00030D7B"/>
    <w:rsid w:val="00203013"/>
    <w:rsid w:val="002D0CCD"/>
    <w:rsid w:val="002F689A"/>
    <w:rsid w:val="0038347C"/>
    <w:rsid w:val="007C5688"/>
    <w:rsid w:val="00931901"/>
    <w:rsid w:val="00BE1BE9"/>
    <w:rsid w:val="00DB6BBF"/>
    <w:rsid w:val="00F75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3D95B"/>
  <w15:chartTrackingRefBased/>
  <w15:docId w15:val="{F128CCD9-FE11-A546-B09F-D61A5234B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6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3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 Bhaiya</dc:creator>
  <cp:keywords/>
  <dc:description/>
  <cp:lastModifiedBy>Soumya Bhaiya</cp:lastModifiedBy>
  <cp:revision>4</cp:revision>
  <dcterms:created xsi:type="dcterms:W3CDTF">2026-09-21T17:56:00Z</dcterms:created>
  <dcterms:modified xsi:type="dcterms:W3CDTF">2026-09-21T19:00:00Z</dcterms:modified>
</cp:coreProperties>
</file>