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C13F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A1A2E"/>
            <w:tcMar>
              <w:top w:w="200" w:type="dxa"/>
              <w:left w:w="250" w:type="dxa"/>
              <w:bottom w:w="200" w:type="dxa"/>
              <w:right w:w="250" w:type="dxa"/>
            </w:tcMar>
          </w:tcPr>
          <w:p w14:paraId="71633D50">
            <w:pPr>
              <w:spacing w:before="80" w:after="60"/>
            </w:pPr>
            <w:r>
              <w:rPr>
                <w:rFonts w:ascii="Arial" w:hAnsi="Arial" w:eastAsia="Arial" w:cs="Arial"/>
                <w:b/>
                <w:bCs/>
                <w:color w:val="FFFFFF"/>
                <w:sz w:val="48"/>
                <w:szCs w:val="48"/>
              </w:rPr>
              <w:t>PRODUCT TEARDOWN</w:t>
            </w:r>
          </w:p>
          <w:p w14:paraId="5E4A57E2">
            <w:pPr>
              <w:spacing w:before="0" w:after="80"/>
            </w:pPr>
            <w:r>
              <w:rPr>
                <w:rFonts w:ascii="Arial" w:hAnsi="Arial" w:eastAsia="Arial" w:cs="Arial"/>
                <w:b/>
                <w:bCs/>
                <w:color w:val="A5B4FC"/>
                <w:sz w:val="60"/>
                <w:szCs w:val="60"/>
              </w:rPr>
              <w:t>Subspace.money</w:t>
            </w:r>
          </w:p>
          <w:p w14:paraId="58C86B4E">
            <w:pPr>
              <w:spacing w:before="0" w:after="120"/>
            </w:pPr>
            <w:r>
              <w:rPr>
                <w:rFonts w:ascii="Arial" w:hAnsi="Arial" w:eastAsia="Arial" w:cs="Arial"/>
                <w:i/>
                <w:iCs/>
                <w:color w:val="CCCCCC"/>
                <w:sz w:val="22"/>
                <w:szCs w:val="22"/>
              </w:rPr>
              <w:t>Subscribe to anything, delivered in minutes  ·  Subscriptions · Sharing · Rentals</w:t>
            </w:r>
          </w:p>
          <w:p w14:paraId="63851E52">
            <w:pPr>
              <w:spacing w:before="60" w:after="40"/>
            </w:pPr>
            <w:r>
              <w:rPr>
                <w:rFonts w:ascii="Arial" w:hAnsi="Arial" w:eastAsia="Arial" w:cs="Arial"/>
                <w:color w:val="AAAAAA"/>
                <w:sz w:val="20"/>
                <w:szCs w:val="20"/>
              </w:rPr>
              <w:t xml:space="preserve">Prepared by: </w:t>
            </w:r>
            <w:r>
              <w:rPr>
                <w:rFonts w:ascii="Arial" w:hAnsi="Arial" w:eastAsia="Arial" w:cs="Arial"/>
                <w:b/>
                <w:bCs/>
                <w:color w:val="FFFFFF"/>
                <w:sz w:val="20"/>
                <w:szCs w:val="20"/>
              </w:rPr>
              <w:t>Soumya</w:t>
            </w:r>
            <w:r>
              <w:rPr>
                <w:rFonts w:hint="default" w:cs="Arial"/>
                <w:b/>
                <w:bCs/>
                <w:color w:val="FFFFFF"/>
                <w:sz w:val="20"/>
                <w:szCs w:val="20"/>
                <w:lang w:val="en-IN"/>
              </w:rPr>
              <w:t xml:space="preserve"> Kumar Mishra</w:t>
            </w:r>
            <w:r>
              <w:rPr>
                <w:rFonts w:ascii="Arial" w:hAnsi="Arial" w:eastAsia="Arial" w:cs="Arial"/>
                <w:b/>
                <w:bCs/>
                <w:color w:val="FFFFFF"/>
                <w:sz w:val="20"/>
                <w:szCs w:val="20"/>
              </w:rPr>
              <w:t xml:space="preserve">  </w:t>
            </w:r>
            <w:r>
              <w:rPr>
                <w:rFonts w:ascii="Arial" w:hAnsi="Arial" w:eastAsia="Arial" w:cs="Arial"/>
                <w:color w:val="AAAAAA"/>
                <w:sz w:val="20"/>
                <w:szCs w:val="20"/>
              </w:rPr>
              <w:t xml:space="preserve">   |   KIIT University, CS 2026</w:t>
            </w:r>
          </w:p>
          <w:p w14:paraId="7E421532">
            <w:pPr>
              <w:spacing w:before="0" w:after="80"/>
            </w:pPr>
            <w:r>
              <w:rPr>
                <w:rFonts w:ascii="Arial" w:hAnsi="Arial" w:eastAsia="Arial" w:cs="Arial"/>
                <w:color w:val="AAAAAA"/>
                <w:sz w:val="20"/>
                <w:szCs w:val="20"/>
              </w:rPr>
              <w:t xml:space="preserve">Submission: </w:t>
            </w:r>
            <w:r>
              <w:rPr>
                <w:rFonts w:ascii="Arial" w:hAnsi="Arial" w:eastAsia="Arial" w:cs="Arial"/>
                <w:color w:val="FFFFFF"/>
                <w:sz w:val="20"/>
                <w:szCs w:val="20"/>
              </w:rPr>
              <w:t>Product Intern Assignment  —  May 31, 2026</w:t>
            </w:r>
          </w:p>
        </w:tc>
      </w:tr>
    </w:tbl>
    <w:p w14:paraId="4F81F398">
      <w:pPr>
        <w:spacing w:before="240" w:after="0"/>
      </w:pPr>
    </w:p>
    <w:p w14:paraId="05AAA252">
      <w:pPr>
        <w:spacing w:before="240" w:after="120"/>
      </w:pPr>
      <w:r>
        <w:rPr>
          <w:rFonts w:ascii="Arial" w:hAnsi="Arial" w:eastAsia="Arial" w:cs="Arial"/>
          <w:b/>
          <w:bCs/>
          <w:color w:val="4F46E5"/>
          <w:sz w:val="28"/>
          <w:szCs w:val="28"/>
        </w:rPr>
        <w:t>Company Snapshot</w:t>
      </w:r>
    </w:p>
    <w:p w14:paraId="5E997343">
      <w:pPr>
        <w:pBdr>
          <w:bottom w:val="single" w:color="4F46E5" w:sz="4" w:space="1"/>
        </w:pBd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860"/>
      </w:tblGrid>
      <w:tr w14:paraId="1D81B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nil"/>
              <w:left w:val="nil"/>
              <w:bottom w:val="nil"/>
              <w:right w:val="nil"/>
            </w:tcBorders>
            <w:tcMar>
              <w:top w:w="80" w:type="dxa"/>
              <w:left w:w="0" w:type="dxa"/>
              <w:bottom w:w="80" w:type="dxa"/>
              <w:right w:w="200" w:type="dxa"/>
            </w:tcMar>
          </w:tcPr>
          <w:p w14:paraId="662E11A4">
            <w:pPr>
              <w:spacing w:before="80" w:after="40"/>
            </w:pPr>
            <w:r>
              <w:rPr>
                <w:rFonts w:ascii="Arial" w:hAnsi="Arial" w:eastAsia="Arial" w:cs="Arial"/>
                <w:b/>
                <w:bCs/>
                <w:caps/>
                <w:color w:val="333333"/>
                <w:sz w:val="20"/>
                <w:szCs w:val="20"/>
              </w:rPr>
              <w:t>What They Do</w:t>
            </w:r>
          </w:p>
          <w:p w14:paraId="270B56C2">
            <w:pPr>
              <w:spacing w:before="60" w:after="60"/>
              <w:jc w:val="left"/>
            </w:pPr>
            <w:r>
              <w:rPr>
                <w:rFonts w:ascii="Arial" w:hAnsi="Arial" w:eastAsia="Arial" w:cs="Arial"/>
                <w:b w:val="0"/>
                <w:bCs w:val="0"/>
                <w:i w:val="0"/>
                <w:iCs w:val="0"/>
                <w:color w:val="333333"/>
                <w:sz w:val="22"/>
                <w:szCs w:val="22"/>
              </w:rPr>
              <w:t>Subspace.money is India’s first subscr</w:t>
            </w:r>
            <w:bookmarkStart w:id="0" w:name="_GoBack"/>
            <w:bookmarkEnd w:id="0"/>
            <w:r>
              <w:rPr>
                <w:rFonts w:ascii="Arial" w:hAnsi="Arial" w:eastAsia="Arial" w:cs="Arial"/>
                <w:b w:val="0"/>
                <w:bCs w:val="0"/>
                <w:i w:val="0"/>
                <w:iCs w:val="0"/>
                <w:color w:val="333333"/>
                <w:sz w:val="22"/>
                <w:szCs w:val="22"/>
              </w:rPr>
              <w:t>iption management and group savings platform. Users can subscribe, rent, share, and gift digital and local services — all in one place. The app also features a Negotiate API that claims to auto-negotiate prices with brands on the user’s behalf.</w:t>
            </w:r>
          </w:p>
          <w:p w14:paraId="11E360DC">
            <w:pPr>
              <w:spacing w:before="80"/>
            </w:pPr>
          </w:p>
          <w:p w14:paraId="09B50832">
            <w:pPr>
              <w:spacing w:before="80" w:after="40"/>
            </w:pPr>
            <w:r>
              <w:rPr>
                <w:rFonts w:ascii="Arial" w:hAnsi="Arial" w:eastAsia="Arial" w:cs="Arial"/>
                <w:b/>
                <w:bCs/>
                <w:caps/>
                <w:color w:val="333333"/>
                <w:sz w:val="20"/>
                <w:szCs w:val="20"/>
              </w:rPr>
              <w:t>Key Numbers</w:t>
            </w:r>
          </w:p>
          <w:p w14:paraId="4D04ECBF">
            <w:pPr>
              <w:pStyle w:val="16"/>
              <w:numPr>
                <w:ilvl w:val="0"/>
                <w:numId w:val="1"/>
              </w:numPr>
              <w:spacing w:before="40" w:after="40"/>
            </w:pPr>
            <w:r>
              <w:rPr>
                <w:rFonts w:ascii="Arial" w:hAnsi="Arial" w:eastAsia="Arial" w:cs="Arial"/>
                <w:color w:val="333333"/>
                <w:sz w:val="22"/>
                <w:szCs w:val="22"/>
              </w:rPr>
              <w:t>Revenue: ₹36.5 Cr ARR (FY25)</w:t>
            </w:r>
          </w:p>
          <w:p w14:paraId="64B4F640">
            <w:pPr>
              <w:pStyle w:val="16"/>
              <w:numPr>
                <w:ilvl w:val="0"/>
                <w:numId w:val="1"/>
              </w:numPr>
              <w:spacing w:before="40" w:after="40"/>
            </w:pPr>
            <w:r>
              <w:rPr>
                <w:rFonts w:ascii="Arial" w:hAnsi="Arial" w:eastAsia="Arial" w:cs="Arial"/>
                <w:color w:val="333333"/>
                <w:sz w:val="22"/>
                <w:szCs w:val="22"/>
              </w:rPr>
              <w:t>Founded: 2021 | Headquarters: Bengaluru</w:t>
            </w:r>
          </w:p>
          <w:p w14:paraId="41939F8D">
            <w:pPr>
              <w:pStyle w:val="16"/>
              <w:numPr>
                <w:ilvl w:val="0"/>
                <w:numId w:val="1"/>
              </w:numPr>
              <w:spacing w:before="40" w:after="40"/>
            </w:pPr>
            <w:r>
              <w:rPr>
                <w:rFonts w:ascii="Arial" w:hAnsi="Arial" w:eastAsia="Arial" w:cs="Arial"/>
                <w:color w:val="333333"/>
                <w:sz w:val="22"/>
                <w:szCs w:val="22"/>
              </w:rPr>
              <w:t>Founders: IIT Madras alumni (NLP + finance background)</w:t>
            </w:r>
          </w:p>
          <w:p w14:paraId="4927A245">
            <w:pPr>
              <w:pStyle w:val="16"/>
              <w:numPr>
                <w:ilvl w:val="0"/>
                <w:numId w:val="1"/>
              </w:numPr>
              <w:spacing w:before="40" w:after="40"/>
            </w:pPr>
            <w:r>
              <w:rPr>
                <w:rFonts w:ascii="Arial" w:hAnsi="Arial" w:eastAsia="Arial" w:cs="Arial"/>
                <w:color w:val="333333"/>
                <w:sz w:val="22"/>
                <w:szCs w:val="22"/>
              </w:rPr>
              <w:t>Bootstrapped &amp; profitable — rare in Indian consumer fintech</w:t>
            </w:r>
          </w:p>
          <w:p w14:paraId="0D7BACF3">
            <w:pPr>
              <w:pStyle w:val="16"/>
              <w:numPr>
                <w:ilvl w:val="0"/>
                <w:numId w:val="1"/>
              </w:numPr>
              <w:spacing w:before="40" w:after="40"/>
            </w:pPr>
            <w:r>
              <w:rPr>
                <w:rFonts w:ascii="Arial" w:hAnsi="Arial" w:eastAsia="Arial" w:cs="Arial"/>
                <w:color w:val="333333"/>
                <w:sz w:val="22"/>
                <w:szCs w:val="22"/>
              </w:rPr>
              <w:t>90%+ ops powered by autonomous AI agents</w:t>
            </w:r>
          </w:p>
        </w:tc>
        <w:tc>
          <w:tcPr>
            <w:tcW w:w="4860" w:type="dxa"/>
            <w:tcBorders>
              <w:top w:val="nil"/>
              <w:left w:val="nil"/>
              <w:bottom w:val="nil"/>
              <w:right w:val="nil"/>
            </w:tcBorders>
            <w:tcMar>
              <w:top w:w="80" w:type="dxa"/>
              <w:left w:w="200" w:type="dxa"/>
              <w:bottom w:w="80" w:type="dxa"/>
              <w:right w:w="0" w:type="dxa"/>
            </w:tcMar>
          </w:tcPr>
          <w:p w14:paraId="44654A72">
            <w:pPr>
              <w:spacing w:before="80" w:after="40"/>
            </w:pPr>
            <w:r>
              <w:rPr>
                <w:rFonts w:ascii="Arial" w:hAnsi="Arial" w:eastAsia="Arial" w:cs="Arial"/>
                <w:b/>
                <w:bCs/>
                <w:caps/>
                <w:color w:val="333333"/>
                <w:sz w:val="20"/>
                <w:szCs w:val="20"/>
              </w:rPr>
              <w:t>Core Pillars</w:t>
            </w:r>
          </w:p>
          <w:p w14:paraId="6521B155">
            <w:pPr>
              <w:pStyle w:val="16"/>
              <w:numPr>
                <w:ilvl w:val="0"/>
                <w:numId w:val="1"/>
              </w:numPr>
              <w:spacing w:before="40" w:after="40"/>
            </w:pPr>
            <w:r>
              <w:rPr>
                <w:rFonts w:ascii="Arial" w:hAnsi="Arial" w:eastAsia="Arial" w:cs="Arial"/>
                <w:color w:val="333333"/>
                <w:sz w:val="22"/>
                <w:szCs w:val="22"/>
              </w:rPr>
              <w:t>Subscription Management — track &amp; pay recurring bills</w:t>
            </w:r>
          </w:p>
          <w:p w14:paraId="0FA2B473">
            <w:pPr>
              <w:pStyle w:val="16"/>
              <w:numPr>
                <w:ilvl w:val="0"/>
                <w:numId w:val="1"/>
              </w:numPr>
              <w:spacing w:before="40" w:after="40"/>
            </w:pPr>
            <w:r>
              <w:rPr>
                <w:rFonts w:ascii="Arial" w:hAnsi="Arial" w:eastAsia="Arial" w:cs="Arial"/>
                <w:color w:val="333333"/>
                <w:sz w:val="22"/>
                <w:szCs w:val="22"/>
              </w:rPr>
              <w:t>Group Sharing — split Netflix, Spotify, OTT costs</w:t>
            </w:r>
          </w:p>
          <w:p w14:paraId="2425A466">
            <w:pPr>
              <w:pStyle w:val="16"/>
              <w:numPr>
                <w:ilvl w:val="0"/>
                <w:numId w:val="1"/>
              </w:numPr>
              <w:spacing w:before="40" w:after="40"/>
            </w:pPr>
            <w:r>
              <w:rPr>
                <w:rFonts w:ascii="Arial" w:hAnsi="Arial" w:eastAsia="Arial" w:cs="Arial"/>
                <w:color w:val="333333"/>
                <w:sz w:val="22"/>
                <w:szCs w:val="22"/>
              </w:rPr>
              <w:t>Subscription Marketplace — local providers listed &amp; sold</w:t>
            </w:r>
          </w:p>
          <w:p w14:paraId="013BB231">
            <w:pPr>
              <w:pStyle w:val="16"/>
              <w:numPr>
                <w:ilvl w:val="0"/>
                <w:numId w:val="1"/>
              </w:numPr>
              <w:spacing w:before="40" w:after="40"/>
            </w:pPr>
            <w:r>
              <w:rPr>
                <w:rFonts w:ascii="Arial" w:hAnsi="Arial" w:eastAsia="Arial" w:cs="Arial"/>
                <w:color w:val="333333"/>
                <w:sz w:val="22"/>
                <w:szCs w:val="22"/>
              </w:rPr>
              <w:t>Negotiate API — AI-driven price negotiation with brands</w:t>
            </w:r>
          </w:p>
          <w:p w14:paraId="70533015">
            <w:pPr>
              <w:pStyle w:val="16"/>
              <w:numPr>
                <w:ilvl w:val="0"/>
                <w:numId w:val="1"/>
              </w:numPr>
              <w:spacing w:before="40" w:after="40"/>
            </w:pPr>
            <w:r>
              <w:rPr>
                <w:rFonts w:ascii="Arial" w:hAnsi="Arial" w:eastAsia="Arial" w:cs="Arial"/>
                <w:color w:val="333333"/>
                <w:sz w:val="22"/>
                <w:szCs w:val="22"/>
              </w:rPr>
              <w:t>Gift Cards &amp; Bill Payments</w:t>
            </w:r>
          </w:p>
          <w:p w14:paraId="5C56557B">
            <w:pPr>
              <w:spacing w:before="80"/>
            </w:pPr>
          </w:p>
          <w:p w14:paraId="78BC7D7E">
            <w:pPr>
              <w:spacing w:before="80" w:after="40"/>
            </w:pPr>
            <w:r>
              <w:rPr>
                <w:rFonts w:ascii="Arial" w:hAnsi="Arial" w:eastAsia="Arial" w:cs="Arial"/>
                <w:b/>
                <w:bCs/>
                <w:caps/>
                <w:color w:val="333333"/>
                <w:sz w:val="20"/>
                <w:szCs w:val="20"/>
              </w:rPr>
              <w:t>Platforms</w:t>
            </w:r>
          </w:p>
          <w:p w14:paraId="526EAEE8">
            <w:pPr>
              <w:pStyle w:val="16"/>
              <w:numPr>
                <w:ilvl w:val="0"/>
                <w:numId w:val="1"/>
              </w:numPr>
              <w:spacing w:before="40" w:after="40"/>
            </w:pPr>
            <w:r>
              <w:rPr>
                <w:rFonts w:ascii="Arial" w:hAnsi="Arial" w:eastAsia="Arial" w:cs="Arial"/>
                <w:color w:val="333333"/>
                <w:sz w:val="22"/>
                <w:szCs w:val="22"/>
              </w:rPr>
              <w:t>Android (Play Store)</w:t>
            </w:r>
          </w:p>
          <w:p w14:paraId="248E2696">
            <w:pPr>
              <w:pStyle w:val="16"/>
              <w:numPr>
                <w:ilvl w:val="0"/>
                <w:numId w:val="1"/>
              </w:numPr>
              <w:spacing w:before="40" w:after="40"/>
            </w:pPr>
            <w:r>
              <w:rPr>
                <w:rFonts w:ascii="Arial" w:hAnsi="Arial" w:eastAsia="Arial" w:cs="Arial"/>
                <w:color w:val="333333"/>
                <w:sz w:val="22"/>
                <w:szCs w:val="22"/>
              </w:rPr>
              <w:t>iOS (App Store)</w:t>
            </w:r>
          </w:p>
          <w:p w14:paraId="05B835CD">
            <w:pPr>
              <w:pStyle w:val="16"/>
              <w:numPr>
                <w:ilvl w:val="0"/>
                <w:numId w:val="1"/>
              </w:numPr>
              <w:spacing w:before="40" w:after="40"/>
            </w:pPr>
            <w:r>
              <w:rPr>
                <w:rFonts w:ascii="Arial" w:hAnsi="Arial" w:eastAsia="Arial" w:cs="Arial"/>
                <w:color w:val="333333"/>
                <w:sz w:val="22"/>
                <w:szCs w:val="22"/>
              </w:rPr>
              <w:t>Web (subspace.money)</w:t>
            </w:r>
          </w:p>
        </w:tc>
      </w:tr>
    </w:tbl>
    <w:p w14:paraId="59869BDF">
      <w:pPr>
        <w:spacing w:before="200"/>
      </w:pPr>
    </w:p>
    <w:p w14:paraId="085339C2">
      <w:pPr>
        <w:spacing w:before="360" w:after="120"/>
      </w:pPr>
      <w:r>
        <w:rPr>
          <w:rFonts w:ascii="Arial" w:hAnsi="Arial" w:eastAsia="Arial" w:cs="Arial"/>
          <w:b/>
          <w:bCs/>
          <w:color w:val="1A1A2E"/>
          <w:sz w:val="40"/>
          <w:szCs w:val="40"/>
        </w:rPr>
        <w:t>The 5 Feedbacks</w:t>
      </w:r>
    </w:p>
    <w:p w14:paraId="584E6D14">
      <w:pPr>
        <w:pBdr>
          <w:bottom w:val="single" w:color="4F46E5" w:sz="4" w:space="1"/>
        </w:pBdr>
        <w:spacing w:before="120" w:after="120"/>
      </w:pPr>
    </w:p>
    <w:p w14:paraId="61EB183B">
      <w:pPr>
        <w:spacing w:before="60" w:after="60"/>
        <w:jc w:val="left"/>
        <w:rPr>
          <w:rFonts w:ascii="Arial" w:hAnsi="Arial" w:eastAsia="Arial" w:cs="Arial"/>
          <w:b w:val="0"/>
          <w:bCs w:val="0"/>
          <w:i/>
          <w:iCs/>
          <w:color w:val="555555"/>
          <w:sz w:val="22"/>
          <w:szCs w:val="22"/>
        </w:rPr>
      </w:pPr>
      <w:r>
        <w:rPr>
          <w:rFonts w:ascii="Arial" w:hAnsi="Arial" w:eastAsia="Arial" w:cs="Arial"/>
          <w:b w:val="0"/>
          <w:bCs w:val="0"/>
          <w:i/>
          <w:iCs/>
          <w:color w:val="555555"/>
          <w:sz w:val="22"/>
          <w:szCs w:val="22"/>
        </w:rPr>
        <w:t>Each feedback covers one of the five product pillars: GTM &amp; ICPs · Competitor Analysis · Features/Services · UX · Potential Collaborations.</w:t>
      </w:r>
    </w:p>
    <w:p w14:paraId="28ED8B2F">
      <w:pPr>
        <w:spacing w:before="60" w:after="60"/>
        <w:jc w:val="left"/>
        <w:rPr>
          <w:rFonts w:ascii="Arial" w:hAnsi="Arial" w:eastAsia="Arial" w:cs="Arial"/>
          <w:b w:val="0"/>
          <w:bCs w:val="0"/>
          <w:i/>
          <w:iCs/>
          <w:color w:val="555555"/>
          <w:sz w:val="22"/>
          <w:szCs w:val="22"/>
        </w:rPr>
      </w:pPr>
    </w:p>
    <w:p w14:paraId="15295351">
      <w:pPr>
        <w:spacing w:before="60" w:after="60"/>
        <w:jc w:val="left"/>
        <w:rPr>
          <w:rFonts w:ascii="Arial" w:hAnsi="Arial" w:eastAsia="Arial" w:cs="Arial"/>
          <w:b w:val="0"/>
          <w:bCs w:val="0"/>
          <w:i/>
          <w:iCs/>
          <w:color w:val="555555"/>
          <w:sz w:val="22"/>
          <w:szCs w:val="22"/>
        </w:rPr>
      </w:pPr>
    </w:p>
    <w:p w14:paraId="0EED220E">
      <w:pPr>
        <w:spacing w:before="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D09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A1A2E"/>
            <w:tcMar>
              <w:top w:w="160" w:type="dxa"/>
              <w:left w:w="250" w:type="dxa"/>
              <w:bottom w:w="160" w:type="dxa"/>
              <w:right w:w="250" w:type="dxa"/>
            </w:tcMar>
          </w:tcPr>
          <w:p w14:paraId="3A41BCF6">
            <w:r>
              <w:rPr>
                <w:rFonts w:ascii="Arial" w:hAnsi="Arial" w:eastAsia="Arial" w:cs="Arial"/>
                <w:b/>
                <w:bCs/>
                <w:color w:val="AAAAFF"/>
                <w:sz w:val="22"/>
                <w:szCs w:val="22"/>
              </w:rPr>
              <w:t xml:space="preserve">FEEDBACK 1  </w:t>
            </w:r>
            <w:r>
              <w:rPr>
                <w:rFonts w:ascii="Arial" w:hAnsi="Arial" w:eastAsia="Arial" w:cs="Arial"/>
                <w:b/>
                <w:bCs/>
                <w:color w:val="CCCCCC"/>
                <w:sz w:val="22"/>
                <w:szCs w:val="22"/>
              </w:rPr>
              <w:t xml:space="preserve">  [ GTM &amp; ICPs ]</w:t>
            </w:r>
          </w:p>
        </w:tc>
      </w:tr>
      <w:tr w14:paraId="7AEF2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4F6FF"/>
            <w:tcMar>
              <w:top w:w="140" w:type="dxa"/>
              <w:left w:w="250" w:type="dxa"/>
              <w:bottom w:w="40" w:type="dxa"/>
              <w:right w:w="250" w:type="dxa"/>
            </w:tcMar>
          </w:tcPr>
          <w:p w14:paraId="46FB8C82">
            <w:r>
              <w:rPr>
                <w:rFonts w:ascii="Arial" w:hAnsi="Arial" w:eastAsia="Arial" w:cs="Arial"/>
                <w:b/>
                <w:bCs/>
                <w:caps/>
                <w:color w:val="4F46E5"/>
                <w:sz w:val="20"/>
                <w:szCs w:val="20"/>
              </w:rPr>
              <w:t>(a) OBSERVED</w:t>
            </w:r>
          </w:p>
          <w:p w14:paraId="54649E6E">
            <w:pPr>
              <w:spacing w:before="60" w:after="100"/>
            </w:pPr>
            <w:r>
              <w:rPr>
                <w:rFonts w:ascii="Arial" w:hAnsi="Arial" w:eastAsia="Arial" w:cs="Arial"/>
                <w:color w:val="222222"/>
                <w:sz w:val="22"/>
                <w:szCs w:val="22"/>
              </w:rPr>
              <w:t>Subspace markets itself broadly as “India’s No.1 Savings, Sharing and Rental App.” The homepage asks users to set a delivery location before they even understand what the product does — mixing a marketplace metaphor ("delivery in minutes") with a subscription management tool. The onboarding flow offers only WhatsApp or phone login, with no clear value proposition communicated before sign-up. The primary acquisition surface appears to be word-of-mouth and app store visibility, with no discernible segmented campaign per ICP.</w:t>
            </w:r>
          </w:p>
        </w:tc>
      </w:tr>
      <w:tr w14:paraId="4EFA0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7F4"/>
            <w:tcMar>
              <w:top w:w="140" w:type="dxa"/>
              <w:left w:w="250" w:type="dxa"/>
              <w:bottom w:w="40" w:type="dxa"/>
              <w:right w:w="250" w:type="dxa"/>
            </w:tcMar>
          </w:tcPr>
          <w:p w14:paraId="439ADBFA">
            <w:r>
              <w:rPr>
                <w:rFonts w:ascii="Arial" w:hAnsi="Arial" w:eastAsia="Arial" w:cs="Arial"/>
                <w:b/>
                <w:bCs/>
                <w:caps/>
                <w:color w:val="E8490F"/>
                <w:sz w:val="20"/>
                <w:szCs w:val="20"/>
              </w:rPr>
              <w:t>(b) PROBLEM</w:t>
            </w:r>
          </w:p>
          <w:p w14:paraId="36327E29">
            <w:pPr>
              <w:spacing w:before="60" w:after="100"/>
            </w:pPr>
            <w:r>
              <w:rPr>
                <w:rFonts w:ascii="Arial" w:hAnsi="Arial" w:eastAsia="Arial" w:cs="Arial"/>
                <w:color w:val="222222"/>
                <w:sz w:val="22"/>
                <w:szCs w:val="22"/>
              </w:rPr>
              <w:t>Subspace has at least three distinct user types who arrive with fundamentally different needs: (1) Cost-splitters — roommates and friend groups sharing OTT/music subscriptions; (2) Subscription trackers — individuals wanting to audit and manage their recurring bills; (3) Local marketplace buyers — users discovering hyperlocal subscription providers. A single “save money” message fails to resonate deeply with any of them. The result is a leaky top-of-funnel: users who arrive don’t know what action to take first, and the homepage location-prompt creates friction before value is established. This likely explains the low organic retention and word-of-mouth conversion despite a strong ARR number.</w:t>
            </w:r>
          </w:p>
        </w:tc>
      </w:tr>
      <w:tr w14:paraId="6260B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0FBF6"/>
            <w:tcMar>
              <w:top w:w="140" w:type="dxa"/>
              <w:left w:w="250" w:type="dxa"/>
              <w:bottom w:w="160" w:type="dxa"/>
              <w:right w:w="250" w:type="dxa"/>
            </w:tcMar>
          </w:tcPr>
          <w:p w14:paraId="33E29E34">
            <w:r>
              <w:rPr>
                <w:rFonts w:ascii="Arial" w:hAnsi="Arial" w:eastAsia="Arial" w:cs="Arial"/>
                <w:b/>
                <w:bCs/>
                <w:caps/>
                <w:color w:val="0F7B55"/>
                <w:sz w:val="20"/>
                <w:szCs w:val="20"/>
              </w:rPr>
              <w:t>(c) SHIP INSTEAD</w:t>
            </w:r>
          </w:p>
          <w:p w14:paraId="79FB5649">
            <w:pPr>
              <w:spacing w:before="60" w:after="80"/>
            </w:pPr>
            <w:r>
              <w:rPr>
                <w:rFonts w:ascii="Arial" w:hAnsi="Arial" w:eastAsia="Arial" w:cs="Arial"/>
                <w:color w:val="222222"/>
                <w:sz w:val="22"/>
                <w:szCs w:val="22"/>
              </w:rPr>
              <w:t>Segment the GTM into three distinct acquisition tracks with separate landing pages and messaging. For cost-splitters, the hook is “Split your Netflix with 3 friends in 2 minutes” — target college WhatsApp groups and hostel communities via micro-influencers. For subscription trackers, lead with the Negotiate API story: “Stop overpaying — let us negotiate your bills.” For local marketplace buyers, partner with RWAs (Resident Welfare Associations) and co-working spaces to offer bundled local subscriptions. Delay the location prompt to post-signup; let the value proposition land first.</w:t>
            </w:r>
          </w:p>
        </w:tc>
      </w:tr>
    </w:tbl>
    <w:p w14:paraId="769DD26E">
      <w:pPr>
        <w:spacing w:before="2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35CF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F3D5E"/>
            <w:tcMar>
              <w:top w:w="160" w:type="dxa"/>
              <w:left w:w="250" w:type="dxa"/>
              <w:bottom w:w="160" w:type="dxa"/>
              <w:right w:w="250" w:type="dxa"/>
            </w:tcMar>
          </w:tcPr>
          <w:p w14:paraId="2A16E873">
            <w:r>
              <w:rPr>
                <w:rFonts w:ascii="Arial" w:hAnsi="Arial" w:eastAsia="Arial" w:cs="Arial"/>
                <w:b/>
                <w:bCs/>
                <w:color w:val="AAAAFF"/>
                <w:sz w:val="22"/>
                <w:szCs w:val="22"/>
              </w:rPr>
              <w:t xml:space="preserve">FEEDBACK 2  </w:t>
            </w:r>
            <w:r>
              <w:rPr>
                <w:rFonts w:ascii="Arial" w:hAnsi="Arial" w:eastAsia="Arial" w:cs="Arial"/>
                <w:b/>
                <w:bCs/>
                <w:color w:val="CCCCCC"/>
                <w:sz w:val="22"/>
                <w:szCs w:val="22"/>
              </w:rPr>
              <w:t xml:space="preserve">  [ Competitor Analysis ]</w:t>
            </w:r>
          </w:p>
        </w:tc>
      </w:tr>
      <w:tr w14:paraId="3B776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4F6FF"/>
            <w:tcMar>
              <w:top w:w="140" w:type="dxa"/>
              <w:left w:w="250" w:type="dxa"/>
              <w:bottom w:w="40" w:type="dxa"/>
              <w:right w:w="250" w:type="dxa"/>
            </w:tcMar>
          </w:tcPr>
          <w:p w14:paraId="7B785491">
            <w:r>
              <w:rPr>
                <w:rFonts w:ascii="Arial" w:hAnsi="Arial" w:eastAsia="Arial" w:cs="Arial"/>
                <w:b/>
                <w:bCs/>
                <w:caps/>
                <w:color w:val="4F46E5"/>
                <w:sz w:val="20"/>
                <w:szCs w:val="20"/>
              </w:rPr>
              <w:t>(a) OBSERVED</w:t>
            </w:r>
          </w:p>
          <w:p w14:paraId="5C9395C3">
            <w:pPr>
              <w:spacing w:before="60" w:after="100"/>
            </w:pPr>
            <w:r>
              <w:rPr>
                <w:rFonts w:ascii="Arial" w:hAnsi="Arial" w:eastAsia="Arial" w:cs="Arial"/>
                <w:color w:val="222222"/>
                <w:sz w:val="22"/>
                <w:szCs w:val="22"/>
              </w:rPr>
              <w:t>Subspace’s closest direct competitor for subscription sharing in India is not an Indian app — it’s Splitwise for the expense-tracking layer, and informal WhatsApp group chats for subscription sharing. Globally, Together Price (EU) and Spliiit operate in the shared-subscription niche. In India, CRED handles bill payments for premium users, while Fi Money has begun subscription tracking. Subspace’s own app store listing classifies competitors as myPaisaa, MoneyClub, and Finlok — none of which are well-known, suggesting the company under-monitors the real competitive surface.</w:t>
            </w:r>
          </w:p>
        </w:tc>
      </w:tr>
      <w:tr w14:paraId="337A3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7F4"/>
            <w:tcMar>
              <w:top w:w="140" w:type="dxa"/>
              <w:left w:w="250" w:type="dxa"/>
              <w:bottom w:w="40" w:type="dxa"/>
              <w:right w:w="250" w:type="dxa"/>
            </w:tcMar>
          </w:tcPr>
          <w:p w14:paraId="5178932D">
            <w:r>
              <w:rPr>
                <w:rFonts w:ascii="Arial" w:hAnsi="Arial" w:eastAsia="Arial" w:cs="Arial"/>
                <w:b/>
                <w:bCs/>
                <w:caps/>
                <w:color w:val="E8490F"/>
                <w:sz w:val="20"/>
                <w:szCs w:val="20"/>
              </w:rPr>
              <w:t>(b) PROBLEM</w:t>
            </w:r>
          </w:p>
          <w:p w14:paraId="1C5A6D8B">
            <w:pPr>
              <w:spacing w:before="60" w:after="100"/>
            </w:pPr>
            <w:r>
              <w:rPr>
                <w:rFonts w:ascii="Arial" w:hAnsi="Arial" w:eastAsia="Arial" w:cs="Arial"/>
                <w:color w:val="222222"/>
                <w:sz w:val="22"/>
                <w:szCs w:val="22"/>
              </w:rPr>
              <w:t>The real competitive threat isn’t other subscription apps — it’s UPI apps. Google Pay, PhonePe, and Paytm are actively building bill-management dashboards. When GPay surfaces a “your Netflix payment is due” card, it directly addresses the subscription-tracking use case with zero switching cost. Subspace’s moat must be the group-sharing layer (network effects) and the Negotiate API (proprietary savings mechanism) — but neither is prominently communicated against this threat. If users don’t perceive those moats, they will use GPay for payments and do nothing else.</w:t>
            </w:r>
          </w:p>
        </w:tc>
      </w:tr>
      <w:tr w14:paraId="479F2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0FBF6"/>
            <w:tcMar>
              <w:top w:w="140" w:type="dxa"/>
              <w:left w:w="250" w:type="dxa"/>
              <w:bottom w:w="160" w:type="dxa"/>
              <w:right w:w="250" w:type="dxa"/>
            </w:tcMar>
          </w:tcPr>
          <w:p w14:paraId="01CE54C8">
            <w:r>
              <w:rPr>
                <w:rFonts w:ascii="Arial" w:hAnsi="Arial" w:eastAsia="Arial" w:cs="Arial"/>
                <w:b/>
                <w:bCs/>
                <w:caps/>
                <w:color w:val="0F7B55"/>
                <w:sz w:val="20"/>
                <w:szCs w:val="20"/>
              </w:rPr>
              <w:t>(c) SHIP INSTEAD</w:t>
            </w:r>
          </w:p>
          <w:p w14:paraId="01B57FD8">
            <w:pPr>
              <w:spacing w:before="60" w:after="80"/>
            </w:pPr>
            <w:r>
              <w:rPr>
                <w:rFonts w:ascii="Arial" w:hAnsi="Arial" w:eastAsia="Arial" w:cs="Arial"/>
                <w:color w:val="222222"/>
                <w:sz w:val="22"/>
                <w:szCs w:val="22"/>
              </w:rPr>
              <w:t>Build a ‘Competitor Displacement’ feature: when a user links their bank/UPI account, Subspace should auto-detect which subscriptions are being paid individually that could be shared, and show the rupee saving if they split through Subspace. Frame this as “You’re paying ₹649/month for Spotify alone. Your friend Rahul also pays ₹649. Split it through Subspace — both save ₹324/month.” This creates a direct, personalised case against doing nothing, and leverages real transaction data to make the pitch undeniable.</w:t>
            </w:r>
          </w:p>
        </w:tc>
      </w:tr>
    </w:tbl>
    <w:p w14:paraId="6D512181">
      <w:pPr>
        <w:spacing w:before="2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647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A1A2E"/>
            <w:tcMar>
              <w:top w:w="160" w:type="dxa"/>
              <w:left w:w="250" w:type="dxa"/>
              <w:bottom w:w="160" w:type="dxa"/>
              <w:right w:w="250" w:type="dxa"/>
            </w:tcMar>
          </w:tcPr>
          <w:p w14:paraId="0E39EF7B">
            <w:r>
              <w:rPr>
                <w:rFonts w:ascii="Arial" w:hAnsi="Arial" w:eastAsia="Arial" w:cs="Arial"/>
                <w:b/>
                <w:bCs/>
                <w:color w:val="AAAAFF"/>
                <w:sz w:val="22"/>
                <w:szCs w:val="22"/>
              </w:rPr>
              <w:t xml:space="preserve">FEEDBACK 3  </w:t>
            </w:r>
            <w:r>
              <w:rPr>
                <w:rFonts w:ascii="Arial" w:hAnsi="Arial" w:eastAsia="Arial" w:cs="Arial"/>
                <w:b/>
                <w:bCs/>
                <w:color w:val="CCCCCC"/>
                <w:sz w:val="22"/>
                <w:szCs w:val="22"/>
              </w:rPr>
              <w:t xml:space="preserve">  [ Features / Services ]</w:t>
            </w:r>
          </w:p>
        </w:tc>
      </w:tr>
      <w:tr w14:paraId="761D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4F6FF"/>
            <w:tcMar>
              <w:top w:w="140" w:type="dxa"/>
              <w:left w:w="250" w:type="dxa"/>
              <w:bottom w:w="40" w:type="dxa"/>
              <w:right w:w="250" w:type="dxa"/>
            </w:tcMar>
          </w:tcPr>
          <w:p w14:paraId="505C47FF">
            <w:r>
              <w:rPr>
                <w:rFonts w:ascii="Arial" w:hAnsi="Arial" w:eastAsia="Arial" w:cs="Arial"/>
                <w:b/>
                <w:bCs/>
                <w:caps/>
                <w:color w:val="4F46E5"/>
                <w:sz w:val="20"/>
                <w:szCs w:val="20"/>
              </w:rPr>
              <w:t>(a) OBSERVED</w:t>
            </w:r>
          </w:p>
          <w:p w14:paraId="1C341FE5">
            <w:pPr>
              <w:spacing w:before="60" w:after="100"/>
            </w:pPr>
            <w:r>
              <w:rPr>
                <w:rFonts w:ascii="Arial" w:hAnsi="Arial" w:eastAsia="Arial" w:cs="Arial"/>
                <w:color w:val="222222"/>
                <w:sz w:val="22"/>
                <w:szCs w:val="22"/>
              </w:rPr>
              <w:t>Subspace’s most differentiated feature — the Negotiate API — is buried. On the live website (subspace.money), the homepage shows a location selector and brand logos with no mention of price negotiation. Play Store reviews from 2026 include at least one complaint about a user losing money on a subscription-sharing arrangement when the seller logged them out, with no refund given and no support response. The refund and dispute resolution mechanism is non-obvious, with a separate “Refund Policy” page that most users won’t find until they have a problem.</w:t>
            </w:r>
          </w:p>
        </w:tc>
      </w:tr>
      <w:tr w14:paraId="08540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7F4"/>
            <w:tcMar>
              <w:top w:w="140" w:type="dxa"/>
              <w:left w:w="250" w:type="dxa"/>
              <w:bottom w:w="40" w:type="dxa"/>
              <w:right w:w="250" w:type="dxa"/>
            </w:tcMar>
          </w:tcPr>
          <w:p w14:paraId="40ACF59D">
            <w:r>
              <w:rPr>
                <w:rFonts w:ascii="Arial" w:hAnsi="Arial" w:eastAsia="Arial" w:cs="Arial"/>
                <w:b/>
                <w:bCs/>
                <w:caps/>
                <w:color w:val="E8490F"/>
                <w:sz w:val="20"/>
                <w:szCs w:val="20"/>
              </w:rPr>
              <w:t>(b) PROBLEM</w:t>
            </w:r>
          </w:p>
          <w:p w14:paraId="61A9EEB0">
            <w:pPr>
              <w:spacing w:before="60" w:after="100"/>
            </w:pPr>
            <w:r>
              <w:rPr>
                <w:rFonts w:ascii="Arial" w:hAnsi="Arial" w:eastAsia="Arial" w:cs="Arial"/>
                <w:color w:val="222222"/>
                <w:sz w:val="22"/>
                <w:szCs w:val="22"/>
              </w:rPr>
              <w:t>The Negotiate API is Subspace’s strongest moat — an automated, AI-driven mechanism to get users discounts on their existing bills is genuinely rare in India and hard to replicate. Globally, Rocket Money (US) built a $1B+ business largely on bill negotiation. Yet Subspace doesn’t lead with this. Meanwhile, the subscription-sharing flow carries a real trust risk: a user pays for a shared slot, the seller locks them out, and Subspace doesn’t step in. One bad experience shared on social media can wipe out trust at scale, especially in the college-student segment that Subspace targets.</w:t>
            </w:r>
          </w:p>
        </w:tc>
      </w:tr>
      <w:tr w14:paraId="572FF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0FBF6"/>
            <w:tcMar>
              <w:top w:w="140" w:type="dxa"/>
              <w:left w:w="250" w:type="dxa"/>
              <w:bottom w:w="160" w:type="dxa"/>
              <w:right w:w="250" w:type="dxa"/>
            </w:tcMar>
          </w:tcPr>
          <w:p w14:paraId="3DD6640C">
            <w:r>
              <w:rPr>
                <w:rFonts w:ascii="Arial" w:hAnsi="Arial" w:eastAsia="Arial" w:cs="Arial"/>
                <w:b/>
                <w:bCs/>
                <w:caps/>
                <w:color w:val="0F7B55"/>
                <w:sz w:val="20"/>
                <w:szCs w:val="20"/>
              </w:rPr>
              <w:t>(c) SHIP INSTEAD</w:t>
            </w:r>
          </w:p>
          <w:p w14:paraId="726BEA3B">
            <w:pPr>
              <w:spacing w:before="60" w:after="80"/>
            </w:pPr>
            <w:r>
              <w:rPr>
                <w:rFonts w:ascii="Arial" w:hAnsi="Arial" w:eastAsia="Arial" w:cs="Arial"/>
                <w:color w:val="222222"/>
                <w:sz w:val="22"/>
                <w:szCs w:val="22"/>
              </w:rPr>
              <w:t>Two specific ships: (1) Redesign the homepage hero to lead with a Negotiate flow — “Enter your mobile plan. We’ll negotiate it down in 48 hours. No savings, no fee.” Make it the primary CTA, not an afterthought. (2) Introduce an Escrow-style Protection layer for subscription sharing: funds are held by Subspace for 72 hours after access is granted; if the buyer loses access, they get an automatic refund. Display this guarantee prominently in the sharing flow as “Subspace Protected.” This converts trust from a liability into a marketing asset.</w:t>
            </w:r>
          </w:p>
        </w:tc>
      </w:tr>
    </w:tbl>
    <w:p w14:paraId="35C068D1">
      <w:pPr>
        <w:spacing w:before="2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2A03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F3D5E"/>
            <w:tcMar>
              <w:top w:w="160" w:type="dxa"/>
              <w:left w:w="250" w:type="dxa"/>
              <w:bottom w:w="160" w:type="dxa"/>
              <w:right w:w="250" w:type="dxa"/>
            </w:tcMar>
          </w:tcPr>
          <w:p w14:paraId="264E22CF">
            <w:r>
              <w:rPr>
                <w:rFonts w:ascii="Arial" w:hAnsi="Arial" w:eastAsia="Arial" w:cs="Arial"/>
                <w:b/>
                <w:bCs/>
                <w:color w:val="AAAAFF"/>
                <w:sz w:val="22"/>
                <w:szCs w:val="22"/>
              </w:rPr>
              <w:t xml:space="preserve">FEEDBACK 4  </w:t>
            </w:r>
            <w:r>
              <w:rPr>
                <w:rFonts w:ascii="Arial" w:hAnsi="Arial" w:eastAsia="Arial" w:cs="Arial"/>
                <w:b/>
                <w:bCs/>
                <w:color w:val="CCCCCC"/>
                <w:sz w:val="22"/>
                <w:szCs w:val="22"/>
              </w:rPr>
              <w:t xml:space="preserve">  [ UX ]</w:t>
            </w:r>
          </w:p>
        </w:tc>
      </w:tr>
      <w:tr w14:paraId="2D822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4F6FF"/>
            <w:tcMar>
              <w:top w:w="140" w:type="dxa"/>
              <w:left w:w="250" w:type="dxa"/>
              <w:bottom w:w="40" w:type="dxa"/>
              <w:right w:w="250" w:type="dxa"/>
            </w:tcMar>
          </w:tcPr>
          <w:p w14:paraId="26B54AE0">
            <w:r>
              <w:rPr>
                <w:rFonts w:ascii="Arial" w:hAnsi="Arial" w:eastAsia="Arial" w:cs="Arial"/>
                <w:b/>
                <w:bCs/>
                <w:caps/>
                <w:color w:val="4F46E5"/>
                <w:sz w:val="20"/>
                <w:szCs w:val="20"/>
              </w:rPr>
              <w:t>(a) OBSERVED</w:t>
            </w:r>
          </w:p>
          <w:p w14:paraId="3F603F6E">
            <w:pPr>
              <w:spacing w:before="60" w:after="100"/>
            </w:pPr>
            <w:r>
              <w:rPr>
                <w:rFonts w:ascii="Arial" w:hAnsi="Arial" w:eastAsia="Arial" w:cs="Arial"/>
                <w:color w:val="222222"/>
                <w:sz w:val="22"/>
                <w:szCs w:val="22"/>
              </w:rPr>
              <w:t>The web onboarding at subspace.money opens with a location selector modal (“Detect my location”) before the user has seen any product content. The page title says “Subscription Management Platform,” yet the UX starts with delivery-app metaphors (location, neighbourhood). The login modal appears mid-scroll with only two options: WhatsApp or phone number. There is no guest mode, no demo flow, and no preview of the app’s core value before requiring sign-up. On the app, the bottom nav has five tabs (Home, Explore, Wallet, Chat, Account) but “Chat” is an unusual top-level item for a fintech app and its purpose is not explained.</w:t>
            </w:r>
          </w:p>
        </w:tc>
      </w:tr>
      <w:tr w14:paraId="655AA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7F4"/>
            <w:tcMar>
              <w:top w:w="140" w:type="dxa"/>
              <w:left w:w="250" w:type="dxa"/>
              <w:bottom w:w="40" w:type="dxa"/>
              <w:right w:w="250" w:type="dxa"/>
            </w:tcMar>
          </w:tcPr>
          <w:p w14:paraId="0C6E8263">
            <w:r>
              <w:rPr>
                <w:rFonts w:ascii="Arial" w:hAnsi="Arial" w:eastAsia="Arial" w:cs="Arial"/>
                <w:b/>
                <w:bCs/>
                <w:caps/>
                <w:color w:val="E8490F"/>
                <w:sz w:val="20"/>
                <w:szCs w:val="20"/>
              </w:rPr>
              <w:t>(b) PROBLEM</w:t>
            </w:r>
          </w:p>
          <w:p w14:paraId="41F02E62">
            <w:pPr>
              <w:spacing w:before="60" w:after="100"/>
            </w:pPr>
            <w:r>
              <w:rPr>
                <w:rFonts w:ascii="Arial" w:hAnsi="Arial" w:eastAsia="Arial" w:cs="Arial"/>
                <w:color w:val="222222"/>
                <w:sz w:val="22"/>
                <w:szCs w:val="22"/>
              </w:rPr>
              <w:t>The cognitive dissonance between “subscription management” and “delivery in minutes” creates immediate confusion about what this product actually does. New users form a mental model in the first 8 seconds; if that model is wrong, they churn. Forcing sign-up before showing value is especially costly in India where users are privacy-conscious and have low trust in new fintech apps asking for phone numbers. The opaque “Chat” tab suggests either a support function or a social feature — neither communicates a savings benefit, so it adds navigation weight without payoff.</w:t>
            </w:r>
          </w:p>
        </w:tc>
      </w:tr>
      <w:tr w14:paraId="0529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0FBF6"/>
            <w:tcMar>
              <w:top w:w="140" w:type="dxa"/>
              <w:left w:w="250" w:type="dxa"/>
              <w:bottom w:w="160" w:type="dxa"/>
              <w:right w:w="250" w:type="dxa"/>
            </w:tcMar>
          </w:tcPr>
          <w:p w14:paraId="34865EFE">
            <w:r>
              <w:rPr>
                <w:rFonts w:ascii="Arial" w:hAnsi="Arial" w:eastAsia="Arial" w:cs="Arial"/>
                <w:b/>
                <w:bCs/>
                <w:caps/>
                <w:color w:val="0F7B55"/>
                <w:sz w:val="20"/>
                <w:szCs w:val="20"/>
              </w:rPr>
              <w:t>(c) SHIP INSTEAD</w:t>
            </w:r>
          </w:p>
          <w:p w14:paraId="2CC128B6">
            <w:pPr>
              <w:spacing w:before="60" w:after="80"/>
            </w:pPr>
            <w:r>
              <w:rPr>
                <w:rFonts w:ascii="Arial" w:hAnsi="Arial" w:eastAsia="Arial" w:cs="Arial"/>
                <w:color w:val="222222"/>
                <w:sz w:val="22"/>
                <w:szCs w:val="22"/>
              </w:rPr>
              <w:t>Three specific UX fixes to ship: (1) Remove the location modal from the homepage entirely; replace it with a 3-screen animated explainer (“Track → Share → Save”) viewable without logging in. (2) Add a ‘Try without signing in’ option that lets users see a demo dashboard with mock subscriptions — convert them to sign-up after the “aha moment.” (3) Rename and redesign the “Chat” tab to “Savings” or “Negotiate” and put the Negotiate API interaction there — give it a primary position in the nav hierarchy to match its product importance.</w:t>
            </w:r>
          </w:p>
        </w:tc>
      </w:tr>
    </w:tbl>
    <w:p w14:paraId="3B9110E0">
      <w:pPr>
        <w:spacing w:before="2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7E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A1A2E"/>
            <w:tcMar>
              <w:top w:w="160" w:type="dxa"/>
              <w:left w:w="250" w:type="dxa"/>
              <w:bottom w:w="160" w:type="dxa"/>
              <w:right w:w="250" w:type="dxa"/>
            </w:tcMar>
          </w:tcPr>
          <w:p w14:paraId="3BFAC622">
            <w:r>
              <w:rPr>
                <w:rFonts w:ascii="Arial" w:hAnsi="Arial" w:eastAsia="Arial" w:cs="Arial"/>
                <w:b/>
                <w:bCs/>
                <w:color w:val="AAAAFF"/>
                <w:sz w:val="22"/>
                <w:szCs w:val="22"/>
              </w:rPr>
              <w:t xml:space="preserve">FEEDBACK 5  </w:t>
            </w:r>
            <w:r>
              <w:rPr>
                <w:rFonts w:ascii="Arial" w:hAnsi="Arial" w:eastAsia="Arial" w:cs="Arial"/>
                <w:b/>
                <w:bCs/>
                <w:color w:val="CCCCCC"/>
                <w:sz w:val="22"/>
                <w:szCs w:val="22"/>
              </w:rPr>
              <w:t xml:space="preserve">  [ Potential Collaborations ]</w:t>
            </w:r>
          </w:p>
        </w:tc>
      </w:tr>
      <w:tr w14:paraId="6177E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4F6FF"/>
            <w:tcMar>
              <w:top w:w="140" w:type="dxa"/>
              <w:left w:w="250" w:type="dxa"/>
              <w:bottom w:w="40" w:type="dxa"/>
              <w:right w:w="250" w:type="dxa"/>
            </w:tcMar>
          </w:tcPr>
          <w:p w14:paraId="0D8BA7E0">
            <w:r>
              <w:rPr>
                <w:rFonts w:ascii="Arial" w:hAnsi="Arial" w:eastAsia="Arial" w:cs="Arial"/>
                <w:b/>
                <w:bCs/>
                <w:caps/>
                <w:color w:val="4F46E5"/>
                <w:sz w:val="20"/>
                <w:szCs w:val="20"/>
              </w:rPr>
              <w:t>(a) OBSERVED</w:t>
            </w:r>
          </w:p>
          <w:p w14:paraId="1AE2A026">
            <w:pPr>
              <w:spacing w:before="60" w:after="100"/>
            </w:pPr>
            <w:r>
              <w:rPr>
                <w:rFonts w:ascii="Arial" w:hAnsi="Arial" w:eastAsia="Arial" w:cs="Arial"/>
                <w:color w:val="222222"/>
                <w:sz w:val="22"/>
                <w:szCs w:val="22"/>
              </w:rPr>
              <w:t>Subspace currently lists partnerships with OTT platforms, music services, and some local subscription providers via its marketplace. The collaboration surface appears to be primarily inbound — providers list themselves or are added by the Subspace team. There is no visible API-as-a-product offered to fintech platforms (e.g., banks, neobanks) to embed Subspace’s subscription intelligence into their own apps. The student segment is addressed with a college email discount but without formal college ambassador networks or institutional tie-ins (e.g., university ID discounts or campus licensing deals).</w:t>
            </w:r>
          </w:p>
        </w:tc>
      </w:tr>
      <w:tr w14:paraId="4FBAF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7F4"/>
            <w:tcMar>
              <w:top w:w="140" w:type="dxa"/>
              <w:left w:w="250" w:type="dxa"/>
              <w:bottom w:w="40" w:type="dxa"/>
              <w:right w:w="250" w:type="dxa"/>
            </w:tcMar>
          </w:tcPr>
          <w:p w14:paraId="73DB66C7">
            <w:r>
              <w:rPr>
                <w:rFonts w:ascii="Arial" w:hAnsi="Arial" w:eastAsia="Arial" w:cs="Arial"/>
                <w:b/>
                <w:bCs/>
                <w:caps/>
                <w:color w:val="E8490F"/>
                <w:sz w:val="20"/>
                <w:szCs w:val="20"/>
              </w:rPr>
              <w:t>(b) PROBLEM</w:t>
            </w:r>
          </w:p>
          <w:p w14:paraId="6EEFD0EB">
            <w:pPr>
              <w:spacing w:before="60" w:after="100"/>
            </w:pPr>
            <w:r>
              <w:rPr>
                <w:rFonts w:ascii="Arial" w:hAnsi="Arial" w:eastAsia="Arial" w:cs="Arial"/>
                <w:color w:val="222222"/>
                <w:sz w:val="22"/>
                <w:szCs w:val="22"/>
              </w:rPr>
              <w:t>Subspace’s Negotiate API and subscription intelligence layer are B2B2C assets currently being used only for Subspace’s own consumers. This is a missed platform opportunity. Banks like HDFC and ICICI are actively building lifestyle banking products; a white-label “subscription wallet” or “negotiate my bills” feature could be embedded inside their apps, reaching tens of millions of existing customers with zero customer acquisition cost for Subspace. Similarly, corporate HR platforms (Darwinbox, Keka) could offer Subspace as an employee benefit — “manage your subscriptions and we’ll help you save.”</w:t>
            </w:r>
          </w:p>
        </w:tc>
      </w:tr>
      <w:tr w14:paraId="11270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0FBF6"/>
            <w:tcMar>
              <w:top w:w="140" w:type="dxa"/>
              <w:left w:w="250" w:type="dxa"/>
              <w:bottom w:w="160" w:type="dxa"/>
              <w:right w:w="250" w:type="dxa"/>
            </w:tcMar>
          </w:tcPr>
          <w:p w14:paraId="149E123D">
            <w:r>
              <w:rPr>
                <w:rFonts w:ascii="Arial" w:hAnsi="Arial" w:eastAsia="Arial" w:cs="Arial"/>
                <w:b/>
                <w:bCs/>
                <w:caps/>
                <w:color w:val="0F7B55"/>
                <w:sz w:val="20"/>
                <w:szCs w:val="20"/>
              </w:rPr>
              <w:t>(c) SHIP INSTEAD</w:t>
            </w:r>
          </w:p>
          <w:p w14:paraId="7E0033DA">
            <w:pPr>
              <w:spacing w:before="60" w:after="80"/>
            </w:pPr>
            <w:r>
              <w:rPr>
                <w:rFonts w:ascii="Arial" w:hAnsi="Arial" w:eastAsia="Arial" w:cs="Arial"/>
                <w:color w:val="222222"/>
                <w:sz w:val="22"/>
                <w:szCs w:val="22"/>
              </w:rPr>
              <w:t>Prioritise three collaboration tracks in this order: (1) Neobank/Fintech embed — approach Fi Money, Jupiter, and Niyo to white-label Subspace’s subscription tracker as a native card spend insight feature. Revenue model: per-user SaaS fee or revenue share on negotiations. (2) Corporate benefits — partner with Darwinbox/Keka to offer Subspace as a voluntary employee perk; companies pay a per-seat fee as part of their benefits stack. (3) University licensing — sign MoUs with 10 Tier-1 colleges (IITs, NITs) to offer a Subspace Campus Plan: shared subscriptions + negotiated rates for student communities, funded partly by the college welfare fund.</w:t>
            </w:r>
          </w:p>
        </w:tc>
      </w:tr>
    </w:tbl>
    <w:p w14:paraId="7A9E0D5B">
      <w:pPr>
        <w:spacing w:before="320"/>
      </w:pPr>
    </w:p>
    <w:p w14:paraId="0E295E86">
      <w:pPr>
        <w:spacing w:before="240" w:after="120"/>
      </w:pPr>
      <w:r>
        <w:rPr>
          <w:rFonts w:ascii="Arial" w:hAnsi="Arial" w:eastAsia="Arial" w:cs="Arial"/>
          <w:b/>
          <w:bCs/>
          <w:color w:val="4F46E5"/>
          <w:sz w:val="28"/>
          <w:szCs w:val="28"/>
        </w:rPr>
        <w:t>Prioritisation Summary</w:t>
      </w:r>
    </w:p>
    <w:p w14:paraId="6FD679A4">
      <w:pPr>
        <w:pBdr>
          <w:bottom w:val="single" w:color="4F46E5" w:sz="4" w:space="1"/>
        </w:pBdr>
        <w:spacing w:before="120" w:after="120"/>
      </w:pPr>
    </w:p>
    <w:p w14:paraId="18C16F07">
      <w:pPr>
        <w:spacing w:before="60" w:after="60"/>
        <w:jc w:val="left"/>
      </w:pPr>
      <w:r>
        <w:rPr>
          <w:rFonts w:ascii="Arial" w:hAnsi="Arial" w:eastAsia="Arial" w:cs="Arial"/>
          <w:b w:val="0"/>
          <w:bCs w:val="0"/>
          <w:i/>
          <w:iCs/>
          <w:color w:val="555555"/>
          <w:sz w:val="22"/>
          <w:szCs w:val="22"/>
        </w:rPr>
        <w:t>Ranked by impact vs. implementation effort — focus on top 3 in the first 30 days.</w:t>
      </w:r>
    </w:p>
    <w:p w14:paraId="3183F074">
      <w:pPr>
        <w:spacing w:before="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2880"/>
        <w:gridCol w:w="3000"/>
        <w:gridCol w:w="1500"/>
        <w:gridCol w:w="1500"/>
      </w:tblGrid>
      <w:tr w14:paraId="36F25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1A1A2E"/>
            <w:tcMar>
              <w:top w:w="100" w:type="dxa"/>
              <w:left w:w="120" w:type="dxa"/>
              <w:bottom w:w="100" w:type="dxa"/>
              <w:right w:w="120" w:type="dxa"/>
            </w:tcMar>
          </w:tcPr>
          <w:p w14:paraId="4CE7EC66">
            <w:pPr>
              <w:jc w:val="center"/>
            </w:pPr>
            <w:r>
              <w:rPr>
                <w:rFonts w:ascii="Arial" w:hAnsi="Arial" w:eastAsia="Arial" w:cs="Arial"/>
                <w:b/>
                <w:bCs/>
                <w:color w:val="FFFFFF"/>
                <w:sz w:val="20"/>
                <w:szCs w:val="20"/>
              </w:rPr>
              <w:t>#</w:t>
            </w:r>
          </w:p>
        </w:tc>
        <w:tc>
          <w:tcPr>
            <w:tcW w:w="2880" w:type="dxa"/>
            <w:tcBorders>
              <w:top w:val="nil"/>
              <w:left w:val="nil"/>
              <w:bottom w:val="nil"/>
              <w:right w:val="nil"/>
            </w:tcBorders>
            <w:shd w:val="clear" w:color="auto" w:fill="1A1A2E"/>
            <w:tcMar>
              <w:top w:w="100" w:type="dxa"/>
              <w:left w:w="120" w:type="dxa"/>
              <w:bottom w:w="100" w:type="dxa"/>
              <w:right w:w="120" w:type="dxa"/>
            </w:tcMar>
          </w:tcPr>
          <w:p w14:paraId="7477DC5C">
            <w:r>
              <w:rPr>
                <w:rFonts w:ascii="Arial" w:hAnsi="Arial" w:eastAsia="Arial" w:cs="Arial"/>
                <w:b/>
                <w:bCs/>
                <w:color w:val="FFFFFF"/>
                <w:sz w:val="20"/>
                <w:szCs w:val="20"/>
              </w:rPr>
              <w:t>Feedback</w:t>
            </w:r>
          </w:p>
        </w:tc>
        <w:tc>
          <w:tcPr>
            <w:tcW w:w="3000" w:type="dxa"/>
            <w:tcBorders>
              <w:top w:val="nil"/>
              <w:left w:val="nil"/>
              <w:bottom w:val="nil"/>
              <w:right w:val="nil"/>
            </w:tcBorders>
            <w:shd w:val="clear" w:color="auto" w:fill="1A1A2E"/>
            <w:tcMar>
              <w:top w:w="100" w:type="dxa"/>
              <w:left w:w="120" w:type="dxa"/>
              <w:bottom w:w="100" w:type="dxa"/>
              <w:right w:w="120" w:type="dxa"/>
            </w:tcMar>
          </w:tcPr>
          <w:p w14:paraId="17FFC09C">
            <w:r>
              <w:rPr>
                <w:rFonts w:ascii="Arial" w:hAnsi="Arial" w:eastAsia="Arial" w:cs="Arial"/>
                <w:b/>
                <w:bCs/>
                <w:color w:val="FFFFFF"/>
                <w:sz w:val="20"/>
                <w:szCs w:val="20"/>
              </w:rPr>
              <w:t>Pillar</w:t>
            </w:r>
          </w:p>
        </w:tc>
        <w:tc>
          <w:tcPr>
            <w:tcW w:w="1500" w:type="dxa"/>
            <w:tcBorders>
              <w:top w:val="nil"/>
              <w:left w:val="nil"/>
              <w:bottom w:val="nil"/>
              <w:right w:val="nil"/>
            </w:tcBorders>
            <w:shd w:val="clear" w:color="auto" w:fill="1A1A2E"/>
            <w:tcMar>
              <w:top w:w="100" w:type="dxa"/>
              <w:left w:w="120" w:type="dxa"/>
              <w:bottom w:w="100" w:type="dxa"/>
              <w:right w:w="120" w:type="dxa"/>
            </w:tcMar>
          </w:tcPr>
          <w:p w14:paraId="7122542D">
            <w:r>
              <w:rPr>
                <w:rFonts w:ascii="Arial" w:hAnsi="Arial" w:eastAsia="Arial" w:cs="Arial"/>
                <w:b/>
                <w:bCs/>
                <w:color w:val="FFFFFF"/>
                <w:sz w:val="20"/>
                <w:szCs w:val="20"/>
              </w:rPr>
              <w:t>Impact</w:t>
            </w:r>
          </w:p>
        </w:tc>
        <w:tc>
          <w:tcPr>
            <w:tcW w:w="1500" w:type="dxa"/>
            <w:tcBorders>
              <w:top w:val="nil"/>
              <w:left w:val="nil"/>
              <w:bottom w:val="nil"/>
              <w:right w:val="nil"/>
            </w:tcBorders>
            <w:shd w:val="clear" w:color="auto" w:fill="1A1A2E"/>
            <w:tcMar>
              <w:top w:w="100" w:type="dxa"/>
              <w:left w:w="120" w:type="dxa"/>
              <w:bottom w:w="100" w:type="dxa"/>
              <w:right w:w="120" w:type="dxa"/>
            </w:tcMar>
          </w:tcPr>
          <w:p w14:paraId="5DAD1A3A">
            <w:r>
              <w:rPr>
                <w:rFonts w:ascii="Arial" w:hAnsi="Arial" w:eastAsia="Arial" w:cs="Arial"/>
                <w:b/>
                <w:bCs/>
                <w:color w:val="FFFFFF"/>
                <w:sz w:val="20"/>
                <w:szCs w:val="20"/>
              </w:rPr>
              <w:t>Effort</w:t>
            </w:r>
          </w:p>
        </w:tc>
      </w:tr>
      <w:tr w14:paraId="4DA33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F8F9FA"/>
            <w:tcMar>
              <w:top w:w="80" w:type="dxa"/>
              <w:left w:w="120" w:type="dxa"/>
              <w:bottom w:w="80" w:type="dxa"/>
              <w:right w:w="120" w:type="dxa"/>
            </w:tcMar>
          </w:tcPr>
          <w:p w14:paraId="7ABDFB43">
            <w:pPr>
              <w:jc w:val="center"/>
            </w:pPr>
            <w:r>
              <w:rPr>
                <w:rFonts w:ascii="Arial" w:hAnsi="Arial" w:eastAsia="Arial" w:cs="Arial"/>
                <w:b/>
                <w:bCs/>
                <w:color w:val="222222"/>
                <w:sz w:val="20"/>
                <w:szCs w:val="20"/>
              </w:rPr>
              <w:t>1</w:t>
            </w:r>
          </w:p>
        </w:tc>
        <w:tc>
          <w:tcPr>
            <w:tcW w:w="2880" w:type="dxa"/>
            <w:tcBorders>
              <w:top w:val="nil"/>
              <w:left w:val="nil"/>
              <w:bottom w:val="nil"/>
              <w:right w:val="nil"/>
            </w:tcBorders>
            <w:shd w:val="clear" w:color="auto" w:fill="F8F9FA"/>
            <w:tcMar>
              <w:top w:w="80" w:type="dxa"/>
              <w:left w:w="120" w:type="dxa"/>
              <w:bottom w:w="80" w:type="dxa"/>
              <w:right w:w="120" w:type="dxa"/>
            </w:tcMar>
          </w:tcPr>
          <w:p w14:paraId="0A4EB004">
            <w:pPr>
              <w:jc w:val="left"/>
            </w:pPr>
            <w:r>
              <w:rPr>
                <w:rFonts w:ascii="Arial" w:hAnsi="Arial" w:eastAsia="Arial" w:cs="Arial"/>
                <w:b w:val="0"/>
                <w:bCs w:val="0"/>
                <w:color w:val="222222"/>
                <w:sz w:val="20"/>
                <w:szCs w:val="20"/>
              </w:rPr>
              <w:t>Redesign homepage hero around Negotiate API</w:t>
            </w:r>
          </w:p>
        </w:tc>
        <w:tc>
          <w:tcPr>
            <w:tcW w:w="3000" w:type="dxa"/>
            <w:tcBorders>
              <w:top w:val="nil"/>
              <w:left w:val="nil"/>
              <w:bottom w:val="nil"/>
              <w:right w:val="nil"/>
            </w:tcBorders>
            <w:shd w:val="clear" w:color="auto" w:fill="F8F9FA"/>
            <w:tcMar>
              <w:top w:w="80" w:type="dxa"/>
              <w:left w:w="120" w:type="dxa"/>
              <w:bottom w:w="80" w:type="dxa"/>
              <w:right w:w="120" w:type="dxa"/>
            </w:tcMar>
          </w:tcPr>
          <w:p w14:paraId="3932A6BB">
            <w:pPr>
              <w:jc w:val="left"/>
            </w:pPr>
            <w:r>
              <w:rPr>
                <w:rFonts w:ascii="Arial" w:hAnsi="Arial" w:eastAsia="Arial" w:cs="Arial"/>
                <w:b w:val="0"/>
                <w:bCs w:val="0"/>
                <w:color w:val="222222"/>
                <w:sz w:val="20"/>
                <w:szCs w:val="20"/>
              </w:rPr>
              <w:t>Features / Services</w:t>
            </w:r>
          </w:p>
        </w:tc>
        <w:tc>
          <w:tcPr>
            <w:tcW w:w="1500" w:type="dxa"/>
            <w:tcBorders>
              <w:top w:val="nil"/>
              <w:left w:val="nil"/>
              <w:bottom w:val="nil"/>
              <w:right w:val="nil"/>
            </w:tcBorders>
            <w:shd w:val="clear" w:color="auto" w:fill="F8F9FA"/>
            <w:tcMar>
              <w:top w:w="80" w:type="dxa"/>
              <w:left w:w="120" w:type="dxa"/>
              <w:bottom w:w="80" w:type="dxa"/>
              <w:right w:w="120" w:type="dxa"/>
            </w:tcMar>
          </w:tcPr>
          <w:p w14:paraId="3A0E9517">
            <w:pPr>
              <w:jc w:val="left"/>
            </w:pPr>
            <w:r>
              <w:rPr>
                <w:rFonts w:ascii="Arial" w:hAnsi="Arial" w:eastAsia="Arial" w:cs="Arial"/>
                <w:b w:val="0"/>
                <w:bCs w:val="0"/>
                <w:color w:val="0A6640"/>
                <w:sz w:val="20"/>
                <w:szCs w:val="20"/>
              </w:rPr>
              <w:t>Very High</w:t>
            </w:r>
          </w:p>
        </w:tc>
        <w:tc>
          <w:tcPr>
            <w:tcW w:w="1500" w:type="dxa"/>
            <w:tcBorders>
              <w:top w:val="nil"/>
              <w:left w:val="nil"/>
              <w:bottom w:val="nil"/>
              <w:right w:val="nil"/>
            </w:tcBorders>
            <w:shd w:val="clear" w:color="auto" w:fill="F8F9FA"/>
            <w:tcMar>
              <w:top w:w="80" w:type="dxa"/>
              <w:left w:w="120" w:type="dxa"/>
              <w:bottom w:w="80" w:type="dxa"/>
              <w:right w:w="120" w:type="dxa"/>
            </w:tcMar>
          </w:tcPr>
          <w:p w14:paraId="0AEEB89F">
            <w:pPr>
              <w:jc w:val="left"/>
            </w:pPr>
            <w:r>
              <w:rPr>
                <w:rFonts w:ascii="Arial" w:hAnsi="Arial" w:eastAsia="Arial" w:cs="Arial"/>
                <w:b w:val="0"/>
                <w:bCs w:val="0"/>
                <w:color w:val="222222"/>
                <w:sz w:val="20"/>
                <w:szCs w:val="20"/>
              </w:rPr>
              <w:t>Low</w:t>
            </w:r>
          </w:p>
        </w:tc>
      </w:tr>
      <w:tr w14:paraId="07B4A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FFFFFF"/>
            <w:tcMar>
              <w:top w:w="80" w:type="dxa"/>
              <w:left w:w="120" w:type="dxa"/>
              <w:bottom w:w="80" w:type="dxa"/>
              <w:right w:w="120" w:type="dxa"/>
            </w:tcMar>
          </w:tcPr>
          <w:p w14:paraId="746BBD4A">
            <w:pPr>
              <w:jc w:val="center"/>
            </w:pPr>
            <w:r>
              <w:rPr>
                <w:rFonts w:ascii="Arial" w:hAnsi="Arial" w:eastAsia="Arial" w:cs="Arial"/>
                <w:b/>
                <w:bCs/>
                <w:color w:val="222222"/>
                <w:sz w:val="20"/>
                <w:szCs w:val="20"/>
              </w:rPr>
              <w:t>2</w:t>
            </w:r>
          </w:p>
        </w:tc>
        <w:tc>
          <w:tcPr>
            <w:tcW w:w="2880" w:type="dxa"/>
            <w:tcBorders>
              <w:top w:val="nil"/>
              <w:left w:val="nil"/>
              <w:bottom w:val="nil"/>
              <w:right w:val="nil"/>
            </w:tcBorders>
            <w:shd w:val="clear" w:color="auto" w:fill="FFFFFF"/>
            <w:tcMar>
              <w:top w:w="80" w:type="dxa"/>
              <w:left w:w="120" w:type="dxa"/>
              <w:bottom w:w="80" w:type="dxa"/>
              <w:right w:w="120" w:type="dxa"/>
            </w:tcMar>
          </w:tcPr>
          <w:p w14:paraId="6F574EAD">
            <w:pPr>
              <w:jc w:val="left"/>
            </w:pPr>
            <w:r>
              <w:rPr>
                <w:rFonts w:ascii="Arial" w:hAnsi="Arial" w:eastAsia="Arial" w:cs="Arial"/>
                <w:b w:val="0"/>
                <w:bCs w:val="0"/>
                <w:color w:val="222222"/>
                <w:sz w:val="20"/>
                <w:szCs w:val="20"/>
              </w:rPr>
              <w:t>Escrow-style 'Subspace Protected' sharing guarantee</w:t>
            </w:r>
          </w:p>
        </w:tc>
        <w:tc>
          <w:tcPr>
            <w:tcW w:w="3000" w:type="dxa"/>
            <w:tcBorders>
              <w:top w:val="nil"/>
              <w:left w:val="nil"/>
              <w:bottom w:val="nil"/>
              <w:right w:val="nil"/>
            </w:tcBorders>
            <w:shd w:val="clear" w:color="auto" w:fill="FFFFFF"/>
            <w:tcMar>
              <w:top w:w="80" w:type="dxa"/>
              <w:left w:w="120" w:type="dxa"/>
              <w:bottom w:w="80" w:type="dxa"/>
              <w:right w:w="120" w:type="dxa"/>
            </w:tcMar>
          </w:tcPr>
          <w:p w14:paraId="3CD12027">
            <w:pPr>
              <w:jc w:val="left"/>
            </w:pPr>
            <w:r>
              <w:rPr>
                <w:rFonts w:ascii="Arial" w:hAnsi="Arial" w:eastAsia="Arial" w:cs="Arial"/>
                <w:b w:val="0"/>
                <w:bCs w:val="0"/>
                <w:color w:val="222222"/>
                <w:sz w:val="20"/>
                <w:szCs w:val="20"/>
              </w:rPr>
              <w:t>Features / Services</w:t>
            </w:r>
          </w:p>
        </w:tc>
        <w:tc>
          <w:tcPr>
            <w:tcW w:w="1500" w:type="dxa"/>
            <w:tcBorders>
              <w:top w:val="nil"/>
              <w:left w:val="nil"/>
              <w:bottom w:val="nil"/>
              <w:right w:val="nil"/>
            </w:tcBorders>
            <w:shd w:val="clear" w:color="auto" w:fill="FFFFFF"/>
            <w:tcMar>
              <w:top w:w="80" w:type="dxa"/>
              <w:left w:w="120" w:type="dxa"/>
              <w:bottom w:w="80" w:type="dxa"/>
              <w:right w:w="120" w:type="dxa"/>
            </w:tcMar>
          </w:tcPr>
          <w:p w14:paraId="582F1A21">
            <w:pPr>
              <w:jc w:val="left"/>
            </w:pPr>
            <w:r>
              <w:rPr>
                <w:rFonts w:ascii="Arial" w:hAnsi="Arial" w:eastAsia="Arial" w:cs="Arial"/>
                <w:b w:val="0"/>
                <w:bCs w:val="0"/>
                <w:color w:val="1E5FA8"/>
                <w:sz w:val="20"/>
                <w:szCs w:val="20"/>
              </w:rPr>
              <w:t>High</w:t>
            </w:r>
          </w:p>
        </w:tc>
        <w:tc>
          <w:tcPr>
            <w:tcW w:w="1500" w:type="dxa"/>
            <w:tcBorders>
              <w:top w:val="nil"/>
              <w:left w:val="nil"/>
              <w:bottom w:val="nil"/>
              <w:right w:val="nil"/>
            </w:tcBorders>
            <w:shd w:val="clear" w:color="auto" w:fill="FFFFFF"/>
            <w:tcMar>
              <w:top w:w="80" w:type="dxa"/>
              <w:left w:w="120" w:type="dxa"/>
              <w:bottom w:w="80" w:type="dxa"/>
              <w:right w:w="120" w:type="dxa"/>
            </w:tcMar>
          </w:tcPr>
          <w:p w14:paraId="549915E5">
            <w:pPr>
              <w:jc w:val="left"/>
            </w:pPr>
            <w:r>
              <w:rPr>
                <w:rFonts w:ascii="Arial" w:hAnsi="Arial" w:eastAsia="Arial" w:cs="Arial"/>
                <w:b w:val="0"/>
                <w:bCs w:val="0"/>
                <w:color w:val="222222"/>
                <w:sz w:val="20"/>
                <w:szCs w:val="20"/>
              </w:rPr>
              <w:t>Medium</w:t>
            </w:r>
          </w:p>
        </w:tc>
      </w:tr>
      <w:tr w14:paraId="5B26F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F8F9FA"/>
            <w:tcMar>
              <w:top w:w="80" w:type="dxa"/>
              <w:left w:w="120" w:type="dxa"/>
              <w:bottom w:w="80" w:type="dxa"/>
              <w:right w:w="120" w:type="dxa"/>
            </w:tcMar>
          </w:tcPr>
          <w:p w14:paraId="41A4E88B">
            <w:pPr>
              <w:jc w:val="center"/>
            </w:pPr>
            <w:r>
              <w:rPr>
                <w:rFonts w:ascii="Arial" w:hAnsi="Arial" w:eastAsia="Arial" w:cs="Arial"/>
                <w:b/>
                <w:bCs/>
                <w:color w:val="222222"/>
                <w:sz w:val="20"/>
                <w:szCs w:val="20"/>
              </w:rPr>
              <w:t>3</w:t>
            </w:r>
          </w:p>
        </w:tc>
        <w:tc>
          <w:tcPr>
            <w:tcW w:w="2880" w:type="dxa"/>
            <w:tcBorders>
              <w:top w:val="nil"/>
              <w:left w:val="nil"/>
              <w:bottom w:val="nil"/>
              <w:right w:val="nil"/>
            </w:tcBorders>
            <w:shd w:val="clear" w:color="auto" w:fill="F8F9FA"/>
            <w:tcMar>
              <w:top w:w="80" w:type="dxa"/>
              <w:left w:w="120" w:type="dxa"/>
              <w:bottom w:w="80" w:type="dxa"/>
              <w:right w:w="120" w:type="dxa"/>
            </w:tcMar>
          </w:tcPr>
          <w:p w14:paraId="01D07EC3">
            <w:pPr>
              <w:jc w:val="left"/>
            </w:pPr>
            <w:r>
              <w:rPr>
                <w:rFonts w:ascii="Arial" w:hAnsi="Arial" w:eastAsia="Arial" w:cs="Arial"/>
                <w:b w:val="0"/>
                <w:bCs w:val="0"/>
                <w:color w:val="222222"/>
                <w:sz w:val="20"/>
                <w:szCs w:val="20"/>
              </w:rPr>
              <w:t>UX: Remove location modal, add guest demo flow</w:t>
            </w:r>
          </w:p>
        </w:tc>
        <w:tc>
          <w:tcPr>
            <w:tcW w:w="3000" w:type="dxa"/>
            <w:tcBorders>
              <w:top w:val="nil"/>
              <w:left w:val="nil"/>
              <w:bottom w:val="nil"/>
              <w:right w:val="nil"/>
            </w:tcBorders>
            <w:shd w:val="clear" w:color="auto" w:fill="F8F9FA"/>
            <w:tcMar>
              <w:top w:w="80" w:type="dxa"/>
              <w:left w:w="120" w:type="dxa"/>
              <w:bottom w:w="80" w:type="dxa"/>
              <w:right w:w="120" w:type="dxa"/>
            </w:tcMar>
          </w:tcPr>
          <w:p w14:paraId="6A9D64E8">
            <w:pPr>
              <w:jc w:val="left"/>
            </w:pPr>
            <w:r>
              <w:rPr>
                <w:rFonts w:ascii="Arial" w:hAnsi="Arial" w:eastAsia="Arial" w:cs="Arial"/>
                <w:b w:val="0"/>
                <w:bCs w:val="0"/>
                <w:color w:val="222222"/>
                <w:sz w:val="20"/>
                <w:szCs w:val="20"/>
              </w:rPr>
              <w:t>UX</w:t>
            </w:r>
          </w:p>
        </w:tc>
        <w:tc>
          <w:tcPr>
            <w:tcW w:w="1500" w:type="dxa"/>
            <w:tcBorders>
              <w:top w:val="nil"/>
              <w:left w:val="nil"/>
              <w:bottom w:val="nil"/>
              <w:right w:val="nil"/>
            </w:tcBorders>
            <w:shd w:val="clear" w:color="auto" w:fill="F8F9FA"/>
            <w:tcMar>
              <w:top w:w="80" w:type="dxa"/>
              <w:left w:w="120" w:type="dxa"/>
              <w:bottom w:w="80" w:type="dxa"/>
              <w:right w:w="120" w:type="dxa"/>
            </w:tcMar>
          </w:tcPr>
          <w:p w14:paraId="299F7D2C">
            <w:pPr>
              <w:jc w:val="left"/>
            </w:pPr>
            <w:r>
              <w:rPr>
                <w:rFonts w:ascii="Arial" w:hAnsi="Arial" w:eastAsia="Arial" w:cs="Arial"/>
                <w:b w:val="0"/>
                <w:bCs w:val="0"/>
                <w:color w:val="1E5FA8"/>
                <w:sz w:val="20"/>
                <w:szCs w:val="20"/>
              </w:rPr>
              <w:t>High</w:t>
            </w:r>
          </w:p>
        </w:tc>
        <w:tc>
          <w:tcPr>
            <w:tcW w:w="1500" w:type="dxa"/>
            <w:tcBorders>
              <w:top w:val="nil"/>
              <w:left w:val="nil"/>
              <w:bottom w:val="nil"/>
              <w:right w:val="nil"/>
            </w:tcBorders>
            <w:shd w:val="clear" w:color="auto" w:fill="F8F9FA"/>
            <w:tcMar>
              <w:top w:w="80" w:type="dxa"/>
              <w:left w:w="120" w:type="dxa"/>
              <w:bottom w:w="80" w:type="dxa"/>
              <w:right w:w="120" w:type="dxa"/>
            </w:tcMar>
          </w:tcPr>
          <w:p w14:paraId="780038BF">
            <w:pPr>
              <w:jc w:val="left"/>
            </w:pPr>
            <w:r>
              <w:rPr>
                <w:rFonts w:ascii="Arial" w:hAnsi="Arial" w:eastAsia="Arial" w:cs="Arial"/>
                <w:b w:val="0"/>
                <w:bCs w:val="0"/>
                <w:color w:val="222222"/>
                <w:sz w:val="20"/>
                <w:szCs w:val="20"/>
              </w:rPr>
              <w:t>Low</w:t>
            </w:r>
          </w:p>
        </w:tc>
      </w:tr>
      <w:tr w14:paraId="5B679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FFFFFF"/>
            <w:tcMar>
              <w:top w:w="80" w:type="dxa"/>
              <w:left w:w="120" w:type="dxa"/>
              <w:bottom w:w="80" w:type="dxa"/>
              <w:right w:w="120" w:type="dxa"/>
            </w:tcMar>
          </w:tcPr>
          <w:p w14:paraId="5742AAC9">
            <w:pPr>
              <w:jc w:val="center"/>
            </w:pPr>
            <w:r>
              <w:rPr>
                <w:rFonts w:ascii="Arial" w:hAnsi="Arial" w:eastAsia="Arial" w:cs="Arial"/>
                <w:b/>
                <w:bCs/>
                <w:color w:val="222222"/>
                <w:sz w:val="20"/>
                <w:szCs w:val="20"/>
              </w:rPr>
              <w:t>4</w:t>
            </w:r>
          </w:p>
        </w:tc>
        <w:tc>
          <w:tcPr>
            <w:tcW w:w="2880" w:type="dxa"/>
            <w:tcBorders>
              <w:top w:val="nil"/>
              <w:left w:val="nil"/>
              <w:bottom w:val="nil"/>
              <w:right w:val="nil"/>
            </w:tcBorders>
            <w:shd w:val="clear" w:color="auto" w:fill="FFFFFF"/>
            <w:tcMar>
              <w:top w:w="80" w:type="dxa"/>
              <w:left w:w="120" w:type="dxa"/>
              <w:bottom w:w="80" w:type="dxa"/>
              <w:right w:w="120" w:type="dxa"/>
            </w:tcMar>
          </w:tcPr>
          <w:p w14:paraId="1DACE7B8">
            <w:pPr>
              <w:jc w:val="left"/>
            </w:pPr>
            <w:r>
              <w:rPr>
                <w:rFonts w:ascii="Arial" w:hAnsi="Arial" w:eastAsia="Arial" w:cs="Arial"/>
                <w:b w:val="0"/>
                <w:bCs w:val="0"/>
                <w:color w:val="222222"/>
                <w:sz w:val="20"/>
                <w:szCs w:val="20"/>
              </w:rPr>
              <w:t>Segment GTM into 3 ICP-specific acquisition tracks</w:t>
            </w:r>
          </w:p>
        </w:tc>
        <w:tc>
          <w:tcPr>
            <w:tcW w:w="3000" w:type="dxa"/>
            <w:tcBorders>
              <w:top w:val="nil"/>
              <w:left w:val="nil"/>
              <w:bottom w:val="nil"/>
              <w:right w:val="nil"/>
            </w:tcBorders>
            <w:shd w:val="clear" w:color="auto" w:fill="FFFFFF"/>
            <w:tcMar>
              <w:top w:w="80" w:type="dxa"/>
              <w:left w:w="120" w:type="dxa"/>
              <w:bottom w:w="80" w:type="dxa"/>
              <w:right w:w="120" w:type="dxa"/>
            </w:tcMar>
          </w:tcPr>
          <w:p w14:paraId="7433D957">
            <w:pPr>
              <w:jc w:val="left"/>
            </w:pPr>
            <w:r>
              <w:rPr>
                <w:rFonts w:ascii="Arial" w:hAnsi="Arial" w:eastAsia="Arial" w:cs="Arial"/>
                <w:b w:val="0"/>
                <w:bCs w:val="0"/>
                <w:color w:val="222222"/>
                <w:sz w:val="20"/>
                <w:szCs w:val="20"/>
              </w:rPr>
              <w:t>GTM &amp; ICPs</w:t>
            </w:r>
          </w:p>
        </w:tc>
        <w:tc>
          <w:tcPr>
            <w:tcW w:w="1500" w:type="dxa"/>
            <w:tcBorders>
              <w:top w:val="nil"/>
              <w:left w:val="nil"/>
              <w:bottom w:val="nil"/>
              <w:right w:val="nil"/>
            </w:tcBorders>
            <w:shd w:val="clear" w:color="auto" w:fill="FFFFFF"/>
            <w:tcMar>
              <w:top w:w="80" w:type="dxa"/>
              <w:left w:w="120" w:type="dxa"/>
              <w:bottom w:w="80" w:type="dxa"/>
              <w:right w:w="120" w:type="dxa"/>
            </w:tcMar>
          </w:tcPr>
          <w:p w14:paraId="1AB18909">
            <w:pPr>
              <w:jc w:val="left"/>
            </w:pPr>
            <w:r>
              <w:rPr>
                <w:rFonts w:ascii="Arial" w:hAnsi="Arial" w:eastAsia="Arial" w:cs="Arial"/>
                <w:b w:val="0"/>
                <w:bCs w:val="0"/>
                <w:color w:val="1E5FA8"/>
                <w:sz w:val="20"/>
                <w:szCs w:val="20"/>
              </w:rPr>
              <w:t>High</w:t>
            </w:r>
          </w:p>
        </w:tc>
        <w:tc>
          <w:tcPr>
            <w:tcW w:w="1500" w:type="dxa"/>
            <w:tcBorders>
              <w:top w:val="nil"/>
              <w:left w:val="nil"/>
              <w:bottom w:val="nil"/>
              <w:right w:val="nil"/>
            </w:tcBorders>
            <w:shd w:val="clear" w:color="auto" w:fill="FFFFFF"/>
            <w:tcMar>
              <w:top w:w="80" w:type="dxa"/>
              <w:left w:w="120" w:type="dxa"/>
              <w:bottom w:w="80" w:type="dxa"/>
              <w:right w:w="120" w:type="dxa"/>
            </w:tcMar>
          </w:tcPr>
          <w:p w14:paraId="0649E20C">
            <w:pPr>
              <w:jc w:val="left"/>
            </w:pPr>
            <w:r>
              <w:rPr>
                <w:rFonts w:ascii="Arial" w:hAnsi="Arial" w:eastAsia="Arial" w:cs="Arial"/>
                <w:b w:val="0"/>
                <w:bCs w:val="0"/>
                <w:color w:val="222222"/>
                <w:sz w:val="20"/>
                <w:szCs w:val="20"/>
              </w:rPr>
              <w:t>Medium</w:t>
            </w:r>
          </w:p>
        </w:tc>
      </w:tr>
      <w:tr w14:paraId="46800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F8F9FA"/>
            <w:tcMar>
              <w:top w:w="80" w:type="dxa"/>
              <w:left w:w="120" w:type="dxa"/>
              <w:bottom w:w="80" w:type="dxa"/>
              <w:right w:w="120" w:type="dxa"/>
            </w:tcMar>
          </w:tcPr>
          <w:p w14:paraId="6BEB0D70">
            <w:pPr>
              <w:jc w:val="center"/>
            </w:pPr>
            <w:r>
              <w:rPr>
                <w:rFonts w:ascii="Arial" w:hAnsi="Arial" w:eastAsia="Arial" w:cs="Arial"/>
                <w:b/>
                <w:bCs/>
                <w:color w:val="222222"/>
                <w:sz w:val="20"/>
                <w:szCs w:val="20"/>
              </w:rPr>
              <w:t>5</w:t>
            </w:r>
          </w:p>
        </w:tc>
        <w:tc>
          <w:tcPr>
            <w:tcW w:w="2880" w:type="dxa"/>
            <w:tcBorders>
              <w:top w:val="nil"/>
              <w:left w:val="nil"/>
              <w:bottom w:val="nil"/>
              <w:right w:val="nil"/>
            </w:tcBorders>
            <w:shd w:val="clear" w:color="auto" w:fill="F8F9FA"/>
            <w:tcMar>
              <w:top w:w="80" w:type="dxa"/>
              <w:left w:w="120" w:type="dxa"/>
              <w:bottom w:w="80" w:type="dxa"/>
              <w:right w:w="120" w:type="dxa"/>
            </w:tcMar>
          </w:tcPr>
          <w:p w14:paraId="793B8036">
            <w:pPr>
              <w:jc w:val="left"/>
            </w:pPr>
            <w:r>
              <w:rPr>
                <w:rFonts w:ascii="Arial" w:hAnsi="Arial" w:eastAsia="Arial" w:cs="Arial"/>
                <w:b w:val="0"/>
                <w:bCs w:val="0"/>
                <w:color w:val="222222"/>
                <w:sz w:val="20"/>
                <w:szCs w:val="20"/>
              </w:rPr>
              <w:t>Neobank embed partnership (Fi, Jupiter, Niyo)</w:t>
            </w:r>
          </w:p>
        </w:tc>
        <w:tc>
          <w:tcPr>
            <w:tcW w:w="3000" w:type="dxa"/>
            <w:tcBorders>
              <w:top w:val="nil"/>
              <w:left w:val="nil"/>
              <w:bottom w:val="nil"/>
              <w:right w:val="nil"/>
            </w:tcBorders>
            <w:shd w:val="clear" w:color="auto" w:fill="F8F9FA"/>
            <w:tcMar>
              <w:top w:w="80" w:type="dxa"/>
              <w:left w:w="120" w:type="dxa"/>
              <w:bottom w:w="80" w:type="dxa"/>
              <w:right w:w="120" w:type="dxa"/>
            </w:tcMar>
          </w:tcPr>
          <w:p w14:paraId="0B6621DF">
            <w:pPr>
              <w:jc w:val="left"/>
            </w:pPr>
            <w:r>
              <w:rPr>
                <w:rFonts w:ascii="Arial" w:hAnsi="Arial" w:eastAsia="Arial" w:cs="Arial"/>
                <w:b w:val="0"/>
                <w:bCs w:val="0"/>
                <w:color w:val="222222"/>
                <w:sz w:val="20"/>
                <w:szCs w:val="20"/>
              </w:rPr>
              <w:t>Potential Collaborations</w:t>
            </w:r>
          </w:p>
        </w:tc>
        <w:tc>
          <w:tcPr>
            <w:tcW w:w="1500" w:type="dxa"/>
            <w:tcBorders>
              <w:top w:val="nil"/>
              <w:left w:val="nil"/>
              <w:bottom w:val="nil"/>
              <w:right w:val="nil"/>
            </w:tcBorders>
            <w:shd w:val="clear" w:color="auto" w:fill="F8F9FA"/>
            <w:tcMar>
              <w:top w:w="80" w:type="dxa"/>
              <w:left w:w="120" w:type="dxa"/>
              <w:bottom w:w="80" w:type="dxa"/>
              <w:right w:w="120" w:type="dxa"/>
            </w:tcMar>
          </w:tcPr>
          <w:p w14:paraId="4C746410">
            <w:pPr>
              <w:jc w:val="left"/>
            </w:pPr>
            <w:r>
              <w:rPr>
                <w:rFonts w:ascii="Arial" w:hAnsi="Arial" w:eastAsia="Arial" w:cs="Arial"/>
                <w:b w:val="0"/>
                <w:bCs w:val="0"/>
                <w:color w:val="0A6640"/>
                <w:sz w:val="20"/>
                <w:szCs w:val="20"/>
              </w:rPr>
              <w:t>Very High</w:t>
            </w:r>
          </w:p>
        </w:tc>
        <w:tc>
          <w:tcPr>
            <w:tcW w:w="1500" w:type="dxa"/>
            <w:tcBorders>
              <w:top w:val="nil"/>
              <w:left w:val="nil"/>
              <w:bottom w:val="nil"/>
              <w:right w:val="nil"/>
            </w:tcBorders>
            <w:shd w:val="clear" w:color="auto" w:fill="F8F9FA"/>
            <w:tcMar>
              <w:top w:w="80" w:type="dxa"/>
              <w:left w:w="120" w:type="dxa"/>
              <w:bottom w:w="80" w:type="dxa"/>
              <w:right w:w="120" w:type="dxa"/>
            </w:tcMar>
          </w:tcPr>
          <w:p w14:paraId="38DFEBAB">
            <w:pPr>
              <w:jc w:val="left"/>
            </w:pPr>
            <w:r>
              <w:rPr>
                <w:rFonts w:ascii="Arial" w:hAnsi="Arial" w:eastAsia="Arial" w:cs="Arial"/>
                <w:b w:val="0"/>
                <w:bCs w:val="0"/>
                <w:color w:val="222222"/>
                <w:sz w:val="20"/>
                <w:szCs w:val="20"/>
              </w:rPr>
              <w:t>High</w:t>
            </w:r>
          </w:p>
        </w:tc>
      </w:tr>
    </w:tbl>
    <w:p w14:paraId="23AD3349">
      <w:pPr>
        <w:spacing w:before="320"/>
      </w:pPr>
    </w:p>
    <w:p w14:paraId="4BF41C68">
      <w:pPr>
        <w:pBdr>
          <w:top w:val="single" w:color="DDDDDD" w:sz="4" w:space="8"/>
        </w:pBdr>
        <w:spacing w:before="240"/>
        <w:jc w:val="both"/>
      </w:pP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600" w:hanging="3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15A268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1117</Words>
  <Characters>6188</Characters>
  <TotalTime>1</TotalTime>
  <ScaleCrop>false</ScaleCrop>
  <LinksUpToDate>false</LinksUpToDate>
  <CharactersWithSpaces>7277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2026-05-31T14:04:00Z</dcterms:created>
  <dc:creator>Un-named</dc:creator>
  <cp:lastModifiedBy>Soumya kumar Mishra</cp:lastModifiedBy>
  <dcterms:modified xsi:type="dcterms:W3CDTF">2026-05-31T16:47:48Z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eyJoZGlkIjoiN2IyNDE5M2I2NjNiYjM3ODU3NDJjNWRlOTZhZDM2ZTYiLCJ1c2VySWQiOiI1NjczMjY3OTgyNjYifQ==</vt:lpwstr>
  </property>
  <property fmtid="{D5CDD505-2E9C-101B-9397-08002B2CF9AE}" pid="3" name="KSOProductBuildVer">
    <vt:lpwstr>1033-12.1.0.26880</vt:lpwstr>
  </property>
  <property fmtid="{D5CDD505-2E9C-101B-9397-08002B2CF9AE}" pid="4" name="ICV">
    <vt:lpwstr>6194F4C42DFB4F028905AC5F4FC196A7_12</vt:lpwstr>
  </property>
</Properties>
</file>