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MEMO: Procter &amp; Gamble (PG) fiscal Q1 FY2027 earnings variance</w:t>
      </w:r>
    </w:p>
    <w:p>
      <w:r>
        <w:rPr>
          <w:sz w:val="17"/>
        </w:rPr>
        <w:t>To: Investment Committee   |   From: Equity Research Analyst   |   Date: 23 October 2026   |   Sources: P&amp;G 8-K Ex. 99.1 (22 Oct 2026); synthetic consensus sheet</w:t>
      </w:r>
    </w:p>
    <w:p>
      <w:r>
        <w:rPr>
          <w:b/>
        </w:rPr>
        <w:t xml:space="preserve">Headline. </w:t>
      </w:r>
      <w:r>
        <w:t>Volume-led sales beat, margin-led EPS miss. Net sales were $23,276M (+4.0% y/y), $226M (+1.0%) above consensus of $23,050M, with organic growth of 4.0% against 3.0% expected. Core EPS of $2.00 (+1% y/y) missed consensus of $2.03 by $0.03 (−1.5%); GAAP diluted EPS of $1.97 missed $1.99 (−1.0%). Guidance is maintained, but the midpoint sits slightly below consensus.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Metric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Actual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Consensus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Variance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Net sales ($M)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23,276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23,050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+226 (+1.0%)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Beat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Organic sales growth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4.0%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3.0%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+100 bp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Beat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Core gross margin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50.0%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50.8%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−80 bp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Miss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Core operating margin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25.9%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26.4%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−50 bp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Miss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Core EPS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$2.00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$2.03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−$0.03 (−1.5%)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Miss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GAAP diluted EPS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$1.97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$1.99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−$0.02 (−1.0%)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Miss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Beauty / Health Care / Fabric &amp; Home ($M)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4,410 / 3,318 / 8,205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4,350 / 3,380 / 8,120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+1.4% / −1.8% / +1.0%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Mixed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FY27 core EPS guide midpoint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$7.00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$7.04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−$0.04 (−0.6%)</w:t>
            </w:r>
          </w:p>
        </w:tc>
        <w:tc>
          <w:tcPr>
            <w:tcW w:type="dxa" w:w="204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Below</w:t>
            </w:r>
          </w:p>
        </w:tc>
      </w:tr>
    </w:tbl>
    <w:p>
      <w:pPr>
        <w:spacing w:after="0"/>
      </w:pPr>
    </w:p>
    <w:p>
      <w:r>
        <w:rPr>
          <w:b/>
        </w:rPr>
        <w:t xml:space="preserve">Drivers. </w:t>
      </w:r>
      <w:r>
        <w:t>Organic growth of 4.0% was volume +2.4%, mix +1.1% and price +0.4%, with FX neutral; Beauty (+6.4% net sales) led and Health Care was the laggard (volume −2.9%). Core gross margin of 50.0% fell 150 bp y/y and was 80 bp below consensus: commodities (−140 bp), product reinvestments (−140 bp) and mix (−50 bp) outweighed productivity (+120 bp), tariff recoveries (+50 bp) and pricing (+20 bp). Core SG&amp;A fell 80 bp to 24.1% of sales on productivity and leverage, cushioning but not offsetting the gross-margin hit: core operating margin was 25.9%, down 80 bp y/y and 50 bp short of consensus.</w:t>
      </w:r>
    </w:p>
    <w:p>
      <w:r>
        <w:rPr>
          <w:b/>
        </w:rPr>
        <w:t xml:space="preserve">Quality of the result. </w:t>
      </w:r>
      <w:r>
        <w:t>Pre-tax earnings were flat ($6,023M vs $6,034M) and net earnings attributable to P&amp;G fell 0.4% ($4,731M vs $4,750M); the +1% EPS rise comes from a 1.2% lower diluted share count (2,407.2M vs 2,436.8M), i.e. buybacks, not earnings growth. Interest expense rose 13% ($223M vs $197M) and other non-operating income fell to $207M from $268M. The $0.03 gap between core and GAAP EPS is incremental restructuring from the multi-year portfolio and productivity plan, which still has costs to come in FY27, so we treat core EPS with caution. Free cash flow productivity was a healthy 93%, but debt due within one year rose to $17.0B from $11.3B at 30 June.</w:t>
      </w:r>
    </w:p>
    <w:p>
      <w:r>
        <w:rPr>
          <w:b/>
        </w:rPr>
        <w:t xml:space="preserve">Guidance. </w:t>
      </w:r>
      <w:r>
        <w:t>P&amp;G maintained organic sales growth of 1% to 3% and core EPS of $6.89 to $7.11 (midpoint $7.00); all-in sales growth was updated to 2% to 4% to include Thorne (acquired 1 Oct 2026). The $7.00 midpoint is 0.6% below the $7.04 consensus view, so estimates are more likely to drift down than up. Management cites about $0.79 per share of FY27 headwinds, including roughly $1.4B after tax from commodities, $300M from higher net interest, $150M from lower non-operating income and $50M from FX, an 11% drag on core EPS growth.</w:t>
      </w:r>
    </w:p>
    <w:p>
      <w:r>
        <w:rPr>
          <w:b/>
        </w:rPr>
        <w:t xml:space="preserve">Recommendation. </w:t>
      </w:r>
      <w:r>
        <w:t>No change to our long-term view of a resilient, volume-growing franchise, but near-term earnings risk is skewed down. We would trim FY27 core EPS toward the $7.00 guidance midpoint and stay neutral until margins stabilise. Watch next quarter: (1) commodity and tariff cost trends versus pricing and productivity; (2) whether volume growth holds near 2% while Health Care recovers; (3) Thorne integration and its effect on margin and leverage; (4) gross-margin direction after 160 bp of reported erosion.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