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2"/>
          <w:szCs w:val="22"/>
        </w:rPr>
      </w:pPr>
      <w:r w:rsidDel="00000000" w:rsidR="00000000" w:rsidRPr="00000000">
        <w:rPr>
          <w:rtl w:val="0"/>
        </w:rPr>
      </w:r>
    </w:p>
    <w:p w:rsidR="00000000" w:rsidDel="00000000" w:rsidP="00000000" w:rsidRDefault="00000000" w:rsidRPr="00000000" w14:paraId="00000002">
      <w:pPr>
        <w:rPr>
          <w:b w:val="1"/>
          <w:color w:val="000000"/>
          <w:sz w:val="22"/>
          <w:szCs w:val="22"/>
        </w:rPr>
      </w:pPr>
      <w:r w:rsidDel="00000000" w:rsidR="00000000" w:rsidRPr="00000000">
        <w:rPr>
          <w:rtl w:val="0"/>
        </w:rPr>
      </w:r>
    </w:p>
    <w:p w:rsidR="00000000" w:rsidDel="00000000" w:rsidP="00000000" w:rsidRDefault="00000000" w:rsidRPr="00000000" w14:paraId="00000003">
      <w:pPr>
        <w:rPr>
          <w:b w:val="1"/>
          <w:color w:val="000000"/>
          <w:sz w:val="22"/>
          <w:szCs w:val="22"/>
        </w:rPr>
      </w:pPr>
      <w:r w:rsidDel="00000000" w:rsidR="00000000" w:rsidRPr="00000000">
        <w:rPr>
          <w:rtl w:val="0"/>
        </w:rPr>
      </w:r>
    </w:p>
    <w:p w:rsidR="00000000" w:rsidDel="00000000" w:rsidP="00000000" w:rsidRDefault="00000000" w:rsidRPr="00000000" w14:paraId="00000004">
      <w:pPr>
        <w:rPr>
          <w:b w:val="1"/>
          <w:color w:val="000000"/>
          <w:sz w:val="22"/>
          <w:szCs w:val="22"/>
        </w:rPr>
      </w:pPr>
      <w:r w:rsidDel="00000000" w:rsidR="00000000" w:rsidRPr="00000000">
        <w:rPr>
          <w:rtl w:val="0"/>
        </w:rPr>
      </w:r>
    </w:p>
    <w:p w:rsidR="00000000" w:rsidDel="00000000" w:rsidP="00000000" w:rsidRDefault="00000000" w:rsidRPr="00000000" w14:paraId="00000005">
      <w:pPr>
        <w:rPr>
          <w:b w:val="1"/>
          <w:color w:val="000000"/>
          <w:sz w:val="22"/>
          <w:szCs w:val="22"/>
        </w:rPr>
      </w:pP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rtl w:val="0"/>
        </w:rPr>
      </w:r>
    </w:p>
    <w:p w:rsidR="00000000" w:rsidDel="00000000" w:rsidP="00000000" w:rsidRDefault="00000000" w:rsidRPr="00000000" w14:paraId="00000008">
      <w:pPr>
        <w:pStyle w:val="Title"/>
        <w:spacing w:after="0" w:lineRule="auto"/>
        <w:jc w:val="center"/>
        <w:rPr/>
      </w:pPr>
      <w:r w:rsidDel="00000000" w:rsidR="00000000" w:rsidRPr="00000000">
        <w:rPr>
          <w:rtl w:val="0"/>
        </w:rPr>
        <w:t xml:space="preserve">Postal Life Insurance</w:t>
      </w:r>
    </w:p>
    <w:p w:rsidR="00000000" w:rsidDel="00000000" w:rsidP="00000000" w:rsidRDefault="00000000" w:rsidRPr="00000000" w14:paraId="00000009">
      <w:pPr>
        <w:pStyle w:val="Title"/>
        <w:spacing w:after="0" w:lineRule="auto"/>
        <w:jc w:val="center"/>
        <w:rPr/>
      </w:pPr>
      <w:r w:rsidDel="00000000" w:rsidR="00000000" w:rsidRPr="00000000">
        <w:rPr>
          <w:rtl w:val="0"/>
        </w:rPr>
        <w:t xml:space="preserve">Department of Post</w:t>
      </w:r>
    </w:p>
    <w:p w:rsidR="00000000" w:rsidDel="00000000" w:rsidP="00000000" w:rsidRDefault="00000000" w:rsidRPr="00000000" w14:paraId="0000000A">
      <w:pPr>
        <w:pStyle w:val="Title"/>
        <w:jc w:val="center"/>
        <w:rPr>
          <w:sz w:val="52"/>
          <w:szCs w:val="5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center"/>
        <w:rPr>
          <w:b w:val="1"/>
          <w:color w:val="215e99"/>
          <w:sz w:val="48"/>
          <w:szCs w:val="48"/>
        </w:rPr>
      </w:pPr>
      <w:r w:rsidDel="00000000" w:rsidR="00000000" w:rsidRPr="00000000">
        <w:rPr>
          <w:b w:val="1"/>
          <w:color w:val="215e99"/>
          <w:sz w:val="48"/>
          <w:szCs w:val="48"/>
          <w:rtl w:val="0"/>
        </w:rPr>
        <w:t xml:space="preserve">Software Requirements Specification (SRS)/ Functional Requirements Specification (FRS)</w:t>
      </w:r>
    </w:p>
    <w:p w:rsidR="00000000" w:rsidDel="00000000" w:rsidP="00000000" w:rsidRDefault="00000000" w:rsidRPr="00000000" w14:paraId="0000000D">
      <w:pPr>
        <w:pStyle w:val="Subtitle"/>
        <w:jc w:val="center"/>
        <w:rPr>
          <w:rFonts w:ascii="Play" w:cs="Play" w:eastAsia="Play" w:hAnsi="Play"/>
          <w:b w:val="1"/>
          <w:color w:val="0e2841"/>
          <w:sz w:val="40"/>
          <w:szCs w:val="40"/>
        </w:rPr>
      </w:pPr>
      <w:r w:rsidDel="00000000" w:rsidR="00000000" w:rsidRPr="00000000">
        <w:rPr>
          <w:rFonts w:ascii="Play" w:cs="Play" w:eastAsia="Play" w:hAnsi="Play"/>
          <w:b w:val="1"/>
          <w:color w:val="0e2841"/>
          <w:sz w:val="40"/>
          <w:szCs w:val="40"/>
          <w:rtl w:val="0"/>
        </w:rPr>
        <w:t xml:space="preserve">Refund of Premium</w:t>
      </w:r>
    </w:p>
    <w:p w:rsidR="00000000" w:rsidDel="00000000" w:rsidP="00000000" w:rsidRDefault="00000000" w:rsidRPr="00000000" w14:paraId="0000000E">
      <w:pPr>
        <w:pStyle w:val="Subtitle"/>
        <w:rPr>
          <w:sz w:val="22"/>
          <w:szCs w:val="22"/>
        </w:rPr>
      </w:pPr>
      <w:r w:rsidDel="00000000" w:rsidR="00000000" w:rsidRPr="00000000">
        <w:rPr>
          <w:sz w:val="22"/>
          <w:szCs w:val="22"/>
          <w:rtl w:val="0"/>
        </w:rPr>
        <w:br w:type="textWrapping"/>
      </w:r>
    </w:p>
    <w:p w:rsidR="00000000" w:rsidDel="00000000" w:rsidP="00000000" w:rsidRDefault="00000000" w:rsidRPr="00000000" w14:paraId="0000000F">
      <w:pPr>
        <w:rPr>
          <w:color w:val="000000"/>
          <w:sz w:val="22"/>
          <w:szCs w:val="22"/>
        </w:rPr>
      </w:pPr>
      <w:r w:rsidDel="00000000" w:rsidR="00000000" w:rsidRPr="00000000">
        <w:rPr>
          <w:rtl w:val="0"/>
        </w:rPr>
      </w:r>
    </w:p>
    <w:p w:rsidR="00000000" w:rsidDel="00000000" w:rsidP="00000000" w:rsidRDefault="00000000" w:rsidRPr="00000000" w14:paraId="00000010">
      <w:pPr>
        <w:rPr>
          <w:color w:val="000000"/>
          <w:sz w:val="22"/>
          <w:szCs w:val="22"/>
        </w:rPr>
      </w:pP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rtl w:val="0"/>
        </w:rPr>
      </w:r>
    </w:p>
    <w:p w:rsidR="00000000" w:rsidDel="00000000" w:rsidP="00000000" w:rsidRDefault="00000000" w:rsidRPr="00000000" w14:paraId="00000014">
      <w:pPr>
        <w:rPr>
          <w:color w:val="000000"/>
          <w:sz w:val="22"/>
          <w:szCs w:val="22"/>
        </w:rPr>
      </w:pPr>
      <w:r w:rsidDel="00000000" w:rsidR="00000000" w:rsidRPr="00000000">
        <w:rPr>
          <w:rtl w:val="0"/>
        </w:rPr>
      </w:r>
    </w:p>
    <w:p w:rsidR="00000000" w:rsidDel="00000000" w:rsidP="00000000" w:rsidRDefault="00000000" w:rsidRPr="00000000" w14:paraId="00000015">
      <w:pPr>
        <w:rPr>
          <w:color w:val="000000"/>
          <w:sz w:val="22"/>
          <w:szCs w:val="22"/>
        </w:rPr>
      </w:pPr>
      <w:r w:rsidDel="00000000" w:rsidR="00000000" w:rsidRPr="00000000">
        <w:rPr>
          <w:rtl w:val="0"/>
        </w:rPr>
      </w:r>
    </w:p>
    <w:p w:rsidR="00000000" w:rsidDel="00000000" w:rsidP="00000000" w:rsidRDefault="00000000" w:rsidRPr="00000000" w14:paraId="00000016">
      <w:pPr>
        <w:rPr>
          <w:color w:val="000000"/>
          <w:sz w:val="22"/>
          <w:szCs w:val="22"/>
        </w:rPr>
      </w:pPr>
      <w:r w:rsidDel="00000000" w:rsidR="00000000" w:rsidRPr="00000000">
        <w:rPr>
          <w:rtl w:val="0"/>
        </w:rPr>
      </w:r>
    </w:p>
    <w:p w:rsidR="00000000" w:rsidDel="00000000" w:rsidP="00000000" w:rsidRDefault="00000000" w:rsidRPr="00000000" w14:paraId="00000017">
      <w:pPr>
        <w:rPr>
          <w:color w:val="000000"/>
          <w:sz w:val="22"/>
          <w:szCs w:val="22"/>
        </w:rPr>
      </w:pPr>
      <w:r w:rsidDel="00000000" w:rsidR="00000000" w:rsidRPr="00000000">
        <w:rPr>
          <w:rtl w:val="0"/>
        </w:rPr>
      </w:r>
    </w:p>
    <w:p w:rsidR="00000000" w:rsidDel="00000000" w:rsidP="00000000" w:rsidRDefault="00000000" w:rsidRPr="00000000" w14:paraId="00000018">
      <w:pPr>
        <w:rPr>
          <w:color w:val="000000"/>
          <w:sz w:val="22"/>
          <w:szCs w:val="22"/>
        </w:rPr>
      </w:pPr>
      <w:r w:rsidDel="00000000" w:rsidR="00000000" w:rsidRPr="00000000">
        <w:rPr>
          <w:rtl w:val="0"/>
        </w:rPr>
      </w:r>
    </w:p>
    <w:p w:rsidR="00000000" w:rsidDel="00000000" w:rsidP="00000000" w:rsidRDefault="00000000" w:rsidRPr="00000000" w14:paraId="00000019">
      <w:pPr>
        <w:rPr>
          <w:color w:val="000000"/>
          <w:sz w:val="22"/>
          <w:szCs w:val="22"/>
        </w:rPr>
      </w:pPr>
      <w:r w:rsidDel="00000000" w:rsidR="00000000" w:rsidRPr="00000000">
        <w:rPr>
          <w:rtl w:val="0"/>
        </w:rPr>
      </w:r>
    </w:p>
    <w:p w:rsidR="00000000" w:rsidDel="00000000" w:rsidP="00000000" w:rsidRDefault="00000000" w:rsidRPr="00000000" w14:paraId="0000001A">
      <w:pPr>
        <w:rPr>
          <w:color w:val="000000"/>
          <w:sz w:val="22"/>
          <w:szCs w:val="22"/>
        </w:rPr>
      </w:pPr>
      <w:r w:rsidDel="00000000" w:rsidR="00000000" w:rsidRPr="00000000">
        <w:rPr>
          <w:rtl w:val="0"/>
        </w:rPr>
      </w:r>
    </w:p>
    <w:p w:rsidR="00000000" w:rsidDel="00000000" w:rsidP="00000000" w:rsidRDefault="00000000" w:rsidRPr="00000000" w14:paraId="0000001B">
      <w:pPr>
        <w:rPr>
          <w:color w:val="000000"/>
          <w:sz w:val="22"/>
          <w:szCs w:val="22"/>
        </w:rPr>
      </w:pP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INTERNAL APPROVAL FORM</w:t>
      </w:r>
    </w:p>
    <w:p w:rsidR="00000000" w:rsidDel="00000000" w:rsidP="00000000" w:rsidRDefault="00000000" w:rsidRPr="00000000" w14:paraId="0000001E">
      <w:pPr>
        <w:rPr>
          <w:b w:val="1"/>
          <w:color w:val="000000"/>
          <w:sz w:val="22"/>
          <w:szCs w:val="22"/>
        </w:rPr>
      </w:pPr>
      <w:r w:rsidDel="00000000" w:rsidR="00000000" w:rsidRPr="00000000">
        <w:rPr>
          <w:rtl w:val="0"/>
        </w:rPr>
      </w:r>
    </w:p>
    <w:p w:rsidR="00000000" w:rsidDel="00000000" w:rsidP="00000000" w:rsidRDefault="00000000" w:rsidRPr="00000000" w14:paraId="0000001F">
      <w:pPr>
        <w:rPr>
          <w:b w:val="1"/>
          <w:color w:val="000000"/>
          <w:sz w:val="22"/>
          <w:szCs w:val="22"/>
        </w:rPr>
      </w:pPr>
      <w:r w:rsidDel="00000000" w:rsidR="00000000" w:rsidRPr="00000000">
        <w:rPr>
          <w:b w:val="1"/>
          <w:color w:val="000000"/>
          <w:sz w:val="22"/>
          <w:szCs w:val="22"/>
          <w:rtl w:val="0"/>
        </w:rPr>
        <w:t xml:space="preserve">Project Name: </w:t>
      </w:r>
      <w:r w:rsidDel="00000000" w:rsidR="00000000" w:rsidRPr="00000000">
        <w:rPr>
          <w:color w:val="000000"/>
          <w:sz w:val="22"/>
          <w:szCs w:val="22"/>
          <w:rtl w:val="0"/>
        </w:rPr>
        <w:t xml:space="preserve">Refund of Premium</w:t>
      </w:r>
      <w:r w:rsidDel="00000000" w:rsidR="00000000" w:rsidRPr="00000000">
        <w:rPr>
          <w:rtl w:val="0"/>
        </w:rPr>
      </w:r>
    </w:p>
    <w:p w:rsidR="00000000" w:rsidDel="00000000" w:rsidP="00000000" w:rsidRDefault="00000000" w:rsidRPr="00000000" w14:paraId="00000020">
      <w:pPr>
        <w:rPr>
          <w:b w:val="1"/>
          <w:color w:val="000000"/>
          <w:sz w:val="22"/>
          <w:szCs w:val="22"/>
        </w:rPr>
      </w:pPr>
      <w:r w:rsidDel="00000000" w:rsidR="00000000" w:rsidRPr="00000000">
        <w:rPr>
          <w:b w:val="1"/>
          <w:color w:val="000000"/>
          <w:sz w:val="22"/>
          <w:szCs w:val="22"/>
          <w:rtl w:val="0"/>
        </w:rPr>
        <w:t xml:space="preserve">Version: 1.0</w:t>
      </w:r>
    </w:p>
    <w:p w:rsidR="00000000" w:rsidDel="00000000" w:rsidP="00000000" w:rsidRDefault="00000000" w:rsidRPr="00000000" w14:paraId="00000021">
      <w:pPr>
        <w:rPr>
          <w:b w:val="1"/>
          <w:color w:val="000000"/>
          <w:sz w:val="22"/>
          <w:szCs w:val="22"/>
        </w:rPr>
      </w:pPr>
      <w:r w:rsidDel="00000000" w:rsidR="00000000" w:rsidRPr="00000000">
        <w:rPr>
          <w:b w:val="1"/>
          <w:color w:val="000000"/>
          <w:sz w:val="22"/>
          <w:szCs w:val="22"/>
          <w:rtl w:val="0"/>
        </w:rPr>
        <w:t xml:space="preserve">Submitted on: </w:t>
      </w:r>
    </w:p>
    <w:tbl>
      <w:tblPr>
        <w:tblStyle w:val="Table1"/>
        <w:tblW w:w="9067.0" w:type="dxa"/>
        <w:jc w:val="left"/>
        <w:tblLayout w:type="fixed"/>
        <w:tblLook w:val="0400"/>
      </w:tblPr>
      <w:tblGrid>
        <w:gridCol w:w="1537"/>
        <w:gridCol w:w="5121"/>
        <w:gridCol w:w="2409"/>
        <w:tblGridChange w:id="0">
          <w:tblGrid>
            <w:gridCol w:w="1537"/>
            <w:gridCol w:w="5121"/>
            <w:gridCol w:w="2409"/>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rPr>
                <w:b w:val="1"/>
                <w:color w:val="000000"/>
                <w:sz w:val="22"/>
                <w:szCs w:val="22"/>
              </w:rPr>
            </w:pPr>
            <w:r w:rsidDel="00000000" w:rsidR="00000000" w:rsidRPr="00000000">
              <w:rPr>
                <w:b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rPr>
                <w:b w:val="1"/>
                <w:color w:val="000000"/>
                <w:sz w:val="22"/>
                <w:szCs w:val="22"/>
              </w:rPr>
            </w:pPr>
            <w:r w:rsidDel="00000000" w:rsidR="00000000" w:rsidRPr="00000000">
              <w:rPr>
                <w:b w:val="1"/>
                <w:color w:val="000000"/>
                <w:sz w:val="22"/>
                <w:szCs w:val="22"/>
                <w:rtl w:val="0"/>
              </w:rPr>
              <w:t xml:space="preserve">Date</w:t>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rPr>
                <w:b w:val="1"/>
                <w:color w:val="000000"/>
                <w:sz w:val="22"/>
                <w:szCs w:val="22"/>
              </w:rPr>
            </w:pPr>
            <w:r w:rsidDel="00000000" w:rsidR="00000000" w:rsidRPr="00000000">
              <w:rPr>
                <w:b w:val="1"/>
                <w:color w:val="000000"/>
                <w:sz w:val="22"/>
                <w:szCs w:val="22"/>
                <w:rtl w:val="0"/>
              </w:rPr>
              <w:t xml:space="preserve">Approved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rPr>
                <w:b w:val="1"/>
                <w:color w:val="000000"/>
                <w:sz w:val="22"/>
                <w:szCs w:val="22"/>
              </w:rPr>
            </w:pP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rPr>
                <w:b w:val="1"/>
                <w:color w:val="000000"/>
                <w:sz w:val="22"/>
                <w:szCs w:val="22"/>
              </w:rPr>
            </w:pPr>
            <w:r w:rsidDel="00000000" w:rsidR="00000000" w:rsidRPr="00000000">
              <w:rPr>
                <w:b w:val="1"/>
                <w:color w:val="000000"/>
                <w:sz w:val="22"/>
                <w:szCs w:val="22"/>
                <w:rtl w:val="0"/>
              </w:rPr>
              <w:t xml:space="preserve">Reviewed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rPr>
                <w:b w:val="1"/>
                <w:color w:val="000000"/>
                <w:sz w:val="22"/>
                <w:szCs w:val="22"/>
              </w:rPr>
            </w:pPr>
            <w:r w:rsidDel="00000000" w:rsidR="00000000" w:rsidRPr="00000000">
              <w:rPr>
                <w:rtl w:val="0"/>
              </w:rPr>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rPr>
                <w:b w:val="1"/>
                <w:color w:val="000000"/>
                <w:sz w:val="22"/>
                <w:szCs w:val="22"/>
              </w:rPr>
            </w:pPr>
            <w:r w:rsidDel="00000000" w:rsidR="00000000" w:rsidRPr="00000000">
              <w:rPr>
                <w:b w:val="1"/>
                <w:color w:val="000000"/>
                <w:sz w:val="22"/>
                <w:szCs w:val="22"/>
                <w:rtl w:val="0"/>
              </w:rPr>
              <w:t xml:space="preserve">Prepared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rPr>
                <w:b w:val="1"/>
                <w:color w:val="000000"/>
                <w:sz w:val="22"/>
                <w:szCs w:val="22"/>
              </w:rPr>
            </w:pPr>
            <w:r w:rsidDel="00000000" w:rsidR="00000000" w:rsidRPr="00000000">
              <w:rPr>
                <w:rtl w:val="0"/>
              </w:rPr>
            </w:r>
          </w:p>
          <w:p w:rsidR="00000000" w:rsidDel="00000000" w:rsidP="00000000" w:rsidRDefault="00000000" w:rsidRPr="00000000" w14:paraId="0000002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rPr>
                <w:b w:val="1"/>
                <w:color w:val="000000"/>
                <w:sz w:val="22"/>
                <w:szCs w:val="22"/>
              </w:rPr>
            </w:pPr>
            <w:r w:rsidDel="00000000" w:rsidR="00000000" w:rsidRPr="00000000">
              <w:rPr>
                <w:rtl w:val="0"/>
              </w:rPr>
            </w:r>
          </w:p>
        </w:tc>
      </w:tr>
    </w:tbl>
    <w:p w:rsidR="00000000" w:rsidDel="00000000" w:rsidP="00000000" w:rsidRDefault="00000000" w:rsidRPr="00000000" w14:paraId="0000002F">
      <w:pPr>
        <w:rPr>
          <w:b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VERSION CONTROL LOG</w:t>
      </w:r>
    </w:p>
    <w:tbl>
      <w:tblPr>
        <w:tblStyle w:val="Table2"/>
        <w:tblW w:w="9067.0" w:type="dxa"/>
        <w:jc w:val="left"/>
        <w:tblLayout w:type="fixed"/>
        <w:tblLook w:val="0400"/>
      </w:tblPr>
      <w:tblGrid>
        <w:gridCol w:w="1282"/>
        <w:gridCol w:w="914"/>
        <w:gridCol w:w="1872"/>
        <w:gridCol w:w="4999"/>
        <w:tblGridChange w:id="0">
          <w:tblGrid>
            <w:gridCol w:w="1282"/>
            <w:gridCol w:w="914"/>
            <w:gridCol w:w="1872"/>
            <w:gridCol w:w="4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b w:val="1"/>
                <w:color w:val="000000"/>
                <w:sz w:val="22"/>
                <w:szCs w:val="22"/>
              </w:rPr>
            </w:pPr>
            <w:r w:rsidDel="00000000" w:rsidR="00000000" w:rsidRPr="00000000">
              <w:rPr>
                <w:b w:val="1"/>
                <w:color w:val="000000"/>
                <w:sz w:val="22"/>
                <w:szCs w:val="22"/>
                <w:rtl w:val="0"/>
              </w:rPr>
              <w:t xml:space="preserve">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color w:val="000000"/>
                <w:sz w:val="22"/>
                <w:szCs w:val="22"/>
              </w:rPr>
            </w:pPr>
            <w:r w:rsidDel="00000000" w:rsidR="00000000" w:rsidRPr="00000000">
              <w:rPr>
                <w:b w:val="1"/>
                <w:color w:val="000000"/>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b w:val="1"/>
                <w:color w:val="000000"/>
                <w:sz w:val="22"/>
                <w:szCs w:val="22"/>
              </w:rPr>
            </w:pPr>
            <w:r w:rsidDel="00000000" w:rsidR="00000000" w:rsidRPr="00000000">
              <w:rPr>
                <w:b w:val="1"/>
                <w:color w:val="000000"/>
                <w:sz w:val="22"/>
                <w:szCs w:val="22"/>
                <w:rtl w:val="0"/>
              </w:rPr>
              <w:t xml:space="preserve">Prepared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b w:val="1"/>
                <w:color w:val="000000"/>
                <w:sz w:val="22"/>
                <w:szCs w:val="22"/>
              </w:rPr>
            </w:pPr>
            <w:r w:rsidDel="00000000" w:rsidR="00000000" w:rsidRPr="00000000">
              <w:rPr>
                <w:b w:val="1"/>
                <w:color w:val="000000"/>
                <w:sz w:val="22"/>
                <w:szCs w:val="22"/>
                <w:rtl w:val="0"/>
              </w:rPr>
              <w:t xml:space="preserve">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rPr>
                <w:b w:val="1"/>
                <w:color w:val="000000"/>
                <w:sz w:val="22"/>
                <w:szCs w:val="22"/>
              </w:rPr>
            </w:pPr>
            <w:r w:rsidDel="00000000" w:rsidR="00000000" w:rsidRPr="00000000">
              <w:rPr>
                <w:b w:val="1"/>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b w:val="1"/>
                <w:color w:val="000000"/>
                <w:sz w:val="22"/>
                <w:szCs w:val="22"/>
              </w:rPr>
            </w:pPr>
            <w:r w:rsidDel="00000000" w:rsidR="00000000" w:rsidRPr="00000000">
              <w:rPr>
                <w:rtl w:val="0"/>
              </w:rPr>
            </w:r>
          </w:p>
        </w:tc>
      </w:tr>
    </w:tbl>
    <w:p w:rsidR="00000000" w:rsidDel="00000000" w:rsidP="00000000" w:rsidRDefault="00000000" w:rsidRPr="00000000" w14:paraId="00000049">
      <w:pPr>
        <w:rPr>
          <w:b w:val="1"/>
          <w:color w:val="000000"/>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40"/>
          <w:szCs w:val="40"/>
          <w:u w:val="none"/>
          <w:shd w:fill="auto" w:val="clear"/>
          <w:vertAlign w:val="baseline"/>
        </w:rPr>
      </w:pPr>
      <w:r w:rsidDel="00000000" w:rsidR="00000000" w:rsidRPr="00000000">
        <w:rPr>
          <w:rFonts w:ascii="Play" w:cs="Play" w:eastAsia="Play" w:hAnsi="Play"/>
          <w:b w:val="0"/>
          <w:i w:val="0"/>
          <w:smallCaps w:val="0"/>
          <w:strike w:val="0"/>
          <w:color w:val="0f4761"/>
          <w:sz w:val="40"/>
          <w:szCs w:val="40"/>
          <w:u w:val="none"/>
          <w:shd w:fill="auto" w:val="clear"/>
          <w:vertAlign w:val="baseline"/>
          <w:rtl w:val="0"/>
        </w:rPr>
        <w:t xml:space="preserve">Table of Contents</w:t>
      </w:r>
    </w:p>
    <w:p w:rsidR="00000000" w:rsidDel="00000000" w:rsidP="00000000" w:rsidRDefault="00000000" w:rsidRPr="00000000" w14:paraId="0000004D">
      <w:pPr>
        <w:rPr/>
      </w:pPr>
      <w:r w:rsidDel="00000000" w:rsidR="00000000" w:rsidRPr="00000000">
        <w:rPr>
          <w:rtl w:val="0"/>
        </w:rPr>
      </w:r>
    </w:p>
    <w:sdt>
      <w:sdtPr>
        <w:id w:val="-594120532"/>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niqs5aas2v8">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1. Executive Summary</w:t>
            </w:r>
          </w:hyperlink>
          <w:hyperlink w:anchor="_tniqs5aas2v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f1karwiuhpd">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Project Scope</w:t>
            </w:r>
          </w:hyperlink>
          <w:hyperlink w:anchor="_f1karwiuhp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e1olv8qbnpq7">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3. Business Requirements</w:t>
            </w:r>
          </w:hyperlink>
          <w:hyperlink w:anchor="_e1olv8qbnpq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dhj3jpmd8dpy">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 Functional Requirements Specification</w:t>
            </w:r>
          </w:hyperlink>
          <w:hyperlink w:anchor="_dhj3jpmd8dp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u8rltpp9e3j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4.1 Non-Financial Service Request Indexing page</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bvhbe5iq7za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4.2 Duplicate Policy Bond Page</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gt2esnb3zdr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5. Attachments</w:t>
            </w:r>
          </w:hyperlink>
          <w:hyperlink w:anchor="_gt2esnb3zdr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b w:val="1"/>
        </w:rPr>
      </w:pPr>
      <w:bookmarkStart w:colFirst="0" w:colLast="0" w:name="_tniqs5aas2v8" w:id="0"/>
      <w:bookmarkEnd w:id="0"/>
      <w:r w:rsidDel="00000000" w:rsidR="00000000" w:rsidRPr="00000000">
        <w:rPr>
          <w:b w:val="1"/>
          <w:rtl w:val="0"/>
        </w:rPr>
        <w:t xml:space="preserve">1. Executive Summary</w:t>
      </w:r>
    </w:p>
    <w:p w:rsidR="00000000" w:rsidDel="00000000" w:rsidP="00000000" w:rsidRDefault="00000000" w:rsidRPr="00000000" w14:paraId="00000059">
      <w:pPr>
        <w:jc w:val="both"/>
        <w:rPr/>
      </w:pPr>
      <w:r w:rsidDel="00000000" w:rsidR="00000000" w:rsidRPr="00000000">
        <w:rPr>
          <w:rtl w:val="0"/>
        </w:rPr>
        <w:t xml:space="preserve">This document outlines the Software Requirements Specification (SRS) for the Refund of Premium module in the India Post PLI Insurance Management System (IMS 2.0). The objective is to digitize and streamline the refund process, replacing the current manual and paper-based system with an automated, transparent, and efficient digital workflow.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b w:val="1"/>
        </w:rPr>
      </w:pPr>
      <w:bookmarkStart w:colFirst="0" w:colLast="0" w:name="_f1karwiuhpd" w:id="1"/>
      <w:bookmarkEnd w:id="1"/>
      <w:r w:rsidDel="00000000" w:rsidR="00000000" w:rsidRPr="00000000">
        <w:rPr>
          <w:b w:val="1"/>
          <w:rtl w:val="0"/>
        </w:rPr>
        <w:t xml:space="preserve">2. Project Scope</w:t>
      </w:r>
    </w:p>
    <w:p w:rsidR="00000000" w:rsidDel="00000000" w:rsidP="00000000" w:rsidRDefault="00000000" w:rsidRPr="00000000" w14:paraId="0000005C">
      <w:pPr>
        <w:jc w:val="both"/>
        <w:rPr/>
      </w:pPr>
      <w:r w:rsidDel="00000000" w:rsidR="00000000" w:rsidRPr="00000000">
        <w:rPr>
          <w:rtl w:val="0"/>
        </w:rPr>
        <w:t xml:space="preserve">The Refund of Premium module will enable customers to request refunds for premium payments made erroneously. The system will automate validation, computation, and disbursement of refunds, integrating with financial systems such as NEFT, POSB, and IPPB.</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b w:val="1"/>
        </w:rPr>
      </w:pPr>
      <w:bookmarkStart w:colFirst="0" w:colLast="0" w:name="_e1olv8qbnpq7" w:id="2"/>
      <w:bookmarkEnd w:id="2"/>
      <w:r w:rsidDel="00000000" w:rsidR="00000000" w:rsidRPr="00000000">
        <w:rPr>
          <w:b w:val="1"/>
          <w:rtl w:val="0"/>
        </w:rPr>
        <w:t xml:space="preserve">3. Business Requirements</w:t>
      </w:r>
    </w:p>
    <w:p w:rsidR="00000000" w:rsidDel="00000000" w:rsidP="00000000" w:rsidRDefault="00000000" w:rsidRPr="00000000" w14:paraId="0000005F">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608"/>
        <w:tblGridChange w:id="0">
          <w:tblGrid>
            <w:gridCol w:w="1418"/>
            <w:gridCol w:w="7608"/>
          </w:tblGrid>
        </w:tblGridChange>
      </w:tblGrid>
      <w:tr>
        <w:trPr>
          <w:cantSplit w:val="0"/>
          <w:trHeight w:val="300" w:hRule="atLeast"/>
          <w:tblHeader w:val="0"/>
        </w:trPr>
        <w:tc>
          <w:tcPr>
            <w:shd w:fill="c00000" w:val="clear"/>
          </w:tcPr>
          <w:p w:rsidR="00000000" w:rsidDel="00000000" w:rsidP="00000000" w:rsidRDefault="00000000" w:rsidRPr="00000000" w14:paraId="00000060">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ID</w:t>
            </w:r>
          </w:p>
        </w:tc>
        <w:tc>
          <w:tcPr>
            <w:shd w:fill="c00000" w:val="clear"/>
          </w:tcPr>
          <w:p w:rsidR="00000000" w:rsidDel="00000000" w:rsidP="00000000" w:rsidRDefault="00000000" w:rsidRPr="00000000" w14:paraId="00000061">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Requirements</w:t>
            </w:r>
          </w:p>
        </w:tc>
      </w:tr>
      <w:tr>
        <w:trPr>
          <w:cantSplit w:val="0"/>
          <w:trHeight w:val="300" w:hRule="atLeast"/>
          <w:tblHeader w:val="0"/>
        </w:trPr>
        <w:tc>
          <w:tcPr/>
          <w:p w:rsidR="00000000" w:rsidDel="00000000" w:rsidP="00000000" w:rsidRDefault="00000000" w:rsidRPr="00000000" w14:paraId="00000062">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FS_ROP_001</w:t>
            </w:r>
          </w:p>
        </w:tc>
        <w:tc>
          <w:tcPr/>
          <w:p w:rsidR="00000000" w:rsidDel="00000000" w:rsidP="00000000" w:rsidRDefault="00000000" w:rsidRPr="00000000" w14:paraId="00000063">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System shall allow customers to submit refund requests digitally.</w:t>
            </w:r>
          </w:p>
        </w:tc>
      </w:tr>
      <w:tr>
        <w:trPr>
          <w:cantSplit w:val="0"/>
          <w:trHeight w:val="300" w:hRule="atLeast"/>
          <w:tblHeader w:val="0"/>
        </w:trPr>
        <w:tc>
          <w:tcPr/>
          <w:p w:rsidR="00000000" w:rsidDel="00000000" w:rsidP="00000000" w:rsidRDefault="00000000" w:rsidRPr="00000000" w14:paraId="00000064">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FS_ROP_002</w:t>
            </w:r>
          </w:p>
        </w:tc>
        <w:tc>
          <w:tcPr/>
          <w:p w:rsidR="00000000" w:rsidDel="00000000" w:rsidP="00000000" w:rsidRDefault="00000000" w:rsidRPr="00000000" w14:paraId="00000065">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System shall compute refund amount with applicable GST/TDS rules.</w:t>
            </w:r>
          </w:p>
        </w:tc>
      </w:tr>
      <w:tr>
        <w:trPr>
          <w:cantSplit w:val="0"/>
          <w:trHeight w:val="300" w:hRule="atLeast"/>
          <w:tblHeader w:val="0"/>
        </w:trPr>
        <w:tc>
          <w:tcPr/>
          <w:p w:rsidR="00000000" w:rsidDel="00000000" w:rsidP="00000000" w:rsidRDefault="00000000" w:rsidRPr="00000000" w14:paraId="00000066">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FS_ROP_003</w:t>
            </w:r>
          </w:p>
        </w:tc>
        <w:tc>
          <w:tcPr/>
          <w:p w:rsidR="00000000" w:rsidDel="00000000" w:rsidP="00000000" w:rsidRDefault="00000000" w:rsidRPr="00000000" w14:paraId="00000067">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System shall disburse refunds via NEFT, POSB, or IPPB.</w:t>
            </w:r>
          </w:p>
        </w:tc>
      </w:tr>
      <w:tr>
        <w:trPr>
          <w:cantSplit w:val="0"/>
          <w:trHeight w:val="300" w:hRule="atLeast"/>
          <w:tblHeader w:val="0"/>
        </w:trPr>
        <w:tc>
          <w:tcPr/>
          <w:p w:rsidR="00000000" w:rsidDel="00000000" w:rsidP="00000000" w:rsidRDefault="00000000" w:rsidRPr="00000000" w14:paraId="00000068">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FS_ROP_004</w:t>
            </w:r>
          </w:p>
        </w:tc>
        <w:tc>
          <w:tcPr/>
          <w:p w:rsidR="00000000" w:rsidDel="00000000" w:rsidP="00000000" w:rsidRDefault="00000000" w:rsidRPr="00000000" w14:paraId="0000006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System shall notify customers of refund status at each stage.</w:t>
            </w:r>
          </w:p>
        </w:tc>
      </w:tr>
      <w:tr>
        <w:trPr>
          <w:cantSplit w:val="0"/>
          <w:trHeight w:val="300" w:hRule="atLeast"/>
          <w:tblHeader w:val="0"/>
        </w:trPr>
        <w:tc>
          <w:tcPr/>
          <w:p w:rsidR="00000000" w:rsidDel="00000000" w:rsidP="00000000" w:rsidRDefault="00000000" w:rsidRPr="00000000" w14:paraId="0000006A">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FS_ROP_005</w:t>
            </w:r>
          </w:p>
        </w:tc>
        <w:tc>
          <w:tcPr/>
          <w:p w:rsidR="00000000" w:rsidDel="00000000" w:rsidP="00000000" w:rsidRDefault="00000000" w:rsidRPr="00000000" w14:paraId="0000006B">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System shall maintain a complete audit trail of all refund transactions.</w:t>
            </w:r>
          </w:p>
        </w:tc>
      </w:tr>
    </w:tbl>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rPr>
      </w:pPr>
      <w:r w:rsidDel="00000000" w:rsidR="00000000" w:rsidRPr="00000000">
        <w:rPr>
          <w:b w:val="1"/>
          <w:rtl w:val="0"/>
        </w:rPr>
        <w:t xml:space="preserve">Refund of premium process:</w:t>
      </w:r>
    </w:p>
    <w:p w:rsidR="00000000" w:rsidDel="00000000" w:rsidP="00000000" w:rsidRDefault="00000000" w:rsidRPr="00000000" w14:paraId="0000006E">
      <w:pPr>
        <w:jc w:val="center"/>
        <w:rPr>
          <w:b w:val="1"/>
        </w:rPr>
      </w:pPr>
      <w:r w:rsidDel="00000000" w:rsidR="00000000" w:rsidRPr="00000000">
        <w:rPr>
          <w:b w:val="1"/>
        </w:rPr>
        <w:drawing>
          <wp:inline distB="0" distT="0" distL="0" distR="0">
            <wp:extent cx="4061751" cy="270768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61751" cy="270768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b w:val="1"/>
        </w:rPr>
      </w:pPr>
      <w:bookmarkStart w:colFirst="0" w:colLast="0" w:name="_dhj3jpmd8dpy" w:id="3"/>
      <w:bookmarkEnd w:id="3"/>
      <w:r w:rsidDel="00000000" w:rsidR="00000000" w:rsidRPr="00000000">
        <w:rPr>
          <w:b w:val="1"/>
          <w:rtl w:val="0"/>
        </w:rPr>
        <w:t xml:space="preserve">4. Functional Requirements Specification</w:t>
      </w:r>
    </w:p>
    <w:p w:rsidR="00000000" w:rsidDel="00000000" w:rsidP="00000000" w:rsidRDefault="00000000" w:rsidRPr="00000000" w14:paraId="00000070">
      <w:pPr>
        <w:pStyle w:val="Heading2"/>
        <w:rPr/>
      </w:pPr>
      <w:bookmarkStart w:colFirst="0" w:colLast="0" w:name="_u8rltpp9e3j1" w:id="4"/>
      <w:bookmarkEnd w:id="4"/>
      <w:r w:rsidDel="00000000" w:rsidR="00000000" w:rsidRPr="00000000">
        <w:rPr>
          <w:rtl w:val="0"/>
        </w:rPr>
        <w:t xml:space="preserve">4.1 Non-Financial Service Request Indexing page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create Service Request for Refund of Premium.</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Date: Calendar: Date on which service request is indexed.</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Text</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customerId: Unique ID of the customer (e.g., CIF or Aadhaar-linked ID).</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refundReason: Reason for requesting the refund (e.g., duplicate payment, wrong deposit).</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paymentDate: Date on which the premium payment was made.</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paymentAmount: Amount paid by the customer.</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paymentMode: Mode of payment used (e.g., Online, POSB, IPPB, Cash).</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receiptNumber: Receipt or transaction ID associated with the payment.</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bankAccountNumber: Customer’s bank account number for receiving the refund.</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ifscCode: IFSC code of the customer’s bank branch.</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bankName: Name of the bank where the refund will be credited.</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accountHolderName: Name of the account holder as per bank records.</w:t>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supportingDocuments: Optional documents such as payment proof or cancelled cheque (usually in Base64 or as a file URL).</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remarks: Any additional comments or notes related to the refund request.</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Office Code: Text: Facility ID of the office where request is getting indexed </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Channel: Text: Channel for the service request like RICT, CP etc.</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Username: Text: Emp ID of the user indexing the request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should get created and CPC User should be able to open the details.</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Automatic Payment should be processed once the request got approved by CPC User in the bank account details provided by customer.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2"/>
        <w:rPr>
          <w:b w:val="1"/>
        </w:rPr>
      </w:pPr>
      <w:bookmarkStart w:colFirst="0" w:colLast="0" w:name="_gt2esnb3zdrr" w:id="5"/>
      <w:bookmarkEnd w:id="5"/>
      <w:r w:rsidDel="00000000" w:rsidR="00000000" w:rsidRPr="00000000">
        <w:rPr>
          <w:b w:val="1"/>
          <w:rtl w:val="0"/>
        </w:rPr>
        <w:t xml:space="preserve">5. Attachments</w:t>
      </w:r>
    </w:p>
    <w:p w:rsidR="00000000" w:rsidDel="00000000" w:rsidP="00000000" w:rsidRDefault="00000000" w:rsidRPr="00000000" w14:paraId="00000089">
      <w:pPr>
        <w:rPr/>
      </w:pPr>
      <w:r w:rsidDel="00000000" w:rsidR="00000000" w:rsidRPr="00000000">
        <w:rPr>
          <w:rtl w:val="0"/>
        </w:rPr>
        <w:t xml:space="preserve">The following documents can be referred.</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Aptos Narrow"/>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mc:AlternateContent>
        <mc:Choice Requires="wps">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
              <a:graphic>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val="1"/>
                              <w:bCs w:val="1"/>
                              <w:kern w:val="0"/>
                            </w:rPr>
                            <w:alias w:val="Title"/>
                            <w:dataBinding w:prefixMappings="xmlns:ns0='http://purl.org/dc/elements/1.1/' xmlns:ns1='http://schemas.openxmlformats.org/package/2006/metadata/core-properties' " w:storeItemID="{6C3C8BC8-F283-45AE-878A-BAB7291924A1}" w:xpath="/ns1:coreProperties[1]/ns0:title[1]"/>
                            <w:id w:val="1189017394"/>
                            <w:tag w:val=""/>
                            <w:text/>
                          </w:sdtPr>
                          <w:sdtEndPr/>
                          <w:sdtContent>
                            <w:p w:rsidR="00DE0FDC" w:rsidDel="00000000" w:rsidP="00072B9B" w:rsidRDefault="00FC7039" w:rsidRPr="00072B9B" w14:paraId="7B690C2A" w14:textId="42887C83">
                              <w:pPr>
                                <w:pStyle w:val="Header"/>
                                <w:jc w:val="both"/>
                                <w:rPr>
                                  <w:b w:val="1"/>
                                  <w:bCs w:val="1"/>
                                  <w:caps w:val="1"/>
                                  <w:color w:val="ffffff" w:themeColor="background1"/>
                                </w:rPr>
                              </w:pPr>
                              <w:r w:rsidDel="00000000" w:rsidR="00000000" w:rsidRPr="00000000">
                                <w:rPr>
                                  <w:b w:val="1"/>
                                  <w:bCs w:val="1"/>
                                  <w:kern w:val="0"/>
                                </w:rPr>
                                <w:t xml:space="preserve">SRS/FRS- </w:t>
                              </w:r>
                              <w:r w:rsidDel="00000000" w:rsidR="00D6136C" w:rsidRPr="00000000">
                                <w:rPr>
                                  <w:b w:val="1"/>
                                  <w:bCs w:val="1"/>
                                  <w:kern w:val="0"/>
                                </w:rPr>
                                <w:t>Refund of Premium</w:t>
                              </w:r>
                            </w:p>
                          </w:sdtContent>
                        </w:sdt>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30900" cy="2698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5358765</wp:posOffset>
          </wp:positionH>
          <wp:positionV relativeFrom="paragraph">
            <wp:posOffset>-102450</wp:posOffset>
          </wp:positionV>
          <wp:extent cx="933450" cy="61150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33450" cy="6115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