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61812" w14:textId="77777777" w:rsidR="00DD21ED" w:rsidRDefault="00DD21ED" w:rsidP="00801091">
      <w:pPr>
        <w:jc w:val="center"/>
        <w:rPr>
          <w:b/>
          <w:bCs/>
        </w:rPr>
      </w:pPr>
    </w:p>
    <w:p w14:paraId="295BA968" w14:textId="77777777" w:rsidR="00DD21ED" w:rsidRDefault="00DD21ED" w:rsidP="00801091">
      <w:pPr>
        <w:jc w:val="center"/>
        <w:rPr>
          <w:b/>
          <w:bCs/>
        </w:rPr>
      </w:pPr>
    </w:p>
    <w:p w14:paraId="67BE344B" w14:textId="77777777" w:rsidR="00DD21ED" w:rsidRDefault="00DD21ED" w:rsidP="00801091">
      <w:pPr>
        <w:jc w:val="center"/>
        <w:rPr>
          <w:b/>
          <w:bCs/>
        </w:rPr>
      </w:pPr>
    </w:p>
    <w:p w14:paraId="38C649AD" w14:textId="77777777" w:rsidR="00DD21ED" w:rsidRDefault="00DD21ED" w:rsidP="00801091">
      <w:pPr>
        <w:jc w:val="center"/>
        <w:rPr>
          <w:b/>
          <w:bCs/>
        </w:rPr>
      </w:pPr>
    </w:p>
    <w:p w14:paraId="246F9C11" w14:textId="77777777" w:rsidR="00DD21ED" w:rsidRDefault="00DD21ED" w:rsidP="00801091">
      <w:pPr>
        <w:jc w:val="center"/>
        <w:rPr>
          <w:b/>
          <w:bCs/>
        </w:rPr>
      </w:pPr>
    </w:p>
    <w:p w14:paraId="194FF1E9" w14:textId="77777777" w:rsidR="00DD21ED" w:rsidRDefault="00DD21ED" w:rsidP="00801091">
      <w:pPr>
        <w:jc w:val="center"/>
        <w:rPr>
          <w:b/>
          <w:bCs/>
        </w:rPr>
      </w:pPr>
    </w:p>
    <w:p w14:paraId="43407661" w14:textId="77777777" w:rsidR="00DD21ED" w:rsidRDefault="00DD21ED" w:rsidP="00801091">
      <w:pPr>
        <w:jc w:val="center"/>
        <w:rPr>
          <w:b/>
          <w:bCs/>
        </w:rPr>
      </w:pPr>
    </w:p>
    <w:p w14:paraId="7227BCAE" w14:textId="77777777" w:rsidR="00DD21ED" w:rsidRDefault="00DD21ED" w:rsidP="00801091">
      <w:pPr>
        <w:jc w:val="center"/>
        <w:rPr>
          <w:b/>
          <w:bCs/>
        </w:rPr>
      </w:pPr>
    </w:p>
    <w:p w14:paraId="7BB869F2" w14:textId="77777777" w:rsidR="00DD21ED" w:rsidRDefault="00DD21ED" w:rsidP="00801091">
      <w:pPr>
        <w:jc w:val="center"/>
        <w:rPr>
          <w:b/>
          <w:bCs/>
        </w:rPr>
      </w:pPr>
    </w:p>
    <w:p w14:paraId="629649ED" w14:textId="797E420A" w:rsidR="00801091" w:rsidRPr="000170B0" w:rsidRDefault="00801091" w:rsidP="00801091">
      <w:pPr>
        <w:jc w:val="center"/>
        <w:rPr>
          <w:b/>
          <w:bCs/>
        </w:rPr>
      </w:pPr>
      <w:r w:rsidRPr="000170B0">
        <w:rPr>
          <w:b/>
          <w:bCs/>
        </w:rPr>
        <w:t>Postal Life Insurance</w:t>
      </w:r>
    </w:p>
    <w:p w14:paraId="3A9F0421" w14:textId="77777777" w:rsidR="00801091" w:rsidRPr="000170B0" w:rsidRDefault="00801091" w:rsidP="00801091">
      <w:pPr>
        <w:jc w:val="center"/>
        <w:rPr>
          <w:b/>
          <w:bCs/>
        </w:rPr>
      </w:pPr>
      <w:r w:rsidRPr="000170B0">
        <w:rPr>
          <w:b/>
          <w:bCs/>
        </w:rPr>
        <w:t>Department of Post</w:t>
      </w:r>
    </w:p>
    <w:p w14:paraId="016E4992" w14:textId="77777777" w:rsidR="00801091" w:rsidRPr="000170B0" w:rsidRDefault="00801091" w:rsidP="00801091">
      <w:pPr>
        <w:jc w:val="center"/>
      </w:pPr>
    </w:p>
    <w:p w14:paraId="7F0928DF" w14:textId="77777777" w:rsidR="00801091" w:rsidRPr="000170B0" w:rsidRDefault="00801091" w:rsidP="00801091">
      <w:pPr>
        <w:jc w:val="center"/>
      </w:pPr>
    </w:p>
    <w:p w14:paraId="1D71F41E" w14:textId="77777777" w:rsidR="00801091" w:rsidRPr="000170B0" w:rsidRDefault="00801091" w:rsidP="00801091">
      <w:pPr>
        <w:jc w:val="center"/>
        <w:rPr>
          <w:b/>
        </w:rPr>
      </w:pPr>
      <w:r w:rsidRPr="000170B0">
        <w:rPr>
          <w:b/>
        </w:rPr>
        <w:t>Software Requirements Specification (SRS)</w:t>
      </w:r>
    </w:p>
    <w:p w14:paraId="37AEE0B7" w14:textId="77777777" w:rsidR="00801091" w:rsidRPr="000170B0" w:rsidRDefault="00801091" w:rsidP="00801091">
      <w:pPr>
        <w:jc w:val="center"/>
        <w:rPr>
          <w:b/>
          <w:bCs/>
        </w:rPr>
      </w:pPr>
    </w:p>
    <w:p w14:paraId="4AEFA0B3" w14:textId="0CF5CB2E" w:rsidR="00801091" w:rsidRPr="000170B0" w:rsidRDefault="00801091" w:rsidP="00801091">
      <w:pPr>
        <w:rPr>
          <w:b/>
          <w:bCs/>
        </w:rPr>
      </w:pPr>
      <w:r>
        <w:rPr>
          <w:b/>
          <w:bCs/>
        </w:rPr>
        <w:t xml:space="preserve">                                   1. Policy – </w:t>
      </w:r>
      <w:r w:rsidR="00A33C33">
        <w:rPr>
          <w:b/>
          <w:bCs/>
        </w:rPr>
        <w:t>paid up/auto paid up</w:t>
      </w:r>
    </w:p>
    <w:p w14:paraId="7C55A774" w14:textId="77777777" w:rsidR="00801091" w:rsidRDefault="00801091" w:rsidP="00801091">
      <w:pPr>
        <w:jc w:val="center"/>
        <w:rPr>
          <w:b/>
          <w:bCs/>
        </w:rPr>
      </w:pPr>
    </w:p>
    <w:p w14:paraId="7D060BFE" w14:textId="77777777" w:rsidR="00801091" w:rsidRDefault="00801091" w:rsidP="00801091">
      <w:pPr>
        <w:jc w:val="center"/>
        <w:rPr>
          <w:b/>
          <w:bCs/>
        </w:rPr>
      </w:pPr>
    </w:p>
    <w:p w14:paraId="6C06FD0B" w14:textId="77777777" w:rsidR="00801091" w:rsidRDefault="00801091" w:rsidP="00801091">
      <w:pPr>
        <w:jc w:val="center"/>
        <w:rPr>
          <w:b/>
          <w:bCs/>
        </w:rPr>
      </w:pPr>
    </w:p>
    <w:p w14:paraId="63266CE1" w14:textId="77777777" w:rsidR="00801091" w:rsidRDefault="00801091" w:rsidP="00801091">
      <w:pPr>
        <w:jc w:val="center"/>
        <w:rPr>
          <w:b/>
          <w:bCs/>
        </w:rPr>
      </w:pPr>
    </w:p>
    <w:p w14:paraId="542BE481" w14:textId="77777777" w:rsidR="00801091" w:rsidRDefault="00801091" w:rsidP="00801091">
      <w:pPr>
        <w:jc w:val="center"/>
        <w:rPr>
          <w:b/>
          <w:bCs/>
        </w:rPr>
      </w:pPr>
    </w:p>
    <w:p w14:paraId="32EA10DD" w14:textId="77777777" w:rsidR="00801091" w:rsidRDefault="00801091" w:rsidP="00801091">
      <w:pPr>
        <w:jc w:val="center"/>
        <w:rPr>
          <w:b/>
          <w:bCs/>
        </w:rPr>
      </w:pPr>
    </w:p>
    <w:p w14:paraId="5895CC9E" w14:textId="77777777" w:rsidR="00801091" w:rsidRDefault="00801091" w:rsidP="00801091">
      <w:pPr>
        <w:jc w:val="center"/>
        <w:rPr>
          <w:b/>
          <w:bCs/>
        </w:rPr>
      </w:pPr>
    </w:p>
    <w:p w14:paraId="05D7BD8B" w14:textId="77777777" w:rsidR="00801091" w:rsidRDefault="00801091" w:rsidP="00801091">
      <w:pPr>
        <w:jc w:val="center"/>
        <w:rPr>
          <w:b/>
          <w:bCs/>
        </w:rPr>
      </w:pPr>
    </w:p>
    <w:p w14:paraId="408F1F70" w14:textId="77777777" w:rsidR="00801091" w:rsidRDefault="00801091" w:rsidP="00801091">
      <w:pPr>
        <w:jc w:val="center"/>
        <w:rPr>
          <w:b/>
          <w:bCs/>
        </w:rPr>
      </w:pPr>
    </w:p>
    <w:p w14:paraId="4DB5F064" w14:textId="77777777" w:rsidR="00801091" w:rsidRDefault="00801091" w:rsidP="00801091">
      <w:pPr>
        <w:jc w:val="center"/>
        <w:rPr>
          <w:b/>
          <w:bCs/>
        </w:rPr>
      </w:pPr>
    </w:p>
    <w:p w14:paraId="57D40AF6" w14:textId="77777777" w:rsidR="00801091" w:rsidRDefault="00801091" w:rsidP="00801091">
      <w:pPr>
        <w:jc w:val="center"/>
        <w:rPr>
          <w:b/>
          <w:bCs/>
        </w:rPr>
      </w:pPr>
    </w:p>
    <w:p w14:paraId="7CB56903" w14:textId="77777777" w:rsidR="00801091" w:rsidRDefault="00801091" w:rsidP="00801091">
      <w:pPr>
        <w:jc w:val="center"/>
        <w:rPr>
          <w:b/>
          <w:bCs/>
        </w:rPr>
      </w:pPr>
    </w:p>
    <w:p w14:paraId="568A9CA3" w14:textId="77777777" w:rsidR="00801091" w:rsidRDefault="00801091" w:rsidP="00801091">
      <w:pPr>
        <w:jc w:val="center"/>
        <w:rPr>
          <w:b/>
          <w:bCs/>
        </w:rPr>
      </w:pPr>
    </w:p>
    <w:p w14:paraId="1EA7FF7F" w14:textId="77777777" w:rsidR="00801091" w:rsidRPr="00F24202" w:rsidRDefault="00801091" w:rsidP="00801091">
      <w:pPr>
        <w:numPr>
          <w:ilvl w:val="0"/>
          <w:numId w:val="1"/>
        </w:numPr>
        <w:jc w:val="center"/>
        <w:rPr>
          <w:b/>
          <w:bCs/>
        </w:rPr>
      </w:pPr>
      <w:r w:rsidRPr="00F24202">
        <w:rPr>
          <w:b/>
          <w:bCs/>
        </w:rPr>
        <w:t>Executive Summary</w:t>
      </w:r>
    </w:p>
    <w:p w14:paraId="2E015C4B" w14:textId="77777777" w:rsidR="00801091" w:rsidRPr="00F24202" w:rsidRDefault="00801091" w:rsidP="00801091">
      <w:pPr>
        <w:jc w:val="center"/>
        <w:rPr>
          <w:b/>
          <w:bCs/>
        </w:rPr>
      </w:pPr>
      <w:r w:rsidRPr="00F24202">
        <w:rPr>
          <w:b/>
          <w:bCs/>
        </w:rPr>
        <w:t xml:space="preserve"> </w:t>
      </w:r>
    </w:p>
    <w:p w14:paraId="053E62B8" w14:textId="3F042DD7" w:rsidR="00801091" w:rsidRPr="00F24202" w:rsidRDefault="00801091" w:rsidP="00801091">
      <w:pPr>
        <w:jc w:val="both"/>
        <w:rPr>
          <w:b/>
          <w:bCs/>
        </w:rPr>
      </w:pPr>
      <w:r w:rsidRPr="00F24202">
        <w:rPr>
          <w:b/>
          <w:bCs/>
        </w:rPr>
        <w:t xml:space="preserve">This document outlines the business requirements for </w:t>
      </w:r>
      <w:r>
        <w:rPr>
          <w:b/>
          <w:bCs/>
        </w:rPr>
        <w:t xml:space="preserve"> </w:t>
      </w:r>
      <w:r w:rsidR="00B76791">
        <w:rPr>
          <w:b/>
          <w:bCs/>
        </w:rPr>
        <w:t xml:space="preserve">conditions under which a policy is treated as </w:t>
      </w:r>
      <w:r w:rsidR="00A33C33">
        <w:rPr>
          <w:b/>
          <w:bCs/>
        </w:rPr>
        <w:t xml:space="preserve">paid up/auto paid up </w:t>
      </w:r>
      <w:r w:rsidR="00B76791">
        <w:rPr>
          <w:b/>
          <w:bCs/>
        </w:rPr>
        <w:t>in the</w:t>
      </w:r>
      <w:r w:rsidRPr="00F24202">
        <w:rPr>
          <w:b/>
          <w:bCs/>
        </w:rPr>
        <w:t xml:space="preserve"> Insurance Management System (IMS). It </w:t>
      </w:r>
      <w:r w:rsidR="00B76791">
        <w:rPr>
          <w:b/>
          <w:bCs/>
        </w:rPr>
        <w:t xml:space="preserve">intends to notify under which circumstances, the policy is declared as </w:t>
      </w:r>
      <w:r w:rsidR="00A33C33">
        <w:rPr>
          <w:b/>
          <w:bCs/>
        </w:rPr>
        <w:t>paid up and auto paid up .</w:t>
      </w:r>
    </w:p>
    <w:p w14:paraId="455DEC88" w14:textId="77777777" w:rsidR="00801091" w:rsidRPr="00F24202" w:rsidRDefault="00801091" w:rsidP="00801091">
      <w:pPr>
        <w:jc w:val="both"/>
        <w:rPr>
          <w:b/>
          <w:bCs/>
        </w:rPr>
      </w:pPr>
      <w:r w:rsidRPr="00F24202">
        <w:rPr>
          <w:b/>
          <w:bCs/>
        </w:rPr>
        <w:t xml:space="preserve"> </w:t>
      </w:r>
    </w:p>
    <w:p w14:paraId="3F480662" w14:textId="4F449994" w:rsidR="00801091" w:rsidRPr="00F24202" w:rsidRDefault="00801091" w:rsidP="00801091">
      <w:pPr>
        <w:numPr>
          <w:ilvl w:val="0"/>
          <w:numId w:val="1"/>
        </w:numPr>
        <w:jc w:val="center"/>
        <w:rPr>
          <w:b/>
          <w:bCs/>
        </w:rPr>
      </w:pPr>
      <w:r w:rsidRPr="00F24202">
        <w:rPr>
          <w:b/>
          <w:bCs/>
        </w:rPr>
        <w:t>Business Objectives</w:t>
      </w:r>
    </w:p>
    <w:p w14:paraId="4929A36F" w14:textId="77777777" w:rsidR="00801091" w:rsidRPr="00F24202" w:rsidRDefault="00801091" w:rsidP="00801091">
      <w:pPr>
        <w:jc w:val="center"/>
        <w:rPr>
          <w:b/>
          <w:bCs/>
        </w:rPr>
      </w:pPr>
      <w:r w:rsidRPr="00F24202">
        <w:rPr>
          <w:b/>
          <w:bCs/>
        </w:rPr>
        <w:t xml:space="preserve"> </w:t>
      </w:r>
    </w:p>
    <w:p w14:paraId="5D6FBE40" w14:textId="4D0E92DF" w:rsidR="00801091" w:rsidRPr="00F24202" w:rsidRDefault="00801091" w:rsidP="00801091">
      <w:pPr>
        <w:jc w:val="both"/>
        <w:rPr>
          <w:b/>
          <w:bCs/>
        </w:rPr>
      </w:pPr>
      <w:r w:rsidRPr="00F24202">
        <w:rPr>
          <w:b/>
          <w:bCs/>
        </w:rPr>
        <w:t xml:space="preserve">The IMS project addresses the requirement </w:t>
      </w:r>
      <w:r>
        <w:rPr>
          <w:b/>
          <w:bCs/>
        </w:rPr>
        <w:t>of</w:t>
      </w:r>
      <w:r w:rsidR="00E0498F">
        <w:rPr>
          <w:b/>
          <w:bCs/>
        </w:rPr>
        <w:t xml:space="preserve"> declaring a policy as paid up /auto paid up. The insurant should be able to get the proceeds upon declaring the policy as paid up/auto paid up </w:t>
      </w:r>
    </w:p>
    <w:p w14:paraId="22E290CB" w14:textId="77777777" w:rsidR="00801091" w:rsidRPr="00F24202" w:rsidRDefault="00801091" w:rsidP="00801091">
      <w:pPr>
        <w:jc w:val="center"/>
        <w:rPr>
          <w:b/>
          <w:bCs/>
        </w:rPr>
      </w:pPr>
      <w:r w:rsidRPr="00F24202">
        <w:rPr>
          <w:b/>
          <w:bCs/>
        </w:rPr>
        <w:t xml:space="preserve"> </w:t>
      </w:r>
    </w:p>
    <w:p w14:paraId="68D972AB" w14:textId="77777777" w:rsidR="00801091" w:rsidRPr="00F24202" w:rsidRDefault="00801091" w:rsidP="00801091">
      <w:pPr>
        <w:numPr>
          <w:ilvl w:val="0"/>
          <w:numId w:val="1"/>
        </w:numPr>
        <w:jc w:val="center"/>
        <w:rPr>
          <w:b/>
          <w:bCs/>
        </w:rPr>
      </w:pPr>
      <w:r w:rsidRPr="00F24202">
        <w:rPr>
          <w:b/>
          <w:bCs/>
        </w:rPr>
        <w:t>Project Scope</w:t>
      </w:r>
    </w:p>
    <w:p w14:paraId="7910E96D" w14:textId="7F2A28F3" w:rsidR="00801091" w:rsidRPr="00F24202" w:rsidRDefault="00E40201" w:rsidP="00801091">
      <w:pPr>
        <w:jc w:val="center"/>
        <w:rPr>
          <w:b/>
          <w:bCs/>
        </w:rPr>
      </w:pPr>
      <w:r>
        <w:rPr>
          <w:b/>
          <w:bCs/>
        </w:rPr>
        <w:t>The scope is limited to declare a policy as</w:t>
      </w:r>
      <w:r w:rsidR="00E0498F">
        <w:rPr>
          <w:b/>
          <w:bCs/>
        </w:rPr>
        <w:t xml:space="preserve"> paid up/auto paid up </w:t>
      </w:r>
      <w:r>
        <w:rPr>
          <w:b/>
          <w:bCs/>
        </w:rPr>
        <w:t xml:space="preserve">under the conditions laid down in POLI Rules 2011, to facilitate the insurant to </w:t>
      </w:r>
      <w:r w:rsidR="00E0498F">
        <w:rPr>
          <w:b/>
          <w:bCs/>
        </w:rPr>
        <w:t>receive the proceeds accordingly</w:t>
      </w:r>
    </w:p>
    <w:p w14:paraId="42219E14" w14:textId="4F89A30E" w:rsidR="00801091" w:rsidRPr="00F24202" w:rsidRDefault="00801091" w:rsidP="00801091">
      <w:pPr>
        <w:jc w:val="center"/>
        <w:rPr>
          <w:b/>
          <w:bCs/>
        </w:rPr>
      </w:pPr>
    </w:p>
    <w:p w14:paraId="1EBA385D" w14:textId="77777777" w:rsidR="00801091" w:rsidRPr="00F24202" w:rsidRDefault="00801091" w:rsidP="00801091">
      <w:pPr>
        <w:jc w:val="center"/>
        <w:rPr>
          <w:b/>
          <w:bCs/>
        </w:rPr>
      </w:pPr>
      <w:r w:rsidRPr="00F24202">
        <w:rPr>
          <w:b/>
          <w:bCs/>
        </w:rPr>
        <w:t xml:space="preserve"> </w:t>
      </w:r>
    </w:p>
    <w:tbl>
      <w:tblPr>
        <w:tblStyle w:val="TableGrid"/>
        <w:tblW w:w="0" w:type="auto"/>
        <w:tblInd w:w="439" w:type="dxa"/>
        <w:tblLook w:val="04A0" w:firstRow="1" w:lastRow="0" w:firstColumn="1" w:lastColumn="0" w:noHBand="0" w:noVBand="1"/>
      </w:tblPr>
      <w:tblGrid>
        <w:gridCol w:w="1448"/>
        <w:gridCol w:w="6330"/>
      </w:tblGrid>
      <w:tr w:rsidR="00801091" w:rsidRPr="00F24202" w14:paraId="0F8A5CE2" w14:textId="77777777" w:rsidTr="00FC72BE">
        <w:trPr>
          <w:trHeight w:val="253"/>
        </w:trPr>
        <w:tc>
          <w:tcPr>
            <w:tcW w:w="1448" w:type="dxa"/>
            <w:tcBorders>
              <w:top w:val="single" w:sz="4" w:space="0" w:color="auto"/>
              <w:left w:val="single" w:sz="4" w:space="0" w:color="auto"/>
              <w:bottom w:val="single" w:sz="4" w:space="0" w:color="auto"/>
              <w:right w:val="single" w:sz="4" w:space="0" w:color="auto"/>
            </w:tcBorders>
            <w:shd w:val="clear" w:color="auto" w:fill="B8D4EF"/>
            <w:hideMark/>
          </w:tcPr>
          <w:p w14:paraId="69110C1E" w14:textId="77777777" w:rsidR="00801091" w:rsidRPr="00F24202" w:rsidRDefault="00801091" w:rsidP="00FC72BE">
            <w:pPr>
              <w:spacing w:after="160" w:line="278" w:lineRule="auto"/>
              <w:jc w:val="center"/>
              <w:rPr>
                <w:b/>
                <w:bCs/>
              </w:rPr>
            </w:pPr>
            <w:r w:rsidRPr="00F24202">
              <w:rPr>
                <w:b/>
                <w:bCs/>
              </w:rPr>
              <w:t>RFP Req No.</w:t>
            </w:r>
          </w:p>
        </w:tc>
        <w:tc>
          <w:tcPr>
            <w:tcW w:w="6330" w:type="dxa"/>
            <w:tcBorders>
              <w:top w:val="single" w:sz="4" w:space="0" w:color="auto"/>
              <w:left w:val="nil"/>
              <w:bottom w:val="single" w:sz="4" w:space="0" w:color="auto"/>
              <w:right w:val="single" w:sz="4" w:space="0" w:color="auto"/>
            </w:tcBorders>
            <w:shd w:val="clear" w:color="auto" w:fill="B8D4EF"/>
            <w:hideMark/>
          </w:tcPr>
          <w:p w14:paraId="3078DA55" w14:textId="77777777" w:rsidR="00801091" w:rsidRDefault="00801091" w:rsidP="00FC72BE">
            <w:pPr>
              <w:spacing w:after="160" w:line="278" w:lineRule="auto"/>
              <w:jc w:val="center"/>
              <w:rPr>
                <w:b/>
                <w:bCs/>
              </w:rPr>
            </w:pPr>
            <w:r w:rsidRPr="00F24202">
              <w:rPr>
                <w:b/>
                <w:bCs/>
              </w:rPr>
              <w:t>Requirement Description</w:t>
            </w:r>
          </w:p>
          <w:p w14:paraId="4E0ACDEA" w14:textId="7DB12120" w:rsidR="00172BE3" w:rsidRPr="00F24202" w:rsidRDefault="00172BE3" w:rsidP="00172BE3">
            <w:pPr>
              <w:spacing w:after="160" w:line="278" w:lineRule="auto"/>
              <w:rPr>
                <w:b/>
                <w:bCs/>
              </w:rPr>
            </w:pPr>
            <w:r>
              <w:rPr>
                <w:b/>
                <w:bCs/>
              </w:rPr>
              <w:t>(Pl refer FR</w:t>
            </w:r>
            <w:r w:rsidR="001324F2">
              <w:rPr>
                <w:b/>
                <w:bCs/>
              </w:rPr>
              <w:t xml:space="preserve"> </w:t>
            </w:r>
            <w:r w:rsidR="00D200C0">
              <w:rPr>
                <w:b/>
                <w:bCs/>
              </w:rPr>
              <w:t>22,223,343,925&amp; 1246</w:t>
            </w:r>
            <w:r w:rsidR="001324F2">
              <w:rPr>
                <w:b/>
                <w:bCs/>
              </w:rPr>
              <w:t>)</w:t>
            </w:r>
          </w:p>
        </w:tc>
      </w:tr>
      <w:tr w:rsidR="00801091" w:rsidRPr="00F24202" w14:paraId="070493FC" w14:textId="77777777" w:rsidTr="00FC72BE">
        <w:trPr>
          <w:trHeight w:val="405"/>
        </w:trPr>
        <w:tc>
          <w:tcPr>
            <w:tcW w:w="1448" w:type="dxa"/>
            <w:tcBorders>
              <w:top w:val="single" w:sz="4" w:space="0" w:color="auto"/>
              <w:left w:val="single" w:sz="4" w:space="0" w:color="auto"/>
              <w:bottom w:val="single" w:sz="4" w:space="0" w:color="auto"/>
              <w:right w:val="single" w:sz="4" w:space="0" w:color="auto"/>
            </w:tcBorders>
            <w:hideMark/>
          </w:tcPr>
          <w:p w14:paraId="4A19F988" w14:textId="1D3CCF07" w:rsidR="00801091" w:rsidRPr="00F24202" w:rsidRDefault="00801091" w:rsidP="00FC72BE">
            <w:pPr>
              <w:spacing w:after="160" w:line="278" w:lineRule="auto"/>
              <w:jc w:val="center"/>
              <w:rPr>
                <w:b/>
                <w:bCs/>
              </w:rPr>
            </w:pPr>
            <w:r w:rsidRPr="00F24202">
              <w:rPr>
                <w:b/>
                <w:bCs/>
              </w:rPr>
              <w:t>SR-</w:t>
            </w:r>
            <w:r w:rsidR="00D200C0">
              <w:rPr>
                <w:b/>
                <w:bCs/>
              </w:rPr>
              <w:t>PAID UP</w:t>
            </w:r>
            <w:r w:rsidR="00E67ED6">
              <w:rPr>
                <w:b/>
                <w:bCs/>
              </w:rPr>
              <w:t>-</w:t>
            </w:r>
            <w:r w:rsidRPr="00F24202">
              <w:rPr>
                <w:b/>
                <w:bCs/>
              </w:rPr>
              <w:t>1</w:t>
            </w:r>
          </w:p>
        </w:tc>
        <w:tc>
          <w:tcPr>
            <w:tcW w:w="6330" w:type="dxa"/>
            <w:tcBorders>
              <w:top w:val="single" w:sz="4" w:space="0" w:color="auto"/>
              <w:left w:val="nil"/>
              <w:bottom w:val="single" w:sz="4" w:space="0" w:color="auto"/>
              <w:right w:val="single" w:sz="4" w:space="0" w:color="auto"/>
            </w:tcBorders>
            <w:hideMark/>
          </w:tcPr>
          <w:p w14:paraId="6186AF6B" w14:textId="29E4756B" w:rsidR="00801091" w:rsidRPr="00F24202" w:rsidRDefault="00801091" w:rsidP="00FC72BE">
            <w:pPr>
              <w:spacing w:after="160" w:line="278" w:lineRule="auto"/>
              <w:jc w:val="both"/>
              <w:rPr>
                <w:b/>
                <w:bCs/>
              </w:rPr>
            </w:pPr>
            <w:r w:rsidRPr="00F24202">
              <w:rPr>
                <w:b/>
                <w:bCs/>
              </w:rPr>
              <w:t xml:space="preserve">Must have facility  to </w:t>
            </w:r>
            <w:r w:rsidR="000B1043">
              <w:rPr>
                <w:b/>
                <w:bCs/>
              </w:rPr>
              <w:t xml:space="preserve">flag the </w:t>
            </w:r>
            <w:r w:rsidR="00540427">
              <w:rPr>
                <w:b/>
                <w:bCs/>
              </w:rPr>
              <w:t xml:space="preserve">first unpaid premium </w:t>
            </w:r>
            <w:r w:rsidR="00D200C0">
              <w:rPr>
                <w:b/>
                <w:bCs/>
              </w:rPr>
              <w:t xml:space="preserve">, as well as the inception date and date of last instalment, </w:t>
            </w:r>
            <w:r w:rsidR="006749DA">
              <w:rPr>
                <w:b/>
                <w:bCs/>
              </w:rPr>
              <w:t>as the basic parameter</w:t>
            </w:r>
            <w:r w:rsidR="00D200C0">
              <w:rPr>
                <w:b/>
                <w:bCs/>
              </w:rPr>
              <w:t>s</w:t>
            </w:r>
            <w:r w:rsidR="006749DA">
              <w:rPr>
                <w:b/>
                <w:bCs/>
              </w:rPr>
              <w:t xml:space="preserve"> to decide </w:t>
            </w:r>
            <w:r w:rsidR="00D200C0">
              <w:rPr>
                <w:b/>
                <w:bCs/>
              </w:rPr>
              <w:t>whether the policy has to be decided as paid up.</w:t>
            </w:r>
            <w:r w:rsidR="000B1043">
              <w:rPr>
                <w:b/>
                <w:bCs/>
              </w:rPr>
              <w:t xml:space="preserve"> </w:t>
            </w:r>
          </w:p>
        </w:tc>
      </w:tr>
      <w:tr w:rsidR="00801091" w:rsidRPr="00F24202" w14:paraId="36AA4A13" w14:textId="77777777" w:rsidTr="00FC72BE">
        <w:trPr>
          <w:trHeight w:val="405"/>
        </w:trPr>
        <w:tc>
          <w:tcPr>
            <w:tcW w:w="1448" w:type="dxa"/>
            <w:tcBorders>
              <w:top w:val="single" w:sz="4" w:space="0" w:color="auto"/>
              <w:left w:val="single" w:sz="4" w:space="0" w:color="auto"/>
              <w:bottom w:val="single" w:sz="4" w:space="0" w:color="auto"/>
              <w:right w:val="single" w:sz="4" w:space="0" w:color="auto"/>
            </w:tcBorders>
            <w:hideMark/>
          </w:tcPr>
          <w:p w14:paraId="55ADE48A" w14:textId="460710F2" w:rsidR="00801091" w:rsidRPr="00F24202" w:rsidRDefault="00801091" w:rsidP="00FC72BE">
            <w:pPr>
              <w:spacing w:after="160" w:line="278" w:lineRule="auto"/>
              <w:jc w:val="center"/>
              <w:rPr>
                <w:b/>
                <w:bCs/>
              </w:rPr>
            </w:pPr>
            <w:r w:rsidRPr="00F24202">
              <w:rPr>
                <w:b/>
                <w:bCs/>
              </w:rPr>
              <w:t>SR-</w:t>
            </w:r>
            <w:r w:rsidR="00D200C0">
              <w:rPr>
                <w:b/>
                <w:bCs/>
              </w:rPr>
              <w:t>Paid up</w:t>
            </w:r>
            <w:r w:rsidRPr="00F24202">
              <w:rPr>
                <w:b/>
                <w:bCs/>
              </w:rPr>
              <w:t>-2</w:t>
            </w:r>
          </w:p>
        </w:tc>
        <w:tc>
          <w:tcPr>
            <w:tcW w:w="6330" w:type="dxa"/>
            <w:tcBorders>
              <w:top w:val="single" w:sz="4" w:space="0" w:color="auto"/>
              <w:left w:val="nil"/>
              <w:bottom w:val="single" w:sz="4" w:space="0" w:color="auto"/>
              <w:right w:val="single" w:sz="4" w:space="0" w:color="auto"/>
            </w:tcBorders>
            <w:hideMark/>
          </w:tcPr>
          <w:p w14:paraId="0B25729B" w14:textId="3ED26E76" w:rsidR="00801091" w:rsidRPr="00F24202" w:rsidRDefault="00425BAA" w:rsidP="00425BAA">
            <w:pPr>
              <w:spacing w:after="160" w:line="278" w:lineRule="auto"/>
              <w:jc w:val="both"/>
              <w:rPr>
                <w:b/>
                <w:bCs/>
              </w:rPr>
            </w:pPr>
            <w:r>
              <w:rPr>
                <w:b/>
                <w:bCs/>
              </w:rPr>
              <w:t xml:space="preserve">System should have the facility to identify different kind of policies and its business rules to declare a policy as </w:t>
            </w:r>
            <w:r w:rsidR="00D200C0">
              <w:rPr>
                <w:b/>
                <w:bCs/>
              </w:rPr>
              <w:t>paid up</w:t>
            </w:r>
          </w:p>
        </w:tc>
      </w:tr>
      <w:tr w:rsidR="00801091" w:rsidRPr="00F24202" w14:paraId="3EAE5ED2" w14:textId="77777777" w:rsidTr="00997FE2">
        <w:trPr>
          <w:trHeight w:val="405"/>
        </w:trPr>
        <w:tc>
          <w:tcPr>
            <w:tcW w:w="1448" w:type="dxa"/>
            <w:tcBorders>
              <w:top w:val="single" w:sz="4" w:space="0" w:color="auto"/>
              <w:left w:val="single" w:sz="4" w:space="0" w:color="auto"/>
              <w:bottom w:val="single" w:sz="4" w:space="0" w:color="auto"/>
              <w:right w:val="single" w:sz="4" w:space="0" w:color="auto"/>
            </w:tcBorders>
            <w:hideMark/>
          </w:tcPr>
          <w:p w14:paraId="544BCAF7" w14:textId="77B0E2BB" w:rsidR="00801091" w:rsidRPr="00F24202" w:rsidRDefault="00801091" w:rsidP="00FC72BE">
            <w:pPr>
              <w:spacing w:after="160" w:line="278" w:lineRule="auto"/>
              <w:jc w:val="center"/>
              <w:rPr>
                <w:b/>
                <w:bCs/>
              </w:rPr>
            </w:pPr>
            <w:r w:rsidRPr="00F24202">
              <w:rPr>
                <w:b/>
                <w:bCs/>
              </w:rPr>
              <w:t>SR-</w:t>
            </w:r>
            <w:r w:rsidR="00D200C0">
              <w:rPr>
                <w:b/>
                <w:bCs/>
              </w:rPr>
              <w:t>Paid up</w:t>
            </w:r>
            <w:r w:rsidRPr="00F24202">
              <w:rPr>
                <w:b/>
                <w:bCs/>
              </w:rPr>
              <w:t>-</w:t>
            </w:r>
            <w:r w:rsidR="006E2942">
              <w:rPr>
                <w:b/>
                <w:bCs/>
              </w:rPr>
              <w:t>3</w:t>
            </w:r>
          </w:p>
        </w:tc>
        <w:tc>
          <w:tcPr>
            <w:tcW w:w="6330" w:type="dxa"/>
            <w:tcBorders>
              <w:top w:val="single" w:sz="4" w:space="0" w:color="auto"/>
              <w:left w:val="nil"/>
              <w:bottom w:val="single" w:sz="4" w:space="0" w:color="auto"/>
              <w:right w:val="single" w:sz="4" w:space="0" w:color="auto"/>
            </w:tcBorders>
          </w:tcPr>
          <w:p w14:paraId="7AB64CD4" w14:textId="37F27108" w:rsidR="00801091" w:rsidRPr="00F24202" w:rsidRDefault="00C5519D" w:rsidP="00D200C0">
            <w:pPr>
              <w:pStyle w:val="BodyText"/>
              <w:spacing w:line="360" w:lineRule="auto"/>
              <w:ind w:left="0"/>
              <w:jc w:val="both"/>
              <w:rPr>
                <w:b/>
                <w:bCs/>
              </w:rPr>
            </w:pPr>
            <w:r w:rsidRPr="00C5519D">
              <w:rPr>
                <w:rFonts w:asciiTheme="minorHAnsi" w:hAnsiTheme="minorHAnsi" w:cs="Arial"/>
                <w:b/>
                <w:bCs/>
                <w:sz w:val="24"/>
                <w:szCs w:val="24"/>
              </w:rPr>
              <w:t>P</w:t>
            </w:r>
            <w:r w:rsidR="00A47DC9" w:rsidRPr="00C5519D">
              <w:rPr>
                <w:rFonts w:asciiTheme="minorHAnsi" w:hAnsiTheme="minorHAnsi" w:cs="Arial"/>
                <w:b/>
                <w:bCs/>
                <w:sz w:val="24"/>
                <w:szCs w:val="24"/>
              </w:rPr>
              <w:t xml:space="preserve">olicies which are in-force for </w:t>
            </w:r>
            <w:r w:rsidR="00D200C0">
              <w:rPr>
                <w:rFonts w:asciiTheme="minorHAnsi" w:hAnsiTheme="minorHAnsi" w:cs="Arial"/>
                <w:b/>
                <w:bCs/>
                <w:sz w:val="24"/>
                <w:szCs w:val="24"/>
              </w:rPr>
              <w:t>more than</w:t>
            </w:r>
            <w:r w:rsidR="00A47DC9" w:rsidRPr="00C5519D">
              <w:rPr>
                <w:rFonts w:asciiTheme="minorHAnsi" w:hAnsiTheme="minorHAnsi" w:cs="Arial"/>
                <w:b/>
                <w:bCs/>
                <w:sz w:val="24"/>
                <w:szCs w:val="24"/>
              </w:rPr>
              <w:t xml:space="preserve"> 3 years </w:t>
            </w:r>
            <w:r w:rsidR="00D200C0">
              <w:rPr>
                <w:rFonts w:asciiTheme="minorHAnsi" w:hAnsiTheme="minorHAnsi" w:cs="Arial"/>
                <w:b/>
                <w:bCs/>
                <w:sz w:val="24"/>
                <w:szCs w:val="24"/>
              </w:rPr>
              <w:t>only are eligible for paid up or auto paid up.</w:t>
            </w:r>
          </w:p>
        </w:tc>
      </w:tr>
      <w:tr w:rsidR="00801091" w:rsidRPr="00F24202" w14:paraId="01BE44AF" w14:textId="77777777" w:rsidTr="00997FE2">
        <w:trPr>
          <w:trHeight w:val="405"/>
        </w:trPr>
        <w:tc>
          <w:tcPr>
            <w:tcW w:w="1448" w:type="dxa"/>
            <w:tcBorders>
              <w:top w:val="single" w:sz="4" w:space="0" w:color="auto"/>
              <w:left w:val="single" w:sz="4" w:space="0" w:color="auto"/>
              <w:bottom w:val="single" w:sz="4" w:space="0" w:color="auto"/>
              <w:right w:val="single" w:sz="4" w:space="0" w:color="auto"/>
            </w:tcBorders>
            <w:hideMark/>
          </w:tcPr>
          <w:p w14:paraId="280099D0" w14:textId="3BF52EC7" w:rsidR="00801091" w:rsidRPr="00F24202" w:rsidRDefault="00801091" w:rsidP="00FC72BE">
            <w:pPr>
              <w:spacing w:after="160" w:line="278" w:lineRule="auto"/>
              <w:jc w:val="center"/>
              <w:rPr>
                <w:b/>
                <w:bCs/>
              </w:rPr>
            </w:pPr>
            <w:r w:rsidRPr="00F24202">
              <w:rPr>
                <w:b/>
                <w:bCs/>
              </w:rPr>
              <w:lastRenderedPageBreak/>
              <w:t>SR-</w:t>
            </w:r>
            <w:r w:rsidR="00D200C0">
              <w:rPr>
                <w:b/>
                <w:bCs/>
              </w:rPr>
              <w:t>Paid up</w:t>
            </w:r>
            <w:r w:rsidRPr="00F24202">
              <w:rPr>
                <w:b/>
                <w:bCs/>
              </w:rPr>
              <w:t>-</w:t>
            </w:r>
            <w:r w:rsidR="006E2942">
              <w:rPr>
                <w:b/>
                <w:bCs/>
              </w:rPr>
              <w:t>4</w:t>
            </w:r>
          </w:p>
        </w:tc>
        <w:tc>
          <w:tcPr>
            <w:tcW w:w="6330" w:type="dxa"/>
            <w:tcBorders>
              <w:top w:val="single" w:sz="4" w:space="0" w:color="auto"/>
              <w:left w:val="nil"/>
              <w:bottom w:val="single" w:sz="4" w:space="0" w:color="auto"/>
              <w:right w:val="single" w:sz="4" w:space="0" w:color="auto"/>
            </w:tcBorders>
          </w:tcPr>
          <w:p w14:paraId="3A199036" w14:textId="55558FD8" w:rsidR="00801091" w:rsidRPr="00385B25" w:rsidRDefault="00D200C0" w:rsidP="00C04DFE">
            <w:pPr>
              <w:spacing w:line="360" w:lineRule="auto"/>
              <w:rPr>
                <w:b/>
                <w:bCs/>
              </w:rPr>
            </w:pPr>
            <w:r>
              <w:rPr>
                <w:b/>
                <w:bCs/>
              </w:rPr>
              <w:t>A</w:t>
            </w:r>
            <w:r w:rsidR="00385B25" w:rsidRPr="00385B25">
              <w:rPr>
                <w:b/>
                <w:bCs/>
              </w:rPr>
              <w:t xml:space="preserve">n insured person is not to be considered as in arrears of premium for any month so long as he has not been able to draw his pay, pension or subsistence allowance during suspension, or, if the insured person is on leave in India, any leave allowance though due, for the month next before it is due because of circumstances beyond his control. </w:t>
            </w:r>
            <w:r>
              <w:rPr>
                <w:b/>
                <w:bCs/>
              </w:rPr>
              <w:t>Therefore system should be able to distinguish and calculate paid up value accordingly.</w:t>
            </w:r>
          </w:p>
        </w:tc>
      </w:tr>
      <w:tr w:rsidR="00801091" w:rsidRPr="00F24202" w14:paraId="7F487AAE" w14:textId="77777777" w:rsidTr="00FC72BE">
        <w:trPr>
          <w:trHeight w:val="405"/>
        </w:trPr>
        <w:tc>
          <w:tcPr>
            <w:tcW w:w="1448" w:type="dxa"/>
            <w:tcBorders>
              <w:top w:val="single" w:sz="4" w:space="0" w:color="auto"/>
              <w:left w:val="single" w:sz="4" w:space="0" w:color="auto"/>
              <w:bottom w:val="single" w:sz="4" w:space="0" w:color="auto"/>
              <w:right w:val="single" w:sz="4" w:space="0" w:color="auto"/>
            </w:tcBorders>
            <w:hideMark/>
          </w:tcPr>
          <w:p w14:paraId="7B5D919D" w14:textId="38E794A2" w:rsidR="00801091" w:rsidRPr="00F24202" w:rsidRDefault="00801091" w:rsidP="00FC72BE">
            <w:pPr>
              <w:spacing w:after="160" w:line="278" w:lineRule="auto"/>
              <w:jc w:val="center"/>
              <w:rPr>
                <w:b/>
                <w:bCs/>
              </w:rPr>
            </w:pPr>
            <w:r w:rsidRPr="00F24202">
              <w:rPr>
                <w:b/>
                <w:bCs/>
              </w:rPr>
              <w:t>SR-</w:t>
            </w:r>
            <w:r w:rsidR="00D200C0">
              <w:rPr>
                <w:b/>
                <w:bCs/>
              </w:rPr>
              <w:t>Paid up</w:t>
            </w:r>
            <w:r w:rsidRPr="00F24202">
              <w:rPr>
                <w:b/>
                <w:bCs/>
              </w:rPr>
              <w:t>-</w:t>
            </w:r>
            <w:r w:rsidR="006E2942">
              <w:rPr>
                <w:b/>
                <w:bCs/>
              </w:rPr>
              <w:t>5</w:t>
            </w:r>
          </w:p>
        </w:tc>
        <w:tc>
          <w:tcPr>
            <w:tcW w:w="6330" w:type="dxa"/>
            <w:tcBorders>
              <w:top w:val="single" w:sz="4" w:space="0" w:color="auto"/>
              <w:left w:val="nil"/>
              <w:bottom w:val="single" w:sz="4" w:space="0" w:color="auto"/>
              <w:right w:val="single" w:sz="4" w:space="0" w:color="auto"/>
            </w:tcBorders>
            <w:hideMark/>
          </w:tcPr>
          <w:p w14:paraId="4FA81C0A" w14:textId="75D54BF6" w:rsidR="00801091" w:rsidRPr="00F24202" w:rsidRDefault="00227BD3" w:rsidP="007C67BD">
            <w:pPr>
              <w:spacing w:after="160" w:line="360" w:lineRule="auto"/>
              <w:jc w:val="both"/>
              <w:rPr>
                <w:b/>
                <w:bCs/>
              </w:rPr>
            </w:pPr>
            <w:r>
              <w:rPr>
                <w:b/>
                <w:bCs/>
              </w:rPr>
              <w:t xml:space="preserve">System should be able to distinguish between cash policy and pay recovery policies </w:t>
            </w:r>
            <w:r w:rsidR="00B60C4A">
              <w:rPr>
                <w:b/>
                <w:bCs/>
              </w:rPr>
              <w:t xml:space="preserve">to determine a policy to </w:t>
            </w:r>
            <w:r w:rsidR="00874EF1">
              <w:rPr>
                <w:b/>
                <w:bCs/>
              </w:rPr>
              <w:t>be paid up considering the above parameters</w:t>
            </w:r>
            <w:r w:rsidR="00B60C4A">
              <w:rPr>
                <w:b/>
                <w:bCs/>
              </w:rPr>
              <w:t>.</w:t>
            </w:r>
          </w:p>
        </w:tc>
      </w:tr>
      <w:tr w:rsidR="00801091" w:rsidRPr="00F24202" w14:paraId="4EB20181" w14:textId="77777777" w:rsidTr="00FC72BE">
        <w:trPr>
          <w:trHeight w:val="405"/>
        </w:trPr>
        <w:tc>
          <w:tcPr>
            <w:tcW w:w="1448" w:type="dxa"/>
            <w:tcBorders>
              <w:top w:val="single" w:sz="4" w:space="0" w:color="auto"/>
              <w:left w:val="single" w:sz="4" w:space="0" w:color="auto"/>
              <w:bottom w:val="single" w:sz="4" w:space="0" w:color="auto"/>
              <w:right w:val="single" w:sz="4" w:space="0" w:color="auto"/>
            </w:tcBorders>
            <w:hideMark/>
          </w:tcPr>
          <w:p w14:paraId="1A975741" w14:textId="0DA8FE66" w:rsidR="00801091" w:rsidRPr="00F24202" w:rsidRDefault="00801091" w:rsidP="00FC72BE">
            <w:pPr>
              <w:spacing w:after="160" w:line="278" w:lineRule="auto"/>
              <w:jc w:val="center"/>
              <w:rPr>
                <w:b/>
                <w:bCs/>
              </w:rPr>
            </w:pPr>
            <w:r w:rsidRPr="00F24202">
              <w:rPr>
                <w:b/>
                <w:bCs/>
              </w:rPr>
              <w:t>SR-</w:t>
            </w:r>
            <w:r w:rsidR="00D200C0">
              <w:rPr>
                <w:b/>
                <w:bCs/>
              </w:rPr>
              <w:t>Paid up</w:t>
            </w:r>
            <w:r w:rsidRPr="00F24202">
              <w:rPr>
                <w:b/>
                <w:bCs/>
              </w:rPr>
              <w:t>-</w:t>
            </w:r>
            <w:r w:rsidR="006E2942">
              <w:rPr>
                <w:b/>
                <w:bCs/>
              </w:rPr>
              <w:t>6</w:t>
            </w:r>
          </w:p>
        </w:tc>
        <w:tc>
          <w:tcPr>
            <w:tcW w:w="6330" w:type="dxa"/>
            <w:tcBorders>
              <w:top w:val="single" w:sz="4" w:space="0" w:color="auto"/>
              <w:left w:val="nil"/>
              <w:bottom w:val="single" w:sz="4" w:space="0" w:color="auto"/>
              <w:right w:val="single" w:sz="4" w:space="0" w:color="auto"/>
            </w:tcBorders>
            <w:hideMark/>
          </w:tcPr>
          <w:p w14:paraId="3AFB1DC6" w14:textId="08103D41" w:rsidR="00801091" w:rsidRPr="00F24202" w:rsidRDefault="009C6A0E" w:rsidP="007C67BD">
            <w:pPr>
              <w:spacing w:after="160" w:line="360" w:lineRule="auto"/>
              <w:jc w:val="both"/>
              <w:rPr>
                <w:b/>
                <w:bCs/>
              </w:rPr>
            </w:pPr>
            <w:r>
              <w:rPr>
                <w:b/>
                <w:bCs/>
              </w:rPr>
              <w:t>System should take cognizance of pay recovery policies only in respect of the parameters laid down under SR-</w:t>
            </w:r>
            <w:r w:rsidR="00D200C0">
              <w:rPr>
                <w:b/>
                <w:bCs/>
              </w:rPr>
              <w:t>PAID UP</w:t>
            </w:r>
            <w:r>
              <w:rPr>
                <w:b/>
                <w:bCs/>
              </w:rPr>
              <w:t>-6, as above.</w:t>
            </w:r>
          </w:p>
        </w:tc>
      </w:tr>
      <w:tr w:rsidR="00801091" w:rsidRPr="00F24202" w14:paraId="1636AE26" w14:textId="77777777" w:rsidTr="00FC72BE">
        <w:trPr>
          <w:trHeight w:val="673"/>
        </w:trPr>
        <w:tc>
          <w:tcPr>
            <w:tcW w:w="1448" w:type="dxa"/>
            <w:tcBorders>
              <w:top w:val="single" w:sz="4" w:space="0" w:color="auto"/>
              <w:left w:val="single" w:sz="4" w:space="0" w:color="auto"/>
              <w:bottom w:val="single" w:sz="4" w:space="0" w:color="auto"/>
              <w:right w:val="single" w:sz="4" w:space="0" w:color="auto"/>
            </w:tcBorders>
            <w:hideMark/>
          </w:tcPr>
          <w:p w14:paraId="218EB838" w14:textId="193CE05A" w:rsidR="00801091" w:rsidRPr="00F24202" w:rsidRDefault="00801091" w:rsidP="00FC72BE">
            <w:pPr>
              <w:spacing w:after="160" w:line="278" w:lineRule="auto"/>
              <w:jc w:val="center"/>
              <w:rPr>
                <w:b/>
                <w:bCs/>
              </w:rPr>
            </w:pPr>
            <w:r w:rsidRPr="00F24202">
              <w:rPr>
                <w:b/>
                <w:bCs/>
              </w:rPr>
              <w:t>SR-</w:t>
            </w:r>
            <w:r w:rsidR="00D200C0">
              <w:rPr>
                <w:b/>
                <w:bCs/>
              </w:rPr>
              <w:t>Paid up</w:t>
            </w:r>
            <w:r w:rsidRPr="00F24202">
              <w:rPr>
                <w:b/>
                <w:bCs/>
              </w:rPr>
              <w:t>-</w:t>
            </w:r>
            <w:r w:rsidR="006E2942">
              <w:rPr>
                <w:b/>
                <w:bCs/>
              </w:rPr>
              <w:t>7</w:t>
            </w:r>
          </w:p>
        </w:tc>
        <w:tc>
          <w:tcPr>
            <w:tcW w:w="6330" w:type="dxa"/>
            <w:tcBorders>
              <w:top w:val="single" w:sz="4" w:space="0" w:color="auto"/>
              <w:left w:val="nil"/>
              <w:bottom w:val="single" w:sz="4" w:space="0" w:color="auto"/>
              <w:right w:val="single" w:sz="4" w:space="0" w:color="auto"/>
            </w:tcBorders>
            <w:hideMark/>
          </w:tcPr>
          <w:p w14:paraId="7B3E0AF1" w14:textId="179DC451" w:rsidR="00801091" w:rsidRPr="00F24202" w:rsidRDefault="00801091" w:rsidP="007C67BD">
            <w:pPr>
              <w:spacing w:after="160" w:line="360" w:lineRule="auto"/>
              <w:jc w:val="both"/>
              <w:rPr>
                <w:b/>
                <w:bCs/>
              </w:rPr>
            </w:pPr>
            <w:r w:rsidRPr="00F24202">
              <w:rPr>
                <w:b/>
                <w:bCs/>
              </w:rPr>
              <w:t xml:space="preserve"> </w:t>
            </w:r>
            <w:r w:rsidR="0083501F">
              <w:rPr>
                <w:b/>
                <w:bCs/>
              </w:rPr>
              <w:t xml:space="preserve">In case of pay recovery policies, no policy will be treated as </w:t>
            </w:r>
            <w:r w:rsidR="00D200C0">
              <w:rPr>
                <w:b/>
                <w:bCs/>
              </w:rPr>
              <w:t xml:space="preserve">paid </w:t>
            </w:r>
            <w:r w:rsidR="0083501F">
              <w:rPr>
                <w:b/>
                <w:bCs/>
              </w:rPr>
              <w:t xml:space="preserve"> until </w:t>
            </w:r>
            <w:r w:rsidR="00E27C4D">
              <w:rPr>
                <w:b/>
                <w:bCs/>
              </w:rPr>
              <w:t>11 months from the date month of the first un paid premium</w:t>
            </w:r>
            <w:r w:rsidR="00874EF1">
              <w:rPr>
                <w:b/>
                <w:bCs/>
              </w:rPr>
              <w:t>, and auto paid up or paid up value to be determined by the system accordingly.</w:t>
            </w:r>
          </w:p>
        </w:tc>
      </w:tr>
      <w:tr w:rsidR="00B873E8" w:rsidRPr="00F24202" w14:paraId="37CE34AF" w14:textId="77777777" w:rsidTr="00FC72BE">
        <w:trPr>
          <w:trHeight w:val="673"/>
        </w:trPr>
        <w:tc>
          <w:tcPr>
            <w:tcW w:w="1448" w:type="dxa"/>
            <w:tcBorders>
              <w:top w:val="single" w:sz="4" w:space="0" w:color="auto"/>
              <w:left w:val="single" w:sz="4" w:space="0" w:color="auto"/>
              <w:bottom w:val="single" w:sz="4" w:space="0" w:color="auto"/>
              <w:right w:val="single" w:sz="4" w:space="0" w:color="auto"/>
            </w:tcBorders>
          </w:tcPr>
          <w:p w14:paraId="246AA04C" w14:textId="4A2F7AEA" w:rsidR="00B873E8" w:rsidRPr="00F24202" w:rsidRDefault="00B873E8" w:rsidP="00FC72BE">
            <w:pPr>
              <w:jc w:val="center"/>
              <w:rPr>
                <w:b/>
                <w:bCs/>
              </w:rPr>
            </w:pPr>
            <w:r>
              <w:rPr>
                <w:b/>
                <w:bCs/>
              </w:rPr>
              <w:t>SR- Paid up-8</w:t>
            </w:r>
          </w:p>
        </w:tc>
        <w:tc>
          <w:tcPr>
            <w:tcW w:w="6330" w:type="dxa"/>
            <w:tcBorders>
              <w:top w:val="single" w:sz="4" w:space="0" w:color="auto"/>
              <w:left w:val="nil"/>
              <w:bottom w:val="single" w:sz="4" w:space="0" w:color="auto"/>
              <w:right w:val="single" w:sz="4" w:space="0" w:color="auto"/>
            </w:tcBorders>
          </w:tcPr>
          <w:p w14:paraId="299442AA" w14:textId="18005A66" w:rsidR="00B873E8" w:rsidRPr="00F24202" w:rsidRDefault="00B873E8" w:rsidP="007C67BD">
            <w:pPr>
              <w:spacing w:line="360" w:lineRule="auto"/>
              <w:jc w:val="both"/>
              <w:rPr>
                <w:b/>
                <w:bCs/>
              </w:rPr>
            </w:pPr>
            <w:r>
              <w:rPr>
                <w:b/>
                <w:bCs/>
              </w:rPr>
              <w:t xml:space="preserve">If a policy is intended to be treated as forced surrender, then the system should be able to </w:t>
            </w:r>
            <w:r w:rsidR="002F3A42">
              <w:rPr>
                <w:b/>
                <w:bCs/>
              </w:rPr>
              <w:t>flag the last instalment date and treat the policy as auto paid up.</w:t>
            </w:r>
          </w:p>
        </w:tc>
      </w:tr>
      <w:tr w:rsidR="002F3A42" w:rsidRPr="00F24202" w14:paraId="42D84824" w14:textId="77777777" w:rsidTr="00FC72BE">
        <w:trPr>
          <w:trHeight w:val="673"/>
        </w:trPr>
        <w:tc>
          <w:tcPr>
            <w:tcW w:w="1448" w:type="dxa"/>
            <w:tcBorders>
              <w:top w:val="single" w:sz="4" w:space="0" w:color="auto"/>
              <w:left w:val="single" w:sz="4" w:space="0" w:color="auto"/>
              <w:bottom w:val="single" w:sz="4" w:space="0" w:color="auto"/>
              <w:right w:val="single" w:sz="4" w:space="0" w:color="auto"/>
            </w:tcBorders>
          </w:tcPr>
          <w:p w14:paraId="2DBFEF9B" w14:textId="7D6B85E7" w:rsidR="002F3A42" w:rsidRDefault="002F3A42" w:rsidP="00FC72BE">
            <w:pPr>
              <w:jc w:val="center"/>
              <w:rPr>
                <w:b/>
                <w:bCs/>
              </w:rPr>
            </w:pPr>
            <w:r>
              <w:rPr>
                <w:b/>
                <w:bCs/>
              </w:rPr>
              <w:t>SR-Paid up 9</w:t>
            </w:r>
          </w:p>
        </w:tc>
        <w:tc>
          <w:tcPr>
            <w:tcW w:w="6330" w:type="dxa"/>
            <w:tcBorders>
              <w:top w:val="single" w:sz="4" w:space="0" w:color="auto"/>
              <w:left w:val="nil"/>
              <w:bottom w:val="single" w:sz="4" w:space="0" w:color="auto"/>
              <w:right w:val="single" w:sz="4" w:space="0" w:color="auto"/>
            </w:tcBorders>
          </w:tcPr>
          <w:p w14:paraId="3757EAD2" w14:textId="5FAAAB5F" w:rsidR="002F3A42" w:rsidRDefault="002F3A42" w:rsidP="007C67BD">
            <w:pPr>
              <w:spacing w:line="360" w:lineRule="auto"/>
              <w:jc w:val="both"/>
              <w:rPr>
                <w:b/>
                <w:bCs/>
              </w:rPr>
            </w:pPr>
            <w:r>
              <w:rPr>
                <w:b/>
                <w:bCs/>
              </w:rPr>
              <w:t>In case of revival by instalment process, if the revival instalments are not paid on time, the last instalment paid before the revival application, is to be flagged by the system, and auto paid up value to be calculated accordingly.</w:t>
            </w:r>
          </w:p>
        </w:tc>
      </w:tr>
      <w:tr w:rsidR="00E723C3" w:rsidRPr="00F24202" w14:paraId="775A0AFF" w14:textId="77777777" w:rsidTr="00FC72BE">
        <w:trPr>
          <w:trHeight w:val="673"/>
        </w:trPr>
        <w:tc>
          <w:tcPr>
            <w:tcW w:w="1448" w:type="dxa"/>
            <w:tcBorders>
              <w:top w:val="single" w:sz="4" w:space="0" w:color="auto"/>
              <w:left w:val="single" w:sz="4" w:space="0" w:color="auto"/>
              <w:bottom w:val="single" w:sz="4" w:space="0" w:color="auto"/>
              <w:right w:val="single" w:sz="4" w:space="0" w:color="auto"/>
            </w:tcBorders>
          </w:tcPr>
          <w:p w14:paraId="7547F15E" w14:textId="5F6B9799" w:rsidR="00E723C3" w:rsidRDefault="00E723C3" w:rsidP="00FC72BE">
            <w:pPr>
              <w:jc w:val="center"/>
              <w:rPr>
                <w:b/>
                <w:bCs/>
              </w:rPr>
            </w:pPr>
            <w:r>
              <w:rPr>
                <w:b/>
                <w:bCs/>
              </w:rPr>
              <w:t>SR-Paid up 10</w:t>
            </w:r>
          </w:p>
        </w:tc>
        <w:tc>
          <w:tcPr>
            <w:tcW w:w="6330" w:type="dxa"/>
            <w:tcBorders>
              <w:top w:val="single" w:sz="4" w:space="0" w:color="auto"/>
              <w:left w:val="nil"/>
              <w:bottom w:val="single" w:sz="4" w:space="0" w:color="auto"/>
              <w:right w:val="single" w:sz="4" w:space="0" w:color="auto"/>
            </w:tcBorders>
          </w:tcPr>
          <w:p w14:paraId="64038D8B" w14:textId="7A0263F9" w:rsidR="00E723C3" w:rsidRDefault="00E723C3" w:rsidP="007C67BD">
            <w:pPr>
              <w:spacing w:line="360" w:lineRule="auto"/>
              <w:jc w:val="both"/>
              <w:rPr>
                <w:b/>
                <w:bCs/>
              </w:rPr>
            </w:pPr>
            <w:r>
              <w:rPr>
                <w:b/>
                <w:bCs/>
              </w:rPr>
              <w:t>In case of policies incepted after _____________</w:t>
            </w:r>
            <w:r w:rsidR="001609B6">
              <w:rPr>
                <w:b/>
                <w:bCs/>
              </w:rPr>
              <w:t>**</w:t>
            </w:r>
            <w:r>
              <w:rPr>
                <w:b/>
                <w:bCs/>
              </w:rPr>
              <w:t>, if the non credits crosses 60 months , but  after 36 months from the month of inception, then such policies should be declared as auto paid up by the system.</w:t>
            </w:r>
          </w:p>
        </w:tc>
      </w:tr>
      <w:tr w:rsidR="00801091" w:rsidRPr="00F24202" w14:paraId="42312DCC" w14:textId="77777777" w:rsidTr="00FC72BE">
        <w:trPr>
          <w:trHeight w:val="405"/>
        </w:trPr>
        <w:tc>
          <w:tcPr>
            <w:tcW w:w="1448" w:type="dxa"/>
            <w:tcBorders>
              <w:top w:val="single" w:sz="4" w:space="0" w:color="auto"/>
              <w:left w:val="single" w:sz="4" w:space="0" w:color="auto"/>
              <w:bottom w:val="single" w:sz="4" w:space="0" w:color="auto"/>
              <w:right w:val="single" w:sz="4" w:space="0" w:color="auto"/>
            </w:tcBorders>
            <w:hideMark/>
          </w:tcPr>
          <w:p w14:paraId="2527CE8D" w14:textId="4E006CE2" w:rsidR="00801091" w:rsidRPr="00F24202" w:rsidRDefault="00801091" w:rsidP="00FC72BE">
            <w:pPr>
              <w:spacing w:after="160" w:line="278" w:lineRule="auto"/>
              <w:jc w:val="center"/>
              <w:rPr>
                <w:b/>
                <w:bCs/>
              </w:rPr>
            </w:pPr>
            <w:r w:rsidRPr="00F24202">
              <w:rPr>
                <w:b/>
                <w:bCs/>
              </w:rPr>
              <w:lastRenderedPageBreak/>
              <w:t>SR-</w:t>
            </w:r>
            <w:r w:rsidR="00D200C0">
              <w:rPr>
                <w:b/>
                <w:bCs/>
              </w:rPr>
              <w:t>Paid up</w:t>
            </w:r>
            <w:r w:rsidRPr="00F24202">
              <w:rPr>
                <w:b/>
                <w:bCs/>
              </w:rPr>
              <w:t>-</w:t>
            </w:r>
            <w:r w:rsidR="006E2942">
              <w:rPr>
                <w:b/>
                <w:bCs/>
              </w:rPr>
              <w:t>8</w:t>
            </w:r>
            <w:r w:rsidR="00B873E8">
              <w:rPr>
                <w:b/>
                <w:bCs/>
              </w:rPr>
              <w:t xml:space="preserve"> </w:t>
            </w:r>
          </w:p>
        </w:tc>
        <w:tc>
          <w:tcPr>
            <w:tcW w:w="6330" w:type="dxa"/>
            <w:tcBorders>
              <w:top w:val="single" w:sz="4" w:space="0" w:color="auto"/>
              <w:left w:val="nil"/>
              <w:bottom w:val="single" w:sz="4" w:space="0" w:color="auto"/>
              <w:right w:val="single" w:sz="4" w:space="0" w:color="auto"/>
            </w:tcBorders>
            <w:hideMark/>
          </w:tcPr>
          <w:p w14:paraId="032BCBAC" w14:textId="3D873009" w:rsidR="00801091" w:rsidRPr="00F24202" w:rsidRDefault="00C15451" w:rsidP="007C67BD">
            <w:pPr>
              <w:spacing w:after="160" w:line="360" w:lineRule="auto"/>
              <w:jc w:val="both"/>
              <w:rPr>
                <w:b/>
                <w:bCs/>
              </w:rPr>
            </w:pPr>
            <w:r w:rsidRPr="00F24202">
              <w:rPr>
                <w:b/>
                <w:bCs/>
              </w:rPr>
              <w:t xml:space="preserve">SMS/Email /Whatsapp messages have to be sent whenever </w:t>
            </w:r>
            <w:r>
              <w:rPr>
                <w:b/>
                <w:bCs/>
              </w:rPr>
              <w:t xml:space="preserve">a policy is declared as </w:t>
            </w:r>
            <w:r w:rsidR="006E2942">
              <w:rPr>
                <w:b/>
                <w:bCs/>
              </w:rPr>
              <w:t>paid up/auto paid up.</w:t>
            </w:r>
          </w:p>
        </w:tc>
      </w:tr>
    </w:tbl>
    <w:p w14:paraId="2D94DE32" w14:textId="77777777" w:rsidR="00801091" w:rsidRDefault="00801091" w:rsidP="00801091">
      <w:pPr>
        <w:jc w:val="center"/>
        <w:rPr>
          <w:b/>
          <w:bCs/>
        </w:rPr>
      </w:pPr>
    </w:p>
    <w:p w14:paraId="2BF0CA58" w14:textId="6FD32509" w:rsidR="007C7B40" w:rsidRDefault="001609B6" w:rsidP="00801091">
      <w:pPr>
        <w:jc w:val="center"/>
        <w:rPr>
          <w:b/>
          <w:bCs/>
        </w:rPr>
      </w:pPr>
      <w:r>
        <w:rPr>
          <w:b/>
          <w:bCs/>
        </w:rPr>
        <w:t>** date to be ascertained from the files concerned.</w:t>
      </w:r>
    </w:p>
    <w:p w14:paraId="4BB7EAF9" w14:textId="77777777" w:rsidR="007C7B40" w:rsidRDefault="007C7B40" w:rsidP="007C7B40">
      <w:pPr>
        <w:pStyle w:val="Heading1"/>
      </w:pPr>
      <w:bookmarkStart w:id="0" w:name="_Toc343846711"/>
    </w:p>
    <w:p w14:paraId="42C12E3C" w14:textId="77777777" w:rsidR="007C7B40" w:rsidRDefault="007C7B40" w:rsidP="007C7B40">
      <w:pPr>
        <w:pStyle w:val="Heading1"/>
      </w:pPr>
    </w:p>
    <w:p w14:paraId="51F833F6" w14:textId="69BE4099" w:rsidR="007C7B40" w:rsidRPr="007C7B40" w:rsidRDefault="007C7B40" w:rsidP="007C7B40">
      <w:pPr>
        <w:pStyle w:val="Heading1"/>
        <w:rPr>
          <w:rFonts w:asciiTheme="minorHAnsi" w:hAnsiTheme="minorHAnsi"/>
          <w:sz w:val="24"/>
          <w:szCs w:val="24"/>
        </w:rPr>
      </w:pPr>
      <w:r w:rsidRPr="007C7B40">
        <w:rPr>
          <w:rFonts w:asciiTheme="minorHAnsi" w:hAnsiTheme="minorHAnsi"/>
          <w:sz w:val="24"/>
          <w:szCs w:val="24"/>
        </w:rPr>
        <w:t>In-Scope</w:t>
      </w:r>
      <w:bookmarkEnd w:id="0"/>
    </w:p>
    <w:p w14:paraId="39EE427A" w14:textId="77777777" w:rsidR="007C7B40" w:rsidRPr="007C7B40" w:rsidRDefault="007C7B40" w:rsidP="007C7B40">
      <w:pPr>
        <w:ind w:firstLine="720"/>
      </w:pPr>
      <w:r w:rsidRPr="007C7B40">
        <w:t>Following PLI products are in scope:</w:t>
      </w:r>
    </w:p>
    <w:p w14:paraId="0479218F" w14:textId="77777777" w:rsidR="007C7B40" w:rsidRPr="007C7B40" w:rsidRDefault="007C7B40" w:rsidP="007C7B40"/>
    <w:tbl>
      <w:tblPr>
        <w:tblStyle w:val="TableGrid"/>
        <w:tblW w:w="0" w:type="auto"/>
        <w:tblLook w:val="04A0" w:firstRow="1" w:lastRow="0" w:firstColumn="1" w:lastColumn="0" w:noHBand="0" w:noVBand="1"/>
      </w:tblPr>
      <w:tblGrid>
        <w:gridCol w:w="1139"/>
        <w:gridCol w:w="1888"/>
        <w:gridCol w:w="3855"/>
      </w:tblGrid>
      <w:tr w:rsidR="007C7B40" w:rsidRPr="007C7B40" w14:paraId="50655DBD" w14:textId="77777777" w:rsidTr="00FC72BE">
        <w:trPr>
          <w:tblHeader/>
        </w:trPr>
        <w:tc>
          <w:tcPr>
            <w:tcW w:w="0" w:type="auto"/>
            <w:shd w:val="clear" w:color="auto" w:fill="B7D4EF" w:themeFill="text2" w:themeFillTint="33"/>
            <w:vAlign w:val="center"/>
          </w:tcPr>
          <w:p w14:paraId="36091941" w14:textId="77777777" w:rsidR="007C7B40" w:rsidRPr="007C7B40" w:rsidRDefault="007C7B40" w:rsidP="00FC72BE">
            <w:pPr>
              <w:pStyle w:val="BodyText"/>
              <w:ind w:left="0"/>
              <w:jc w:val="center"/>
              <w:rPr>
                <w:rFonts w:asciiTheme="minorHAnsi" w:hAnsiTheme="minorHAnsi" w:cs="Arial"/>
                <w:b/>
                <w:sz w:val="24"/>
                <w:szCs w:val="24"/>
              </w:rPr>
            </w:pPr>
            <w:r w:rsidRPr="007C7B40">
              <w:rPr>
                <w:rFonts w:asciiTheme="minorHAnsi" w:hAnsiTheme="minorHAnsi" w:cs="Arial"/>
                <w:b/>
                <w:sz w:val="24"/>
                <w:szCs w:val="24"/>
              </w:rPr>
              <w:t>PLI/RPLI</w:t>
            </w:r>
          </w:p>
        </w:tc>
        <w:tc>
          <w:tcPr>
            <w:tcW w:w="0" w:type="auto"/>
            <w:shd w:val="clear" w:color="auto" w:fill="B7D4EF" w:themeFill="text2" w:themeFillTint="33"/>
            <w:vAlign w:val="center"/>
          </w:tcPr>
          <w:p w14:paraId="161AB632" w14:textId="77777777" w:rsidR="007C7B40" w:rsidRPr="007C7B40" w:rsidRDefault="007C7B40" w:rsidP="00FC72BE">
            <w:pPr>
              <w:pStyle w:val="BodyText"/>
              <w:ind w:left="0"/>
              <w:jc w:val="center"/>
              <w:rPr>
                <w:rFonts w:asciiTheme="minorHAnsi" w:hAnsiTheme="minorHAnsi" w:cs="Arial"/>
                <w:b/>
                <w:sz w:val="24"/>
                <w:szCs w:val="24"/>
              </w:rPr>
            </w:pPr>
            <w:r w:rsidRPr="007C7B40">
              <w:rPr>
                <w:rFonts w:asciiTheme="minorHAnsi" w:hAnsiTheme="minorHAnsi" w:cs="Arial"/>
                <w:b/>
                <w:sz w:val="24"/>
                <w:szCs w:val="24"/>
              </w:rPr>
              <w:t>Product Name</w:t>
            </w:r>
          </w:p>
        </w:tc>
        <w:tc>
          <w:tcPr>
            <w:tcW w:w="0" w:type="auto"/>
            <w:shd w:val="clear" w:color="auto" w:fill="B7D4EF" w:themeFill="text2" w:themeFillTint="33"/>
            <w:vAlign w:val="center"/>
          </w:tcPr>
          <w:p w14:paraId="19CC5F01" w14:textId="77777777" w:rsidR="007C7B40" w:rsidRPr="007C7B40" w:rsidRDefault="007C7B40" w:rsidP="00FC72BE">
            <w:pPr>
              <w:pStyle w:val="BodyText"/>
              <w:ind w:left="0"/>
              <w:jc w:val="center"/>
              <w:rPr>
                <w:rFonts w:asciiTheme="minorHAnsi" w:hAnsiTheme="minorHAnsi" w:cs="Arial"/>
                <w:b/>
                <w:sz w:val="24"/>
                <w:szCs w:val="24"/>
              </w:rPr>
            </w:pPr>
            <w:r w:rsidRPr="007C7B40">
              <w:rPr>
                <w:rFonts w:asciiTheme="minorHAnsi" w:hAnsiTheme="minorHAnsi" w:cs="Arial"/>
                <w:b/>
                <w:sz w:val="24"/>
                <w:szCs w:val="24"/>
              </w:rPr>
              <w:t>Product Type</w:t>
            </w:r>
          </w:p>
        </w:tc>
      </w:tr>
      <w:tr w:rsidR="007C7B40" w:rsidRPr="007C7B40" w14:paraId="0959B3A8" w14:textId="77777777" w:rsidTr="00FC72BE">
        <w:tc>
          <w:tcPr>
            <w:tcW w:w="0" w:type="auto"/>
            <w:vAlign w:val="center"/>
          </w:tcPr>
          <w:p w14:paraId="5BC9F439" w14:textId="77777777" w:rsidR="007C7B40" w:rsidRPr="007C7B40" w:rsidRDefault="007C7B40" w:rsidP="00FC72BE">
            <w:pPr>
              <w:pStyle w:val="BodyText"/>
              <w:ind w:left="0"/>
              <w:jc w:val="center"/>
              <w:rPr>
                <w:rFonts w:asciiTheme="minorHAnsi" w:hAnsiTheme="minorHAnsi" w:cs="Arial"/>
                <w:sz w:val="24"/>
                <w:szCs w:val="24"/>
              </w:rPr>
            </w:pPr>
            <w:r w:rsidRPr="007C7B40">
              <w:rPr>
                <w:rFonts w:asciiTheme="minorHAnsi" w:hAnsiTheme="minorHAnsi" w:cs="Arial"/>
                <w:sz w:val="24"/>
                <w:szCs w:val="24"/>
              </w:rPr>
              <w:t>PLI</w:t>
            </w:r>
          </w:p>
        </w:tc>
        <w:tc>
          <w:tcPr>
            <w:tcW w:w="0" w:type="auto"/>
            <w:vAlign w:val="center"/>
          </w:tcPr>
          <w:p w14:paraId="6DAB235E" w14:textId="77777777" w:rsidR="007C7B40" w:rsidRPr="007C7B40" w:rsidRDefault="007C7B40" w:rsidP="00FC72BE">
            <w:pPr>
              <w:pStyle w:val="BodyText"/>
              <w:ind w:left="0"/>
              <w:jc w:val="center"/>
              <w:rPr>
                <w:rFonts w:asciiTheme="minorHAnsi" w:hAnsiTheme="minorHAnsi" w:cs="Arial"/>
                <w:sz w:val="24"/>
                <w:szCs w:val="24"/>
              </w:rPr>
            </w:pPr>
            <w:r w:rsidRPr="007C7B40">
              <w:rPr>
                <w:rFonts w:asciiTheme="minorHAnsi" w:hAnsiTheme="minorHAnsi" w:cs="Arial"/>
                <w:color w:val="000000"/>
                <w:sz w:val="24"/>
                <w:szCs w:val="24"/>
              </w:rPr>
              <w:t>Suraksha</w:t>
            </w:r>
          </w:p>
        </w:tc>
        <w:tc>
          <w:tcPr>
            <w:tcW w:w="0" w:type="auto"/>
            <w:vAlign w:val="center"/>
          </w:tcPr>
          <w:p w14:paraId="5978C63B" w14:textId="77777777" w:rsidR="007C7B40" w:rsidRPr="007C7B40" w:rsidRDefault="007C7B40" w:rsidP="00FC72BE">
            <w:pPr>
              <w:pStyle w:val="BodyText"/>
              <w:ind w:left="0"/>
              <w:jc w:val="center"/>
              <w:rPr>
                <w:rFonts w:asciiTheme="minorHAnsi" w:hAnsiTheme="minorHAnsi" w:cs="Arial"/>
                <w:sz w:val="24"/>
                <w:szCs w:val="24"/>
              </w:rPr>
            </w:pPr>
            <w:r w:rsidRPr="007C7B40">
              <w:rPr>
                <w:rFonts w:asciiTheme="minorHAnsi" w:hAnsiTheme="minorHAnsi" w:cs="Arial"/>
                <w:color w:val="000000"/>
                <w:sz w:val="24"/>
                <w:szCs w:val="24"/>
              </w:rPr>
              <w:t>Whole Life Assurance</w:t>
            </w:r>
          </w:p>
        </w:tc>
      </w:tr>
      <w:tr w:rsidR="007C7B40" w:rsidRPr="007C7B40" w14:paraId="78395536" w14:textId="77777777" w:rsidTr="00FC72BE">
        <w:tc>
          <w:tcPr>
            <w:tcW w:w="0" w:type="auto"/>
            <w:vAlign w:val="center"/>
          </w:tcPr>
          <w:p w14:paraId="514DEEED" w14:textId="77777777" w:rsidR="007C7B40" w:rsidRPr="007C7B40" w:rsidRDefault="007C7B40" w:rsidP="00FC72BE">
            <w:pPr>
              <w:pStyle w:val="BodyText"/>
              <w:ind w:left="0"/>
              <w:jc w:val="center"/>
              <w:rPr>
                <w:rFonts w:asciiTheme="minorHAnsi" w:hAnsiTheme="minorHAnsi" w:cs="Arial"/>
                <w:sz w:val="24"/>
                <w:szCs w:val="24"/>
              </w:rPr>
            </w:pPr>
            <w:r w:rsidRPr="007C7B40">
              <w:rPr>
                <w:rFonts w:asciiTheme="minorHAnsi" w:hAnsiTheme="minorHAnsi" w:cs="Arial"/>
                <w:sz w:val="24"/>
                <w:szCs w:val="24"/>
              </w:rPr>
              <w:t>PLI</w:t>
            </w:r>
          </w:p>
        </w:tc>
        <w:tc>
          <w:tcPr>
            <w:tcW w:w="0" w:type="auto"/>
            <w:vAlign w:val="center"/>
          </w:tcPr>
          <w:p w14:paraId="35D3CB19" w14:textId="77777777" w:rsidR="007C7B40" w:rsidRPr="007C7B40" w:rsidRDefault="007C7B40" w:rsidP="00FC72BE">
            <w:pPr>
              <w:pStyle w:val="BodyText"/>
              <w:ind w:left="0"/>
              <w:jc w:val="center"/>
              <w:rPr>
                <w:rFonts w:asciiTheme="minorHAnsi" w:hAnsiTheme="minorHAnsi" w:cs="Arial"/>
                <w:sz w:val="24"/>
                <w:szCs w:val="24"/>
              </w:rPr>
            </w:pPr>
            <w:r w:rsidRPr="007C7B40">
              <w:rPr>
                <w:rFonts w:asciiTheme="minorHAnsi" w:hAnsiTheme="minorHAnsi" w:cs="Arial"/>
                <w:color w:val="000000"/>
                <w:sz w:val="24"/>
                <w:szCs w:val="24"/>
              </w:rPr>
              <w:t>Santosh</w:t>
            </w:r>
          </w:p>
        </w:tc>
        <w:tc>
          <w:tcPr>
            <w:tcW w:w="0" w:type="auto"/>
            <w:vAlign w:val="center"/>
          </w:tcPr>
          <w:p w14:paraId="19233F1F" w14:textId="77777777" w:rsidR="007C7B40" w:rsidRPr="007C7B40" w:rsidRDefault="007C7B40" w:rsidP="00FC72BE">
            <w:pPr>
              <w:pStyle w:val="BodyText"/>
              <w:ind w:left="0"/>
              <w:jc w:val="center"/>
              <w:rPr>
                <w:rFonts w:asciiTheme="minorHAnsi" w:hAnsiTheme="minorHAnsi" w:cs="Arial"/>
                <w:sz w:val="24"/>
                <w:szCs w:val="24"/>
              </w:rPr>
            </w:pPr>
            <w:r w:rsidRPr="007C7B40">
              <w:rPr>
                <w:rFonts w:asciiTheme="minorHAnsi" w:hAnsiTheme="minorHAnsi" w:cs="Arial"/>
                <w:color w:val="000000"/>
                <w:sz w:val="24"/>
                <w:szCs w:val="24"/>
              </w:rPr>
              <w:t>Endowment Assurance</w:t>
            </w:r>
          </w:p>
        </w:tc>
      </w:tr>
      <w:tr w:rsidR="007C7B40" w:rsidRPr="007C7B40" w14:paraId="0661FC3E" w14:textId="77777777" w:rsidTr="00FC72BE">
        <w:tc>
          <w:tcPr>
            <w:tcW w:w="0" w:type="auto"/>
            <w:vAlign w:val="center"/>
          </w:tcPr>
          <w:p w14:paraId="4A86E75C" w14:textId="77777777" w:rsidR="007C7B40" w:rsidRPr="007C7B40" w:rsidRDefault="007C7B40" w:rsidP="00FC72BE">
            <w:pPr>
              <w:pStyle w:val="BodyText"/>
              <w:ind w:left="0"/>
              <w:jc w:val="center"/>
              <w:rPr>
                <w:rFonts w:asciiTheme="minorHAnsi" w:hAnsiTheme="minorHAnsi" w:cs="Arial"/>
                <w:sz w:val="24"/>
                <w:szCs w:val="24"/>
              </w:rPr>
            </w:pPr>
            <w:r w:rsidRPr="007C7B40">
              <w:rPr>
                <w:rFonts w:asciiTheme="minorHAnsi" w:hAnsiTheme="minorHAnsi" w:cs="Arial"/>
                <w:sz w:val="24"/>
                <w:szCs w:val="24"/>
              </w:rPr>
              <w:t>PLI</w:t>
            </w:r>
          </w:p>
        </w:tc>
        <w:tc>
          <w:tcPr>
            <w:tcW w:w="0" w:type="auto"/>
            <w:vAlign w:val="center"/>
          </w:tcPr>
          <w:p w14:paraId="3466A03F" w14:textId="77777777" w:rsidR="007C7B40" w:rsidRPr="007C7B40" w:rsidRDefault="007C7B40" w:rsidP="00FC72BE">
            <w:pPr>
              <w:pStyle w:val="BodyText"/>
              <w:ind w:left="0"/>
              <w:jc w:val="center"/>
              <w:rPr>
                <w:rFonts w:asciiTheme="minorHAnsi" w:hAnsiTheme="minorHAnsi" w:cs="Arial"/>
                <w:sz w:val="24"/>
                <w:szCs w:val="24"/>
              </w:rPr>
            </w:pPr>
            <w:r w:rsidRPr="007C7B40">
              <w:rPr>
                <w:rFonts w:asciiTheme="minorHAnsi" w:hAnsiTheme="minorHAnsi" w:cs="Arial"/>
                <w:color w:val="000000"/>
                <w:sz w:val="24"/>
                <w:szCs w:val="24"/>
              </w:rPr>
              <w:t>Suvidha</w:t>
            </w:r>
          </w:p>
        </w:tc>
        <w:tc>
          <w:tcPr>
            <w:tcW w:w="0" w:type="auto"/>
            <w:vAlign w:val="center"/>
          </w:tcPr>
          <w:p w14:paraId="601E52F9" w14:textId="77777777" w:rsidR="007C7B40" w:rsidRPr="007C7B40" w:rsidRDefault="007C7B40" w:rsidP="00FC72BE">
            <w:pPr>
              <w:pStyle w:val="BodyText"/>
              <w:ind w:left="0"/>
              <w:jc w:val="center"/>
              <w:rPr>
                <w:rFonts w:asciiTheme="minorHAnsi" w:hAnsiTheme="minorHAnsi" w:cs="Arial"/>
                <w:sz w:val="24"/>
                <w:szCs w:val="24"/>
              </w:rPr>
            </w:pPr>
            <w:r w:rsidRPr="007C7B40">
              <w:rPr>
                <w:rFonts w:asciiTheme="minorHAnsi" w:hAnsiTheme="minorHAnsi" w:cs="Arial"/>
                <w:color w:val="000000"/>
                <w:sz w:val="24"/>
                <w:szCs w:val="24"/>
              </w:rPr>
              <w:t>Convertible Whole Life Assurance</w:t>
            </w:r>
          </w:p>
        </w:tc>
      </w:tr>
      <w:tr w:rsidR="007C7B40" w:rsidRPr="007C7B40" w14:paraId="4DB361BA" w14:textId="77777777" w:rsidTr="00FC72BE">
        <w:tc>
          <w:tcPr>
            <w:tcW w:w="0" w:type="auto"/>
            <w:vAlign w:val="center"/>
          </w:tcPr>
          <w:p w14:paraId="78168B92" w14:textId="77777777" w:rsidR="007C7B40" w:rsidRPr="007C7B40" w:rsidRDefault="007C7B40" w:rsidP="00FC72BE">
            <w:pPr>
              <w:pStyle w:val="BodyText"/>
              <w:ind w:left="0"/>
              <w:jc w:val="center"/>
              <w:rPr>
                <w:rFonts w:asciiTheme="minorHAnsi" w:hAnsiTheme="minorHAnsi" w:cs="Arial"/>
                <w:sz w:val="24"/>
                <w:szCs w:val="24"/>
              </w:rPr>
            </w:pPr>
            <w:r w:rsidRPr="007C7B40">
              <w:rPr>
                <w:rFonts w:asciiTheme="minorHAnsi" w:hAnsiTheme="minorHAnsi" w:cs="Arial"/>
                <w:sz w:val="24"/>
                <w:szCs w:val="24"/>
              </w:rPr>
              <w:t>PLI</w:t>
            </w:r>
          </w:p>
        </w:tc>
        <w:tc>
          <w:tcPr>
            <w:tcW w:w="0" w:type="auto"/>
            <w:vAlign w:val="center"/>
          </w:tcPr>
          <w:p w14:paraId="13F550F6" w14:textId="77777777" w:rsidR="007C7B40" w:rsidRPr="007C7B40" w:rsidRDefault="007C7B40" w:rsidP="00FC72BE">
            <w:pPr>
              <w:pStyle w:val="BodyText"/>
              <w:ind w:left="0"/>
              <w:jc w:val="center"/>
              <w:rPr>
                <w:rFonts w:asciiTheme="minorHAnsi" w:hAnsiTheme="minorHAnsi" w:cs="Arial"/>
                <w:color w:val="000000"/>
                <w:sz w:val="24"/>
                <w:szCs w:val="24"/>
              </w:rPr>
            </w:pPr>
            <w:r w:rsidRPr="007C7B40">
              <w:rPr>
                <w:rFonts w:asciiTheme="minorHAnsi" w:hAnsiTheme="minorHAnsi" w:cs="Arial"/>
                <w:color w:val="000000"/>
                <w:sz w:val="24"/>
                <w:szCs w:val="24"/>
              </w:rPr>
              <w:t>Sumangal</w:t>
            </w:r>
          </w:p>
        </w:tc>
        <w:tc>
          <w:tcPr>
            <w:tcW w:w="0" w:type="auto"/>
            <w:vAlign w:val="center"/>
          </w:tcPr>
          <w:p w14:paraId="452F96A7" w14:textId="77777777" w:rsidR="007C7B40" w:rsidRPr="007C7B40" w:rsidRDefault="007C7B40" w:rsidP="00FC72BE">
            <w:pPr>
              <w:pStyle w:val="BodyText"/>
              <w:ind w:left="0"/>
              <w:jc w:val="center"/>
              <w:rPr>
                <w:rFonts w:asciiTheme="minorHAnsi" w:hAnsiTheme="minorHAnsi" w:cs="Arial"/>
                <w:color w:val="000000"/>
                <w:sz w:val="24"/>
                <w:szCs w:val="24"/>
              </w:rPr>
            </w:pPr>
            <w:r w:rsidRPr="007C7B40">
              <w:rPr>
                <w:rFonts w:asciiTheme="minorHAnsi" w:hAnsiTheme="minorHAnsi" w:cs="Arial"/>
                <w:color w:val="000000"/>
                <w:sz w:val="24"/>
                <w:szCs w:val="24"/>
              </w:rPr>
              <w:t>Anticipated Endowment Assurance</w:t>
            </w:r>
          </w:p>
        </w:tc>
      </w:tr>
      <w:tr w:rsidR="007C7B40" w:rsidRPr="007C7B40" w14:paraId="190EF1B3" w14:textId="77777777" w:rsidTr="00FC72BE">
        <w:tc>
          <w:tcPr>
            <w:tcW w:w="0" w:type="auto"/>
            <w:vAlign w:val="center"/>
          </w:tcPr>
          <w:p w14:paraId="75B90D56" w14:textId="77777777" w:rsidR="007C7B40" w:rsidRPr="007C7B40" w:rsidRDefault="007C7B40" w:rsidP="00FC72BE">
            <w:pPr>
              <w:pStyle w:val="BodyText"/>
              <w:ind w:left="0"/>
              <w:jc w:val="center"/>
              <w:rPr>
                <w:rFonts w:asciiTheme="minorHAnsi" w:hAnsiTheme="minorHAnsi" w:cs="Arial"/>
                <w:sz w:val="24"/>
                <w:szCs w:val="24"/>
              </w:rPr>
            </w:pPr>
            <w:r w:rsidRPr="007C7B40">
              <w:rPr>
                <w:rFonts w:asciiTheme="minorHAnsi" w:hAnsiTheme="minorHAnsi" w:cs="Arial"/>
                <w:sz w:val="24"/>
                <w:szCs w:val="24"/>
              </w:rPr>
              <w:t>PLI</w:t>
            </w:r>
          </w:p>
        </w:tc>
        <w:tc>
          <w:tcPr>
            <w:tcW w:w="0" w:type="auto"/>
            <w:vAlign w:val="center"/>
          </w:tcPr>
          <w:p w14:paraId="5741843E" w14:textId="77777777" w:rsidR="007C7B40" w:rsidRPr="007C7B40" w:rsidRDefault="007C7B40" w:rsidP="00FC72BE">
            <w:pPr>
              <w:pStyle w:val="BodyText"/>
              <w:ind w:left="0"/>
              <w:jc w:val="center"/>
              <w:rPr>
                <w:rFonts w:asciiTheme="minorHAnsi" w:hAnsiTheme="minorHAnsi" w:cs="Arial"/>
                <w:color w:val="000000"/>
                <w:sz w:val="24"/>
                <w:szCs w:val="24"/>
              </w:rPr>
            </w:pPr>
            <w:r w:rsidRPr="007C7B40">
              <w:rPr>
                <w:rFonts w:asciiTheme="minorHAnsi" w:hAnsiTheme="minorHAnsi" w:cs="Arial"/>
                <w:color w:val="000000"/>
                <w:sz w:val="24"/>
                <w:szCs w:val="24"/>
              </w:rPr>
              <w:t>Child Policy</w:t>
            </w:r>
          </w:p>
        </w:tc>
        <w:tc>
          <w:tcPr>
            <w:tcW w:w="0" w:type="auto"/>
            <w:vAlign w:val="center"/>
          </w:tcPr>
          <w:p w14:paraId="077B1CDD" w14:textId="77777777" w:rsidR="007C7B40" w:rsidRPr="007C7B40" w:rsidRDefault="007C7B40" w:rsidP="00FC72BE">
            <w:pPr>
              <w:pStyle w:val="BodyText"/>
              <w:ind w:left="0"/>
              <w:jc w:val="center"/>
              <w:rPr>
                <w:rFonts w:asciiTheme="minorHAnsi" w:hAnsiTheme="minorHAnsi" w:cs="Arial"/>
                <w:color w:val="000000"/>
                <w:sz w:val="24"/>
                <w:szCs w:val="24"/>
              </w:rPr>
            </w:pPr>
            <w:r w:rsidRPr="007C7B40">
              <w:rPr>
                <w:rFonts w:asciiTheme="minorHAnsi" w:hAnsiTheme="minorHAnsi" w:cs="Arial"/>
                <w:color w:val="000000"/>
                <w:sz w:val="24"/>
                <w:szCs w:val="24"/>
              </w:rPr>
              <w:t>Child Policy</w:t>
            </w:r>
          </w:p>
        </w:tc>
      </w:tr>
      <w:tr w:rsidR="007C7B40" w:rsidRPr="007C7B40" w14:paraId="54637D7D" w14:textId="77777777" w:rsidTr="00FC72BE">
        <w:trPr>
          <w:trHeight w:val="98"/>
        </w:trPr>
        <w:tc>
          <w:tcPr>
            <w:tcW w:w="0" w:type="auto"/>
            <w:vAlign w:val="center"/>
          </w:tcPr>
          <w:p w14:paraId="6D5B2855" w14:textId="77777777" w:rsidR="007C7B40" w:rsidRPr="007C7B40" w:rsidRDefault="007C7B40" w:rsidP="00FC72BE">
            <w:pPr>
              <w:pStyle w:val="BodyText"/>
              <w:ind w:left="0"/>
              <w:jc w:val="center"/>
              <w:rPr>
                <w:rFonts w:asciiTheme="minorHAnsi" w:hAnsiTheme="minorHAnsi" w:cs="Arial"/>
                <w:sz w:val="24"/>
                <w:szCs w:val="24"/>
              </w:rPr>
            </w:pPr>
            <w:r w:rsidRPr="007C7B40">
              <w:rPr>
                <w:rFonts w:asciiTheme="minorHAnsi" w:hAnsiTheme="minorHAnsi" w:cs="Arial"/>
                <w:sz w:val="24"/>
                <w:szCs w:val="24"/>
              </w:rPr>
              <w:t>PLI</w:t>
            </w:r>
          </w:p>
        </w:tc>
        <w:tc>
          <w:tcPr>
            <w:tcW w:w="0" w:type="auto"/>
            <w:vAlign w:val="center"/>
          </w:tcPr>
          <w:p w14:paraId="5D272995" w14:textId="77777777" w:rsidR="007C7B40" w:rsidRPr="007C7B40" w:rsidRDefault="007C7B40" w:rsidP="00FC72BE">
            <w:pPr>
              <w:pStyle w:val="BodyText"/>
              <w:ind w:left="0"/>
              <w:jc w:val="center"/>
              <w:rPr>
                <w:rFonts w:asciiTheme="minorHAnsi" w:hAnsiTheme="minorHAnsi" w:cs="Arial"/>
                <w:sz w:val="24"/>
                <w:szCs w:val="24"/>
              </w:rPr>
            </w:pPr>
            <w:r w:rsidRPr="007C7B40">
              <w:rPr>
                <w:rFonts w:asciiTheme="minorHAnsi" w:hAnsiTheme="minorHAnsi" w:cs="Arial"/>
                <w:color w:val="000000"/>
                <w:sz w:val="24"/>
                <w:szCs w:val="24"/>
              </w:rPr>
              <w:t>Yugal Suraksha</w:t>
            </w:r>
          </w:p>
        </w:tc>
        <w:tc>
          <w:tcPr>
            <w:tcW w:w="0" w:type="auto"/>
            <w:vAlign w:val="center"/>
          </w:tcPr>
          <w:p w14:paraId="427317C3" w14:textId="77777777" w:rsidR="007C7B40" w:rsidRPr="007C7B40" w:rsidRDefault="007C7B40" w:rsidP="00FC72BE">
            <w:pPr>
              <w:pStyle w:val="BodyText"/>
              <w:ind w:left="0"/>
              <w:jc w:val="center"/>
              <w:rPr>
                <w:rFonts w:asciiTheme="minorHAnsi" w:hAnsiTheme="minorHAnsi" w:cs="Arial"/>
                <w:sz w:val="24"/>
                <w:szCs w:val="24"/>
              </w:rPr>
            </w:pPr>
            <w:r w:rsidRPr="007C7B40">
              <w:rPr>
                <w:rFonts w:asciiTheme="minorHAnsi" w:hAnsiTheme="minorHAnsi" w:cs="Arial"/>
                <w:color w:val="000000"/>
                <w:sz w:val="24"/>
                <w:szCs w:val="24"/>
              </w:rPr>
              <w:t>Joint Life Assurance</w:t>
            </w:r>
          </w:p>
        </w:tc>
      </w:tr>
      <w:tr w:rsidR="007C7B40" w:rsidRPr="007C7B40" w14:paraId="59F35E9C" w14:textId="77777777" w:rsidTr="00FC72BE">
        <w:tc>
          <w:tcPr>
            <w:tcW w:w="0" w:type="auto"/>
            <w:vAlign w:val="center"/>
          </w:tcPr>
          <w:p w14:paraId="07D20299" w14:textId="77777777" w:rsidR="007C7B40" w:rsidRPr="007C7B40" w:rsidRDefault="007C7B40" w:rsidP="00FC72BE">
            <w:pPr>
              <w:pStyle w:val="BodyText"/>
              <w:ind w:left="0"/>
              <w:jc w:val="center"/>
              <w:rPr>
                <w:rFonts w:asciiTheme="minorHAnsi" w:hAnsiTheme="minorHAnsi" w:cs="Arial"/>
                <w:sz w:val="24"/>
                <w:szCs w:val="24"/>
              </w:rPr>
            </w:pPr>
            <w:r w:rsidRPr="007C7B40">
              <w:rPr>
                <w:rFonts w:asciiTheme="minorHAnsi" w:hAnsiTheme="minorHAnsi" w:cs="Arial"/>
                <w:sz w:val="24"/>
                <w:szCs w:val="24"/>
              </w:rPr>
              <w:t>RPLI</w:t>
            </w:r>
          </w:p>
        </w:tc>
        <w:tc>
          <w:tcPr>
            <w:tcW w:w="0" w:type="auto"/>
            <w:vAlign w:val="center"/>
          </w:tcPr>
          <w:p w14:paraId="1EBA676C" w14:textId="77777777" w:rsidR="007C7B40" w:rsidRPr="007C7B40" w:rsidRDefault="007C7B40" w:rsidP="00FC72BE">
            <w:pPr>
              <w:pStyle w:val="BodyText"/>
              <w:ind w:left="0"/>
              <w:jc w:val="center"/>
              <w:rPr>
                <w:rFonts w:asciiTheme="minorHAnsi" w:hAnsiTheme="minorHAnsi" w:cs="Arial"/>
                <w:sz w:val="24"/>
                <w:szCs w:val="24"/>
              </w:rPr>
            </w:pPr>
            <w:r w:rsidRPr="007C7B40">
              <w:rPr>
                <w:rFonts w:asciiTheme="minorHAnsi" w:hAnsiTheme="minorHAnsi" w:cs="Arial"/>
                <w:color w:val="000000"/>
                <w:sz w:val="24"/>
                <w:szCs w:val="24"/>
              </w:rPr>
              <w:t>Gram Suraksha</w:t>
            </w:r>
          </w:p>
        </w:tc>
        <w:tc>
          <w:tcPr>
            <w:tcW w:w="0" w:type="auto"/>
            <w:vAlign w:val="center"/>
          </w:tcPr>
          <w:p w14:paraId="701E6AC8" w14:textId="77777777" w:rsidR="007C7B40" w:rsidRPr="007C7B40" w:rsidRDefault="007C7B40" w:rsidP="00FC72BE">
            <w:pPr>
              <w:pStyle w:val="BodyText"/>
              <w:ind w:left="0"/>
              <w:jc w:val="center"/>
              <w:rPr>
                <w:rFonts w:asciiTheme="minorHAnsi" w:hAnsiTheme="minorHAnsi" w:cs="Arial"/>
                <w:sz w:val="24"/>
                <w:szCs w:val="24"/>
              </w:rPr>
            </w:pPr>
            <w:r w:rsidRPr="007C7B40">
              <w:rPr>
                <w:rFonts w:asciiTheme="minorHAnsi" w:hAnsiTheme="minorHAnsi" w:cs="Arial"/>
                <w:color w:val="000000"/>
                <w:sz w:val="24"/>
                <w:szCs w:val="24"/>
              </w:rPr>
              <w:t>Whole Life Assurance</w:t>
            </w:r>
          </w:p>
        </w:tc>
      </w:tr>
      <w:tr w:rsidR="007C7B40" w:rsidRPr="007C7B40" w14:paraId="33C5969A" w14:textId="77777777" w:rsidTr="00FC72BE">
        <w:tc>
          <w:tcPr>
            <w:tcW w:w="0" w:type="auto"/>
            <w:vAlign w:val="center"/>
          </w:tcPr>
          <w:p w14:paraId="68816C7F" w14:textId="77777777" w:rsidR="007C7B40" w:rsidRPr="007C7B40" w:rsidRDefault="007C7B40" w:rsidP="00FC72BE">
            <w:pPr>
              <w:pStyle w:val="BodyText"/>
              <w:ind w:left="0"/>
              <w:jc w:val="center"/>
              <w:rPr>
                <w:rFonts w:asciiTheme="minorHAnsi" w:hAnsiTheme="minorHAnsi" w:cs="Arial"/>
                <w:sz w:val="24"/>
                <w:szCs w:val="24"/>
              </w:rPr>
            </w:pPr>
            <w:r w:rsidRPr="007C7B40">
              <w:rPr>
                <w:rFonts w:asciiTheme="minorHAnsi" w:hAnsiTheme="minorHAnsi" w:cs="Arial"/>
                <w:sz w:val="24"/>
                <w:szCs w:val="24"/>
              </w:rPr>
              <w:t>RPLI</w:t>
            </w:r>
          </w:p>
        </w:tc>
        <w:tc>
          <w:tcPr>
            <w:tcW w:w="0" w:type="auto"/>
            <w:vAlign w:val="center"/>
          </w:tcPr>
          <w:p w14:paraId="482C3E92" w14:textId="77777777" w:rsidR="007C7B40" w:rsidRPr="007C7B40" w:rsidRDefault="007C7B40" w:rsidP="00FC72BE">
            <w:pPr>
              <w:pStyle w:val="BodyText"/>
              <w:ind w:left="0"/>
              <w:jc w:val="center"/>
              <w:rPr>
                <w:rFonts w:asciiTheme="minorHAnsi" w:hAnsiTheme="minorHAnsi" w:cs="Arial"/>
                <w:sz w:val="24"/>
                <w:szCs w:val="24"/>
              </w:rPr>
            </w:pPr>
            <w:r w:rsidRPr="007C7B40">
              <w:rPr>
                <w:rFonts w:asciiTheme="minorHAnsi" w:hAnsiTheme="minorHAnsi" w:cs="Arial"/>
                <w:color w:val="000000"/>
                <w:sz w:val="24"/>
                <w:szCs w:val="24"/>
              </w:rPr>
              <w:t>Gram Santosh</w:t>
            </w:r>
          </w:p>
        </w:tc>
        <w:tc>
          <w:tcPr>
            <w:tcW w:w="0" w:type="auto"/>
            <w:vAlign w:val="center"/>
          </w:tcPr>
          <w:p w14:paraId="6469393C" w14:textId="77777777" w:rsidR="007C7B40" w:rsidRPr="007C7B40" w:rsidRDefault="007C7B40" w:rsidP="00FC72BE">
            <w:pPr>
              <w:pStyle w:val="BodyText"/>
              <w:ind w:left="0"/>
              <w:jc w:val="center"/>
              <w:rPr>
                <w:rFonts w:asciiTheme="minorHAnsi" w:hAnsiTheme="minorHAnsi" w:cs="Arial"/>
                <w:sz w:val="24"/>
                <w:szCs w:val="24"/>
              </w:rPr>
            </w:pPr>
            <w:r w:rsidRPr="007C7B40">
              <w:rPr>
                <w:rFonts w:asciiTheme="minorHAnsi" w:hAnsiTheme="minorHAnsi" w:cs="Arial"/>
                <w:color w:val="000000"/>
                <w:sz w:val="24"/>
                <w:szCs w:val="24"/>
              </w:rPr>
              <w:t>Endowment Assurance</w:t>
            </w:r>
          </w:p>
        </w:tc>
      </w:tr>
      <w:tr w:rsidR="007C7B40" w:rsidRPr="007C7B40" w14:paraId="7FA198D8" w14:textId="77777777" w:rsidTr="00FC72BE">
        <w:tc>
          <w:tcPr>
            <w:tcW w:w="0" w:type="auto"/>
            <w:vAlign w:val="center"/>
          </w:tcPr>
          <w:p w14:paraId="3E2F69B0" w14:textId="77777777" w:rsidR="007C7B40" w:rsidRPr="007C7B40" w:rsidRDefault="007C7B40" w:rsidP="00FC72BE">
            <w:pPr>
              <w:pStyle w:val="BodyText"/>
              <w:ind w:left="0"/>
              <w:jc w:val="center"/>
              <w:rPr>
                <w:rFonts w:asciiTheme="minorHAnsi" w:hAnsiTheme="minorHAnsi" w:cs="Arial"/>
                <w:sz w:val="24"/>
                <w:szCs w:val="24"/>
              </w:rPr>
            </w:pPr>
            <w:r w:rsidRPr="007C7B40">
              <w:rPr>
                <w:rFonts w:asciiTheme="minorHAnsi" w:hAnsiTheme="minorHAnsi" w:cs="Arial"/>
                <w:sz w:val="24"/>
                <w:szCs w:val="24"/>
              </w:rPr>
              <w:t>RPLI</w:t>
            </w:r>
          </w:p>
        </w:tc>
        <w:tc>
          <w:tcPr>
            <w:tcW w:w="0" w:type="auto"/>
            <w:vAlign w:val="center"/>
          </w:tcPr>
          <w:p w14:paraId="3BF65350" w14:textId="77777777" w:rsidR="007C7B40" w:rsidRPr="007C7B40" w:rsidRDefault="007C7B40" w:rsidP="00FC72BE">
            <w:pPr>
              <w:pStyle w:val="BodyText"/>
              <w:ind w:left="0"/>
              <w:jc w:val="center"/>
              <w:rPr>
                <w:rFonts w:asciiTheme="minorHAnsi" w:hAnsiTheme="minorHAnsi" w:cs="Arial"/>
                <w:color w:val="000000"/>
                <w:sz w:val="24"/>
                <w:szCs w:val="24"/>
              </w:rPr>
            </w:pPr>
            <w:r w:rsidRPr="007C7B40">
              <w:rPr>
                <w:rFonts w:asciiTheme="minorHAnsi" w:hAnsiTheme="minorHAnsi" w:cs="Arial"/>
                <w:color w:val="000000"/>
                <w:sz w:val="24"/>
                <w:szCs w:val="24"/>
              </w:rPr>
              <w:t>Gram Suvidha</w:t>
            </w:r>
          </w:p>
        </w:tc>
        <w:tc>
          <w:tcPr>
            <w:tcW w:w="0" w:type="auto"/>
            <w:vAlign w:val="center"/>
          </w:tcPr>
          <w:p w14:paraId="73E6FDC0" w14:textId="77777777" w:rsidR="007C7B40" w:rsidRPr="007C7B40" w:rsidRDefault="007C7B40" w:rsidP="00FC72BE">
            <w:pPr>
              <w:pStyle w:val="BodyText"/>
              <w:ind w:left="0"/>
              <w:jc w:val="center"/>
              <w:rPr>
                <w:rFonts w:asciiTheme="minorHAnsi" w:hAnsiTheme="minorHAnsi" w:cs="Arial"/>
                <w:sz w:val="24"/>
                <w:szCs w:val="24"/>
              </w:rPr>
            </w:pPr>
            <w:r w:rsidRPr="007C7B40">
              <w:rPr>
                <w:rFonts w:asciiTheme="minorHAnsi" w:hAnsiTheme="minorHAnsi" w:cs="Arial"/>
                <w:color w:val="000000"/>
                <w:sz w:val="24"/>
                <w:szCs w:val="24"/>
              </w:rPr>
              <w:t>Convertible Whole Life Assurance</w:t>
            </w:r>
          </w:p>
        </w:tc>
      </w:tr>
      <w:tr w:rsidR="007C7B40" w:rsidRPr="007C7B40" w14:paraId="64296BCF" w14:textId="77777777" w:rsidTr="00FC72BE">
        <w:tc>
          <w:tcPr>
            <w:tcW w:w="0" w:type="auto"/>
            <w:vAlign w:val="center"/>
          </w:tcPr>
          <w:p w14:paraId="75719E76" w14:textId="77777777" w:rsidR="007C7B40" w:rsidRPr="007C7B40" w:rsidRDefault="007C7B40" w:rsidP="00FC72BE">
            <w:pPr>
              <w:pStyle w:val="BodyText"/>
              <w:ind w:left="0"/>
              <w:jc w:val="center"/>
              <w:rPr>
                <w:rFonts w:asciiTheme="minorHAnsi" w:hAnsiTheme="minorHAnsi" w:cs="Arial"/>
                <w:sz w:val="24"/>
                <w:szCs w:val="24"/>
              </w:rPr>
            </w:pPr>
            <w:r w:rsidRPr="007C7B40">
              <w:rPr>
                <w:rFonts w:asciiTheme="minorHAnsi" w:hAnsiTheme="minorHAnsi" w:cs="Arial"/>
                <w:sz w:val="24"/>
                <w:szCs w:val="24"/>
              </w:rPr>
              <w:t>RPLI</w:t>
            </w:r>
          </w:p>
        </w:tc>
        <w:tc>
          <w:tcPr>
            <w:tcW w:w="0" w:type="auto"/>
            <w:vAlign w:val="center"/>
          </w:tcPr>
          <w:p w14:paraId="22D908C9" w14:textId="77777777" w:rsidR="007C7B40" w:rsidRPr="007C7B40" w:rsidRDefault="007C7B40" w:rsidP="00FC72BE">
            <w:pPr>
              <w:pStyle w:val="BodyText"/>
              <w:ind w:left="0"/>
              <w:jc w:val="center"/>
              <w:rPr>
                <w:rFonts w:asciiTheme="minorHAnsi" w:hAnsiTheme="minorHAnsi" w:cs="Arial"/>
                <w:color w:val="000000"/>
                <w:sz w:val="24"/>
                <w:szCs w:val="24"/>
              </w:rPr>
            </w:pPr>
            <w:r w:rsidRPr="007C7B40">
              <w:rPr>
                <w:rFonts w:asciiTheme="minorHAnsi" w:hAnsiTheme="minorHAnsi" w:cs="Arial"/>
                <w:color w:val="000000"/>
                <w:sz w:val="24"/>
                <w:szCs w:val="24"/>
              </w:rPr>
              <w:t>Gram Sumangal</w:t>
            </w:r>
          </w:p>
        </w:tc>
        <w:tc>
          <w:tcPr>
            <w:tcW w:w="0" w:type="auto"/>
            <w:vAlign w:val="center"/>
          </w:tcPr>
          <w:p w14:paraId="7B32BA7E" w14:textId="77777777" w:rsidR="007C7B40" w:rsidRPr="007C7B40" w:rsidRDefault="007C7B40" w:rsidP="00FC72BE">
            <w:pPr>
              <w:pStyle w:val="BodyText"/>
              <w:ind w:left="0"/>
              <w:jc w:val="center"/>
              <w:rPr>
                <w:rFonts w:asciiTheme="minorHAnsi" w:hAnsiTheme="minorHAnsi" w:cs="Arial"/>
                <w:sz w:val="24"/>
                <w:szCs w:val="24"/>
              </w:rPr>
            </w:pPr>
            <w:r w:rsidRPr="007C7B40">
              <w:rPr>
                <w:rFonts w:asciiTheme="minorHAnsi" w:hAnsiTheme="minorHAnsi" w:cs="Arial"/>
                <w:color w:val="000000"/>
                <w:sz w:val="24"/>
                <w:szCs w:val="24"/>
              </w:rPr>
              <w:t>Anticipated Endowment Assurance</w:t>
            </w:r>
          </w:p>
        </w:tc>
      </w:tr>
      <w:tr w:rsidR="007C7B40" w:rsidRPr="007C7B40" w14:paraId="343280FC" w14:textId="77777777" w:rsidTr="00FC72BE">
        <w:tc>
          <w:tcPr>
            <w:tcW w:w="0" w:type="auto"/>
            <w:vAlign w:val="center"/>
          </w:tcPr>
          <w:p w14:paraId="2419BDBE" w14:textId="77777777" w:rsidR="007C7B40" w:rsidRPr="007C7B40" w:rsidRDefault="007C7B40" w:rsidP="00FC72BE">
            <w:pPr>
              <w:pStyle w:val="BodyText"/>
              <w:ind w:left="0"/>
              <w:jc w:val="center"/>
              <w:rPr>
                <w:rFonts w:asciiTheme="minorHAnsi" w:hAnsiTheme="minorHAnsi" w:cs="Arial"/>
                <w:sz w:val="24"/>
                <w:szCs w:val="24"/>
              </w:rPr>
            </w:pPr>
            <w:r w:rsidRPr="007C7B40">
              <w:rPr>
                <w:rFonts w:asciiTheme="minorHAnsi" w:hAnsiTheme="minorHAnsi" w:cs="Arial"/>
                <w:sz w:val="24"/>
                <w:szCs w:val="24"/>
              </w:rPr>
              <w:t>RPLI</w:t>
            </w:r>
          </w:p>
        </w:tc>
        <w:tc>
          <w:tcPr>
            <w:tcW w:w="0" w:type="auto"/>
            <w:vAlign w:val="center"/>
          </w:tcPr>
          <w:p w14:paraId="0A90D7D3" w14:textId="77777777" w:rsidR="007C7B40" w:rsidRPr="007C7B40" w:rsidRDefault="007C7B40" w:rsidP="00FC72BE">
            <w:pPr>
              <w:pStyle w:val="BodyText"/>
              <w:ind w:left="0"/>
              <w:jc w:val="center"/>
              <w:rPr>
                <w:rFonts w:asciiTheme="minorHAnsi" w:hAnsiTheme="minorHAnsi" w:cs="Arial"/>
                <w:sz w:val="24"/>
                <w:szCs w:val="24"/>
              </w:rPr>
            </w:pPr>
            <w:r w:rsidRPr="007C7B40">
              <w:rPr>
                <w:rFonts w:asciiTheme="minorHAnsi" w:hAnsiTheme="minorHAnsi" w:cs="Arial"/>
                <w:color w:val="000000"/>
                <w:sz w:val="24"/>
                <w:szCs w:val="24"/>
              </w:rPr>
              <w:t>Child policy</w:t>
            </w:r>
          </w:p>
        </w:tc>
        <w:tc>
          <w:tcPr>
            <w:tcW w:w="0" w:type="auto"/>
            <w:vAlign w:val="center"/>
          </w:tcPr>
          <w:p w14:paraId="71B47D29" w14:textId="77777777" w:rsidR="007C7B40" w:rsidRPr="007C7B40" w:rsidRDefault="007C7B40" w:rsidP="00FC72BE">
            <w:pPr>
              <w:pStyle w:val="BodyText"/>
              <w:ind w:left="0"/>
              <w:jc w:val="center"/>
              <w:rPr>
                <w:rFonts w:asciiTheme="minorHAnsi" w:hAnsiTheme="minorHAnsi" w:cs="Arial"/>
                <w:sz w:val="24"/>
                <w:szCs w:val="24"/>
              </w:rPr>
            </w:pPr>
            <w:r w:rsidRPr="007C7B40">
              <w:rPr>
                <w:rFonts w:asciiTheme="minorHAnsi" w:hAnsiTheme="minorHAnsi" w:cs="Arial"/>
                <w:color w:val="000000"/>
                <w:sz w:val="24"/>
                <w:szCs w:val="24"/>
              </w:rPr>
              <w:t>Child policy</w:t>
            </w:r>
          </w:p>
        </w:tc>
      </w:tr>
      <w:tr w:rsidR="007C7B40" w:rsidRPr="007C7B40" w14:paraId="34732689" w14:textId="77777777" w:rsidTr="00FC72BE">
        <w:tc>
          <w:tcPr>
            <w:tcW w:w="0" w:type="auto"/>
            <w:vAlign w:val="center"/>
          </w:tcPr>
          <w:p w14:paraId="108B1D64" w14:textId="77777777" w:rsidR="007C7B40" w:rsidRPr="007C7B40" w:rsidRDefault="007C7B40" w:rsidP="00FC72BE">
            <w:pPr>
              <w:pStyle w:val="BodyText"/>
              <w:ind w:left="0"/>
              <w:jc w:val="center"/>
              <w:rPr>
                <w:rFonts w:asciiTheme="minorHAnsi" w:hAnsiTheme="minorHAnsi" w:cs="Arial"/>
                <w:sz w:val="24"/>
                <w:szCs w:val="24"/>
              </w:rPr>
            </w:pPr>
            <w:r w:rsidRPr="007C7B40">
              <w:rPr>
                <w:rFonts w:asciiTheme="minorHAnsi" w:hAnsiTheme="minorHAnsi" w:cs="Arial"/>
                <w:sz w:val="24"/>
                <w:szCs w:val="24"/>
              </w:rPr>
              <w:t>RPLI</w:t>
            </w:r>
          </w:p>
        </w:tc>
        <w:tc>
          <w:tcPr>
            <w:tcW w:w="0" w:type="auto"/>
            <w:vAlign w:val="center"/>
          </w:tcPr>
          <w:p w14:paraId="43F330A3" w14:textId="77777777" w:rsidR="007C7B40" w:rsidRPr="007C7B40" w:rsidRDefault="007C7B40" w:rsidP="00FC72BE">
            <w:pPr>
              <w:pStyle w:val="BodyText"/>
              <w:ind w:left="0"/>
              <w:jc w:val="center"/>
              <w:rPr>
                <w:rFonts w:asciiTheme="minorHAnsi" w:hAnsiTheme="minorHAnsi" w:cs="Arial"/>
                <w:color w:val="000000"/>
                <w:sz w:val="24"/>
                <w:szCs w:val="24"/>
              </w:rPr>
            </w:pPr>
            <w:r w:rsidRPr="007C7B40">
              <w:rPr>
                <w:rFonts w:asciiTheme="minorHAnsi" w:hAnsiTheme="minorHAnsi" w:cs="Arial"/>
                <w:color w:val="000000"/>
                <w:sz w:val="24"/>
                <w:szCs w:val="24"/>
              </w:rPr>
              <w:t>Gram Priya</w:t>
            </w:r>
          </w:p>
        </w:tc>
        <w:tc>
          <w:tcPr>
            <w:tcW w:w="0" w:type="auto"/>
            <w:vAlign w:val="center"/>
          </w:tcPr>
          <w:p w14:paraId="639DB69A" w14:textId="77777777" w:rsidR="007C7B40" w:rsidRPr="007C7B40" w:rsidRDefault="007C7B40" w:rsidP="00FC72BE">
            <w:pPr>
              <w:pStyle w:val="BodyText"/>
              <w:ind w:left="0"/>
              <w:jc w:val="center"/>
              <w:rPr>
                <w:rFonts w:asciiTheme="minorHAnsi" w:hAnsiTheme="minorHAnsi" w:cs="Arial"/>
                <w:sz w:val="24"/>
                <w:szCs w:val="24"/>
              </w:rPr>
            </w:pPr>
            <w:r w:rsidRPr="007C7B40">
              <w:rPr>
                <w:rFonts w:asciiTheme="minorHAnsi" w:hAnsiTheme="minorHAnsi" w:cs="Arial"/>
                <w:color w:val="000000"/>
                <w:sz w:val="24"/>
                <w:szCs w:val="24"/>
              </w:rPr>
              <w:t>Anticipated Endowment Assurance</w:t>
            </w:r>
          </w:p>
        </w:tc>
      </w:tr>
    </w:tbl>
    <w:p w14:paraId="4B7B3DA1" w14:textId="77777777" w:rsidR="007C7B40" w:rsidRDefault="007C7B40" w:rsidP="00801091">
      <w:pPr>
        <w:jc w:val="center"/>
        <w:rPr>
          <w:b/>
          <w:bCs/>
        </w:rPr>
      </w:pPr>
    </w:p>
    <w:p w14:paraId="549FE9D9" w14:textId="7A08CD15" w:rsidR="00DC2279" w:rsidRDefault="00E723C3">
      <w:r>
        <w:t>Business Rules</w:t>
      </w:r>
    </w:p>
    <w:p w14:paraId="14FE8ED7" w14:textId="4B1913D2" w:rsidR="00E723C3" w:rsidRDefault="00E723C3" w:rsidP="00E723C3">
      <w:r>
        <w:t xml:space="preserve">1. </w:t>
      </w:r>
      <w:r w:rsidRPr="00E723C3">
        <w:t>A paid-up policy is one where the </w:t>
      </w:r>
      <w:r>
        <w:t>policy holder</w:t>
      </w:r>
      <w:r w:rsidRPr="00E723C3">
        <w:t> stops paying regular premiums, but continues to enjoy partial insurance coverage</w:t>
      </w:r>
    </w:p>
    <w:p w14:paraId="2CB1C062" w14:textId="064780BB" w:rsidR="00E723C3" w:rsidRDefault="00E723C3" w:rsidP="00E723C3">
      <w:r>
        <w:t>2.</w:t>
      </w:r>
      <w:r w:rsidRPr="00E723C3">
        <w:rPr>
          <w:rFonts w:ascii="sans" w:hAnsi="sans"/>
          <w:color w:val="000000"/>
          <w:sz w:val="30"/>
          <w:szCs w:val="30"/>
        </w:rPr>
        <w:t xml:space="preserve"> </w:t>
      </w:r>
      <w:r w:rsidRPr="00E723C3">
        <w:t>When a p</w:t>
      </w:r>
      <w:r>
        <w:t xml:space="preserve">olicy </w:t>
      </w:r>
      <w:r w:rsidRPr="00E723C3">
        <w:t xml:space="preserve"> is converted into a paid-up policy, there is no further obligation to pay regular premium</w:t>
      </w:r>
      <w:r>
        <w:t xml:space="preserve"> and no premium is to be permitted to be paid.</w:t>
      </w:r>
    </w:p>
    <w:p w14:paraId="07A3033F" w14:textId="3F69F2A7" w:rsidR="00702ADB" w:rsidRDefault="00702ADB" w:rsidP="00E723C3">
      <w:r>
        <w:lastRenderedPageBreak/>
        <w:t>3. T</w:t>
      </w:r>
      <w:r w:rsidRPr="00702ADB">
        <w:t>he policyholder or beneficiaries do not receive the policy’s original coverage, and it is reduced to the extent of the </w:t>
      </w:r>
      <w:r>
        <w:t>paid up value plus applicable bonus, as the case may be.</w:t>
      </w:r>
    </w:p>
    <w:p w14:paraId="12B3BB38" w14:textId="77777777" w:rsidR="00700C90" w:rsidRDefault="00700C90" w:rsidP="00E723C3">
      <w:r>
        <w:t>4. The formula for paid up or auto paid up value is</w:t>
      </w:r>
    </w:p>
    <w:p w14:paraId="32D59015" w14:textId="02019C1B" w:rsidR="00700C90" w:rsidRDefault="00700C90" w:rsidP="00E723C3">
      <w:r>
        <w:t xml:space="preserve">      Sum Assured ( No. of instalments paid (in months)/Total number of instalments (in months)</w:t>
      </w:r>
      <w:r w:rsidR="00AB15F1">
        <w:t xml:space="preserve"> </w:t>
      </w:r>
    </w:p>
    <w:p w14:paraId="77D6FEAF" w14:textId="77777777" w:rsidR="00700C90" w:rsidRDefault="00700C90" w:rsidP="00E723C3"/>
    <w:p w14:paraId="1BC1233C" w14:textId="77777777" w:rsidR="00700C90" w:rsidRDefault="00700C90" w:rsidP="00E723C3"/>
    <w:sectPr w:rsidR="00700C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03151"/>
    <w:multiLevelType w:val="hybridMultilevel"/>
    <w:tmpl w:val="28DE291E"/>
    <w:lvl w:ilvl="0" w:tplc="2F0AE19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79E1948"/>
    <w:multiLevelType w:val="multilevel"/>
    <w:tmpl w:val="3F6C7E7A"/>
    <w:lvl w:ilvl="0">
      <w:start w:val="1"/>
      <w:numFmt w:val="decimal"/>
      <w:lvlText w:val="%1."/>
      <w:lvlJc w:val="left"/>
      <w:pPr>
        <w:ind w:left="580" w:hanging="360"/>
      </w:pPr>
      <w:rPr>
        <w:rFonts w:ascii="Times New Roman" w:hAnsi="Times New Roman" w:cs="Times New Roman" w:hint="default"/>
      </w:rPr>
    </w:lvl>
    <w:lvl w:ilvl="1">
      <w:start w:val="1"/>
      <w:numFmt w:val="lowerLetter"/>
      <w:lvlText w:val="%2."/>
      <w:lvlJc w:val="left"/>
      <w:pPr>
        <w:ind w:left="1300" w:hanging="360"/>
      </w:pPr>
      <w:rPr>
        <w:rFonts w:ascii="Times New Roman" w:hAnsi="Times New Roman" w:cs="Times New Roman" w:hint="default"/>
      </w:rPr>
    </w:lvl>
    <w:lvl w:ilvl="2">
      <w:start w:val="1"/>
      <w:numFmt w:val="lowerRoman"/>
      <w:lvlText w:val="%3."/>
      <w:lvlJc w:val="right"/>
      <w:pPr>
        <w:ind w:left="2020" w:hanging="180"/>
      </w:pPr>
      <w:rPr>
        <w:rFonts w:ascii="Times New Roman" w:hAnsi="Times New Roman" w:cs="Times New Roman" w:hint="default"/>
      </w:rPr>
    </w:lvl>
    <w:lvl w:ilvl="3">
      <w:start w:val="1"/>
      <w:numFmt w:val="decimal"/>
      <w:lvlText w:val="%4."/>
      <w:lvlJc w:val="left"/>
      <w:pPr>
        <w:ind w:left="2740" w:hanging="360"/>
      </w:pPr>
      <w:rPr>
        <w:rFonts w:ascii="Times New Roman" w:hAnsi="Times New Roman" w:cs="Times New Roman" w:hint="default"/>
      </w:rPr>
    </w:lvl>
    <w:lvl w:ilvl="4">
      <w:start w:val="1"/>
      <w:numFmt w:val="lowerLetter"/>
      <w:lvlText w:val="%5."/>
      <w:lvlJc w:val="left"/>
      <w:pPr>
        <w:ind w:left="3460" w:hanging="360"/>
      </w:pPr>
      <w:rPr>
        <w:rFonts w:ascii="Times New Roman" w:hAnsi="Times New Roman" w:cs="Times New Roman" w:hint="default"/>
      </w:rPr>
    </w:lvl>
    <w:lvl w:ilvl="5">
      <w:start w:val="1"/>
      <w:numFmt w:val="lowerRoman"/>
      <w:lvlText w:val="%6."/>
      <w:lvlJc w:val="right"/>
      <w:pPr>
        <w:ind w:left="4180" w:hanging="180"/>
      </w:pPr>
      <w:rPr>
        <w:rFonts w:ascii="Times New Roman" w:hAnsi="Times New Roman" w:cs="Times New Roman" w:hint="default"/>
      </w:rPr>
    </w:lvl>
    <w:lvl w:ilvl="6">
      <w:start w:val="1"/>
      <w:numFmt w:val="decimal"/>
      <w:lvlText w:val="%7."/>
      <w:lvlJc w:val="left"/>
      <w:pPr>
        <w:ind w:left="4900" w:hanging="360"/>
      </w:pPr>
      <w:rPr>
        <w:rFonts w:ascii="Times New Roman" w:hAnsi="Times New Roman" w:cs="Times New Roman" w:hint="default"/>
      </w:rPr>
    </w:lvl>
    <w:lvl w:ilvl="7">
      <w:start w:val="1"/>
      <w:numFmt w:val="lowerLetter"/>
      <w:lvlText w:val="%8."/>
      <w:lvlJc w:val="left"/>
      <w:pPr>
        <w:ind w:left="5620" w:hanging="360"/>
      </w:pPr>
      <w:rPr>
        <w:rFonts w:ascii="Times New Roman" w:hAnsi="Times New Roman" w:cs="Times New Roman" w:hint="default"/>
      </w:rPr>
    </w:lvl>
    <w:lvl w:ilvl="8">
      <w:start w:val="1"/>
      <w:numFmt w:val="lowerRoman"/>
      <w:lvlText w:val="%9."/>
      <w:lvlJc w:val="right"/>
      <w:pPr>
        <w:ind w:left="6340" w:hanging="180"/>
      </w:pPr>
      <w:rPr>
        <w:rFonts w:ascii="Times New Roman" w:hAnsi="Times New Roman" w:cs="Times New Roman" w:hint="default"/>
      </w:rPr>
    </w:lvl>
  </w:abstractNum>
  <w:abstractNum w:abstractNumId="2" w15:restartNumberingAfterBreak="0">
    <w:nsid w:val="5A890965"/>
    <w:multiLevelType w:val="multilevel"/>
    <w:tmpl w:val="0BEA8344"/>
    <w:lvl w:ilvl="0">
      <w:start w:val="1"/>
      <w:numFmt w:val="decimal"/>
      <w:lvlText w:val="%1."/>
      <w:lvlJc w:val="left"/>
      <w:pPr>
        <w:ind w:left="580" w:hanging="360"/>
      </w:pPr>
      <w:rPr>
        <w:rFonts w:ascii="Times New Roman" w:hAnsi="Times New Roman" w:cs="Times New Roman" w:hint="default"/>
      </w:rPr>
    </w:lvl>
    <w:lvl w:ilvl="1">
      <w:start w:val="1"/>
      <w:numFmt w:val="lowerLetter"/>
      <w:lvlText w:val="%2."/>
      <w:lvlJc w:val="left"/>
      <w:pPr>
        <w:ind w:left="1300" w:hanging="360"/>
      </w:pPr>
      <w:rPr>
        <w:rFonts w:ascii="Times New Roman" w:hAnsi="Times New Roman" w:cs="Times New Roman" w:hint="default"/>
      </w:rPr>
    </w:lvl>
    <w:lvl w:ilvl="2">
      <w:start w:val="1"/>
      <w:numFmt w:val="lowerRoman"/>
      <w:lvlText w:val="%3."/>
      <w:lvlJc w:val="right"/>
      <w:pPr>
        <w:ind w:left="2020" w:hanging="180"/>
      </w:pPr>
      <w:rPr>
        <w:rFonts w:ascii="Times New Roman" w:hAnsi="Times New Roman" w:cs="Times New Roman" w:hint="default"/>
      </w:rPr>
    </w:lvl>
    <w:lvl w:ilvl="3">
      <w:start w:val="1"/>
      <w:numFmt w:val="decimal"/>
      <w:lvlText w:val="%4."/>
      <w:lvlJc w:val="left"/>
      <w:pPr>
        <w:ind w:left="2740" w:hanging="360"/>
      </w:pPr>
      <w:rPr>
        <w:rFonts w:ascii="Times New Roman" w:hAnsi="Times New Roman" w:cs="Times New Roman" w:hint="default"/>
      </w:rPr>
    </w:lvl>
    <w:lvl w:ilvl="4">
      <w:start w:val="1"/>
      <w:numFmt w:val="lowerLetter"/>
      <w:lvlText w:val="%5."/>
      <w:lvlJc w:val="left"/>
      <w:pPr>
        <w:ind w:left="3460" w:hanging="360"/>
      </w:pPr>
      <w:rPr>
        <w:rFonts w:ascii="Times New Roman" w:hAnsi="Times New Roman" w:cs="Times New Roman" w:hint="default"/>
      </w:rPr>
    </w:lvl>
    <w:lvl w:ilvl="5">
      <w:start w:val="1"/>
      <w:numFmt w:val="lowerRoman"/>
      <w:lvlText w:val="%6."/>
      <w:lvlJc w:val="right"/>
      <w:pPr>
        <w:ind w:left="4180" w:hanging="180"/>
      </w:pPr>
      <w:rPr>
        <w:rFonts w:ascii="Times New Roman" w:hAnsi="Times New Roman" w:cs="Times New Roman" w:hint="default"/>
      </w:rPr>
    </w:lvl>
    <w:lvl w:ilvl="6">
      <w:start w:val="1"/>
      <w:numFmt w:val="decimal"/>
      <w:lvlText w:val="%7."/>
      <w:lvlJc w:val="left"/>
      <w:pPr>
        <w:ind w:left="4900" w:hanging="360"/>
      </w:pPr>
      <w:rPr>
        <w:rFonts w:ascii="Times New Roman" w:hAnsi="Times New Roman" w:cs="Times New Roman" w:hint="default"/>
      </w:rPr>
    </w:lvl>
    <w:lvl w:ilvl="7">
      <w:start w:val="1"/>
      <w:numFmt w:val="lowerLetter"/>
      <w:lvlText w:val="%8."/>
      <w:lvlJc w:val="left"/>
      <w:pPr>
        <w:ind w:left="5620" w:hanging="360"/>
      </w:pPr>
      <w:rPr>
        <w:rFonts w:ascii="Times New Roman" w:hAnsi="Times New Roman" w:cs="Times New Roman" w:hint="default"/>
      </w:rPr>
    </w:lvl>
    <w:lvl w:ilvl="8">
      <w:start w:val="1"/>
      <w:numFmt w:val="lowerRoman"/>
      <w:lvlText w:val="%9."/>
      <w:lvlJc w:val="right"/>
      <w:pPr>
        <w:ind w:left="6340" w:hanging="180"/>
      </w:pPr>
      <w:rPr>
        <w:rFonts w:ascii="Times New Roman" w:hAnsi="Times New Roman" w:cs="Times New Roman" w:hint="default"/>
      </w:rPr>
    </w:lvl>
  </w:abstractNum>
  <w:num w:numId="1" w16cid:durableId="10350769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723785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15038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091"/>
    <w:rsid w:val="000B1043"/>
    <w:rsid w:val="001324F2"/>
    <w:rsid w:val="001609B6"/>
    <w:rsid w:val="00172BE3"/>
    <w:rsid w:val="00227BD3"/>
    <w:rsid w:val="002D652A"/>
    <w:rsid w:val="002F3A42"/>
    <w:rsid w:val="003367E8"/>
    <w:rsid w:val="00385B25"/>
    <w:rsid w:val="00425BAA"/>
    <w:rsid w:val="004C0058"/>
    <w:rsid w:val="00501D34"/>
    <w:rsid w:val="00540427"/>
    <w:rsid w:val="00615793"/>
    <w:rsid w:val="0062072B"/>
    <w:rsid w:val="00621BE7"/>
    <w:rsid w:val="00631DFF"/>
    <w:rsid w:val="006749DA"/>
    <w:rsid w:val="006E2942"/>
    <w:rsid w:val="00700C90"/>
    <w:rsid w:val="0070160A"/>
    <w:rsid w:val="00702ADB"/>
    <w:rsid w:val="00774613"/>
    <w:rsid w:val="007C67BD"/>
    <w:rsid w:val="007C7B40"/>
    <w:rsid w:val="00801091"/>
    <w:rsid w:val="008160D0"/>
    <w:rsid w:val="0083501F"/>
    <w:rsid w:val="00874EF1"/>
    <w:rsid w:val="00937A4F"/>
    <w:rsid w:val="00997FE2"/>
    <w:rsid w:val="009C6A0E"/>
    <w:rsid w:val="00A33C33"/>
    <w:rsid w:val="00A47DC9"/>
    <w:rsid w:val="00AB15F1"/>
    <w:rsid w:val="00B60C4A"/>
    <w:rsid w:val="00B76791"/>
    <w:rsid w:val="00B873E8"/>
    <w:rsid w:val="00B92184"/>
    <w:rsid w:val="00BC7372"/>
    <w:rsid w:val="00C029B9"/>
    <w:rsid w:val="00C04DFE"/>
    <w:rsid w:val="00C15451"/>
    <w:rsid w:val="00C5519D"/>
    <w:rsid w:val="00C66DD1"/>
    <w:rsid w:val="00C732BC"/>
    <w:rsid w:val="00D200C0"/>
    <w:rsid w:val="00D4487B"/>
    <w:rsid w:val="00DC2279"/>
    <w:rsid w:val="00DD21ED"/>
    <w:rsid w:val="00E0498F"/>
    <w:rsid w:val="00E27C4D"/>
    <w:rsid w:val="00E40201"/>
    <w:rsid w:val="00E5021C"/>
    <w:rsid w:val="00E67ED6"/>
    <w:rsid w:val="00E723C3"/>
    <w:rsid w:val="00EC1BE7"/>
    <w:rsid w:val="00EC7CF9"/>
    <w:rsid w:val="00FE5E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826AF"/>
  <w15:chartTrackingRefBased/>
  <w15:docId w15:val="{40672E60-8EA0-4642-897B-BE94F747F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091"/>
  </w:style>
  <w:style w:type="paragraph" w:styleId="Heading1">
    <w:name w:val="heading 1"/>
    <w:basedOn w:val="Normal"/>
    <w:next w:val="Normal"/>
    <w:link w:val="Heading1Char"/>
    <w:qFormat/>
    <w:rsid w:val="008010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8010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8010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8010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8010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8010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8010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8010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8010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0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10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10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10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10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10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0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0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091"/>
    <w:rPr>
      <w:rFonts w:eastAsiaTheme="majorEastAsia" w:cstheme="majorBidi"/>
      <w:color w:val="272727" w:themeColor="text1" w:themeTint="D8"/>
    </w:rPr>
  </w:style>
  <w:style w:type="paragraph" w:styleId="Title">
    <w:name w:val="Title"/>
    <w:basedOn w:val="Normal"/>
    <w:next w:val="Normal"/>
    <w:link w:val="TitleChar"/>
    <w:uiPriority w:val="10"/>
    <w:qFormat/>
    <w:rsid w:val="00801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0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0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0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091"/>
    <w:pPr>
      <w:spacing w:before="160"/>
      <w:jc w:val="center"/>
    </w:pPr>
    <w:rPr>
      <w:i/>
      <w:iCs/>
      <w:color w:val="404040" w:themeColor="text1" w:themeTint="BF"/>
    </w:rPr>
  </w:style>
  <w:style w:type="character" w:customStyle="1" w:styleId="QuoteChar">
    <w:name w:val="Quote Char"/>
    <w:basedOn w:val="DefaultParagraphFont"/>
    <w:link w:val="Quote"/>
    <w:uiPriority w:val="29"/>
    <w:rsid w:val="00801091"/>
    <w:rPr>
      <w:i/>
      <w:iCs/>
      <w:color w:val="404040" w:themeColor="text1" w:themeTint="BF"/>
    </w:rPr>
  </w:style>
  <w:style w:type="paragraph" w:styleId="ListParagraph">
    <w:name w:val="List Paragraph"/>
    <w:basedOn w:val="Normal"/>
    <w:uiPriority w:val="34"/>
    <w:qFormat/>
    <w:rsid w:val="00801091"/>
    <w:pPr>
      <w:ind w:left="720"/>
      <w:contextualSpacing/>
    </w:pPr>
  </w:style>
  <w:style w:type="character" w:styleId="IntenseEmphasis">
    <w:name w:val="Intense Emphasis"/>
    <w:basedOn w:val="DefaultParagraphFont"/>
    <w:uiPriority w:val="21"/>
    <w:qFormat/>
    <w:rsid w:val="00801091"/>
    <w:rPr>
      <w:i/>
      <w:iCs/>
      <w:color w:val="0F4761" w:themeColor="accent1" w:themeShade="BF"/>
    </w:rPr>
  </w:style>
  <w:style w:type="paragraph" w:styleId="IntenseQuote">
    <w:name w:val="Intense Quote"/>
    <w:basedOn w:val="Normal"/>
    <w:next w:val="Normal"/>
    <w:link w:val="IntenseQuoteChar"/>
    <w:uiPriority w:val="30"/>
    <w:qFormat/>
    <w:rsid w:val="008010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091"/>
    <w:rPr>
      <w:i/>
      <w:iCs/>
      <w:color w:val="0F4761" w:themeColor="accent1" w:themeShade="BF"/>
    </w:rPr>
  </w:style>
  <w:style w:type="character" w:styleId="IntenseReference">
    <w:name w:val="Intense Reference"/>
    <w:basedOn w:val="DefaultParagraphFont"/>
    <w:uiPriority w:val="32"/>
    <w:qFormat/>
    <w:rsid w:val="00801091"/>
    <w:rPr>
      <w:b/>
      <w:bCs/>
      <w:smallCaps/>
      <w:color w:val="0F4761" w:themeColor="accent1" w:themeShade="BF"/>
      <w:spacing w:val="5"/>
    </w:rPr>
  </w:style>
  <w:style w:type="table" w:styleId="TableGrid">
    <w:name w:val="Table Grid"/>
    <w:basedOn w:val="TableNormal"/>
    <w:rsid w:val="008010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A47DC9"/>
    <w:pPr>
      <w:keepLines/>
      <w:widowControl w:val="0"/>
      <w:suppressAutoHyphens/>
      <w:spacing w:after="120" w:line="240" w:lineRule="atLeast"/>
      <w:ind w:left="720"/>
    </w:pPr>
    <w:rPr>
      <w:rFonts w:ascii="Arial" w:eastAsia="Times New Roman" w:hAnsi="Arial" w:cs="Times New Roman"/>
      <w:kern w:val="0"/>
      <w:sz w:val="20"/>
      <w:szCs w:val="20"/>
      <w:lang w:val="en-GB" w:eastAsia="ar-SA"/>
      <w14:ligatures w14:val="none"/>
    </w:rPr>
  </w:style>
  <w:style w:type="character" w:customStyle="1" w:styleId="BodyTextChar">
    <w:name w:val="Body Text Char"/>
    <w:basedOn w:val="DefaultParagraphFont"/>
    <w:link w:val="BodyText"/>
    <w:rsid w:val="00A47DC9"/>
    <w:rPr>
      <w:rFonts w:ascii="Arial" w:eastAsia="Times New Roman" w:hAnsi="Arial" w:cs="Times New Roman"/>
      <w:kern w:val="0"/>
      <w:sz w:val="20"/>
      <w:szCs w:val="20"/>
      <w:lang w:val="en-GB" w:eastAsia="ar-SA"/>
      <w14:ligatures w14:val="none"/>
    </w:rPr>
  </w:style>
  <w:style w:type="character" w:styleId="Hyperlink">
    <w:name w:val="Hyperlink"/>
    <w:basedOn w:val="DefaultParagraphFont"/>
    <w:uiPriority w:val="99"/>
    <w:unhideWhenUsed/>
    <w:rsid w:val="00E723C3"/>
    <w:rPr>
      <w:color w:val="467886" w:themeColor="hyperlink"/>
      <w:u w:val="single"/>
    </w:rPr>
  </w:style>
  <w:style w:type="character" w:styleId="UnresolvedMention">
    <w:name w:val="Unresolved Mention"/>
    <w:basedOn w:val="DefaultParagraphFont"/>
    <w:uiPriority w:val="99"/>
    <w:semiHidden/>
    <w:unhideWhenUsed/>
    <w:rsid w:val="00E723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680</TotalTime>
  <Pages>5</Pages>
  <Words>659</Words>
  <Characters>3760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Aravindaakshan krishana kumar</dc:creator>
  <cp:keywords/>
  <dc:description/>
  <cp:lastModifiedBy>Aravindaakshan krishana kumar</cp:lastModifiedBy>
  <cp:revision>57</cp:revision>
  <dcterms:created xsi:type="dcterms:W3CDTF">2025-11-02T21:15:00Z</dcterms:created>
  <dcterms:modified xsi:type="dcterms:W3CDTF">2025-11-13T17:19:00Z</dcterms:modified>
</cp:coreProperties>
</file>