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AF0ADE" w14:textId="77777777" w:rsidR="004A5DB9" w:rsidRDefault="00000000">
      <w:pPr>
        <w:pStyle w:val="Title"/>
        <w:jc w:val="center"/>
      </w:pPr>
      <w:r>
        <w:t>OmniGeneDB System Documentation</w:t>
      </w:r>
    </w:p>
    <w:p w14:paraId="5340AEA8" w14:textId="77777777" w:rsidR="004A5DB9" w:rsidRDefault="00000000">
      <w:pPr>
        <w:jc w:val="center"/>
      </w:pPr>
      <w:r>
        <w:t>A Cloud-Native Bioinformatics &amp; Systems Biology Platform</w:t>
      </w:r>
    </w:p>
    <w:p w14:paraId="1E1E2438" w14:textId="150697FE" w:rsidR="004A5DB9" w:rsidRDefault="00000000" w:rsidP="00A27A3F">
      <w:r>
        <w:rPr>
          <w:rFonts w:ascii="Arial" w:hAnsi="Arial"/>
        </w:rPr>
        <w:t>1. Introduction</w:t>
      </w:r>
    </w:p>
    <w:p w14:paraId="056027DA" w14:textId="77777777" w:rsidR="004A5DB9" w:rsidRDefault="00000000">
      <w:r>
        <w:t>OmniGeneDB is an advanced, automated bioinformatics web application designed for multi-omics profiling and systems biology analysis. It streamlines the complex workflow of fetching raw RNA-seq count matrices from the NCBI Gene Expression Omnibus (GEO), running rigorous statistical differential expression (DESeq2), and integrating the results across numerous biological databases to provide actionable, translational insights.</w:t>
      </w:r>
    </w:p>
    <w:p w14:paraId="54E58FD0" w14:textId="77777777" w:rsidR="004A5DB9" w:rsidRDefault="00000000">
      <w:pPr>
        <w:pStyle w:val="Heading1"/>
      </w:pPr>
      <w:r>
        <w:rPr>
          <w:rFonts w:ascii="Arial" w:hAnsi="Arial"/>
        </w:rPr>
        <w:t>2. Core Features</w:t>
      </w:r>
    </w:p>
    <w:p w14:paraId="05CB128E" w14:textId="77777777" w:rsidR="004A5DB9" w:rsidRDefault="00000000">
      <w:pPr>
        <w:pStyle w:val="Heading2"/>
      </w:pPr>
      <w:r>
        <w:rPr>
          <w:rFonts w:ascii="Arial" w:hAnsi="Arial"/>
        </w:rPr>
        <w:t>2.1 Automated Differential Expression</w:t>
      </w:r>
    </w:p>
    <w:p w14:paraId="5A938BF4" w14:textId="77777777" w:rsidR="004A5DB9" w:rsidRDefault="00000000">
      <w:r>
        <w:t>By simply providing a valid GEO Accession (e.g., GSE270967) and specifying Case/Control group metadata, OmniGeneDB automatically downloads the count matrices, builds a clinical design matrix, and executes a highly parallelized DESeq2 R pipeline in the backend. It ranks the entire transcriptome by statistical significance (padj) and fold change.</w:t>
      </w:r>
    </w:p>
    <w:p w14:paraId="696CFC96" w14:textId="77777777" w:rsidR="004A5DB9" w:rsidRDefault="00000000">
      <w:pPr>
        <w:pStyle w:val="Heading2"/>
      </w:pPr>
      <w:r>
        <w:rPr>
          <w:rFonts w:ascii="Arial" w:hAnsi="Arial"/>
        </w:rPr>
        <w:t>2.2 Advanced Systems Biology Visualizations</w:t>
      </w:r>
    </w:p>
    <w:p w14:paraId="1522E461" w14:textId="77777777" w:rsidR="004A5DB9" w:rsidRDefault="00000000">
      <w:r>
        <w:t>- Volcano &amp; PCA Plots: Standard high-quality scatter plots to evaluate dataset variance and gene significance.</w:t>
      </w:r>
      <w:r>
        <w:br/>
        <w:t>- Immune Deconvolution: Uses MCPcounter to dynamically estimate the absolute abundance of 8 immune cell populations and 2 stromal populations, rendered as interactive stacked bar charts.</w:t>
      </w:r>
      <w:r>
        <w:br/>
        <w:t>- Gene Set Enrichment Analysis (GSEA): Maps the transcriptome to Gene Ontology (GO) and KEGG pathways to highlight macro-level biological shifts.</w:t>
      </w:r>
      <w:r>
        <w:br/>
        <w:t>- STRING PPI Networks: An interactive 2D physics-based network graph visualizing known protein-protein interactions among the top differentially expressed genes.</w:t>
      </w:r>
    </w:p>
    <w:p w14:paraId="76A02790" w14:textId="77777777" w:rsidR="004A5DB9" w:rsidRDefault="00000000">
      <w:pPr>
        <w:pStyle w:val="Heading2"/>
      </w:pPr>
      <w:r>
        <w:rPr>
          <w:rFonts w:ascii="Arial" w:hAnsi="Arial"/>
        </w:rPr>
        <w:t>2.3 Multi-Omics API Integrations</w:t>
      </w:r>
    </w:p>
    <w:p w14:paraId="791AC6B4" w14:textId="77777777" w:rsidR="004A5DB9" w:rsidRDefault="00000000">
      <w:r>
        <w:t>The Top Differentially Expressed Genes (DEG) table is enriched with live API data:</w:t>
      </w:r>
      <w:r>
        <w:br/>
        <w:t>- OpenTargets: Fetches known clinical drugs and clinical candidates targeting the gene.</w:t>
      </w:r>
      <w:r>
        <w:br/>
        <w:t>- GTEx: Retrieves known expression quantitative trait loci (eQTLs) for the gene across human tissues.</w:t>
      </w:r>
      <w:r>
        <w:br/>
        <w:t>- ClinVar: Pulls counts of known pathogenic clinical variants associated with the gene.</w:t>
      </w:r>
      <w:r>
        <w:br/>
        <w:t>- Structural Biology: Links out to the AlphaFold 3D database and PDB (Protein Data Bank) structural viewers.</w:t>
      </w:r>
    </w:p>
    <w:p w14:paraId="1345F04A" w14:textId="77777777" w:rsidR="004A5DB9" w:rsidRDefault="00000000">
      <w:pPr>
        <w:pStyle w:val="Heading2"/>
      </w:pPr>
      <w:r>
        <w:rPr>
          <w:rFonts w:ascii="Arial" w:hAnsi="Arial"/>
        </w:rPr>
        <w:lastRenderedPageBreak/>
        <w:t>2.4 Cloud-Native Deployment</w:t>
      </w:r>
    </w:p>
    <w:p w14:paraId="7D1FF4F6" w14:textId="77777777" w:rsidR="004A5DB9" w:rsidRDefault="00000000">
      <w:r>
        <w:t>OmniGeneDB is containerized via multi-stage Dockerfiles. The frontend is a React 19 + Vite SPA served by Nginx, while the backend is a Python FastAPI wrapper around an embedded R/Bioconductor 3.18 runtime. The system is deployed on Google Cloud Run with Google Cloud Storage FUSE for zero-downtime persistent database scaling.</w:t>
      </w:r>
    </w:p>
    <w:p w14:paraId="4E057668" w14:textId="77777777" w:rsidR="004A5DB9" w:rsidRDefault="00000000">
      <w:pPr>
        <w:pStyle w:val="Heading1"/>
      </w:pPr>
      <w:r>
        <w:rPr>
          <w:rFonts w:ascii="Arial" w:hAnsi="Arial"/>
        </w:rPr>
        <w:t>3. End-to-End Workflow</w:t>
      </w:r>
    </w:p>
    <w:p w14:paraId="429C4321" w14:textId="77777777" w:rsidR="004A5DB9" w:rsidRDefault="00000000">
      <w:r>
        <w:t>1. Data Ingestion: The user inputs a GEO accession. The Python backend scrapes NCBI to auto-suggest metadata groups.</w:t>
      </w:r>
      <w:r>
        <w:br/>
        <w:t>2. Pipeline Execution: The user submits the form. The backend spins up an R subprocess, downloads the counts via GEOquery, formats the DESeq2 design matrix, and runs the Wald test.</w:t>
      </w:r>
      <w:r>
        <w:br/>
        <w:t>3. Integration Phase: The Python API takes the top N genes from the DESeq2 results and fires parallel GraphQL/REST queries to STRING, GTEx, OpenTargets, and ClinVar.</w:t>
      </w:r>
      <w:r>
        <w:br/>
        <w:t>4. Rendering: The React frontend fetches the final JSON payload and renders all interactive Recharts charts, D3 force graphs, and data tables.</w:t>
      </w:r>
      <w:r>
        <w:br/>
        <w:t>5. Persistence: The results are saved to a persistent SQLite database (mounted via GCP Cloud Storage) for instantaneous future retrieval.</w:t>
      </w:r>
    </w:p>
    <w:p w14:paraId="7FC83089" w14:textId="77777777" w:rsidR="004A5DB9" w:rsidRDefault="00000000">
      <w:pPr>
        <w:pStyle w:val="Heading1"/>
      </w:pPr>
      <w:r>
        <w:rPr>
          <w:rFonts w:ascii="Arial" w:hAnsi="Arial"/>
        </w:rPr>
        <w:t>4. System Limitations &amp; Guardrails</w:t>
      </w:r>
    </w:p>
    <w:p w14:paraId="3DFAF905" w14:textId="77777777" w:rsidR="004A5DB9" w:rsidRDefault="00000000">
      <w:r>
        <w:t>- Microarray Incompatibility: OmniGeneDB relies on raw RNA-seq count matrices. It strictly guards against and rejects Microarray (e.g., Affymetrix/Illumina) datasets, as they require specialized CEL probe-to-gene mapping pipelines.</w:t>
      </w:r>
      <w:r>
        <w:br/>
        <w:t>- Multi-Omics Mixed Cohorts: If a GEO accession contains a mix of RNA-seq and ATAC-seq/WGBS samples under the same metadata labels, the system will drop the non-RNA-seq samples. If this results in 0 samples for a group, the pipeline will fail gracefully.</w:t>
      </w:r>
      <w:r>
        <w:br/>
        <w:t>- API Rate Limits: External integrations (STRING, GTEx) are subject to public API rate limits. In the event of a timeout, the specific column will gracefully degrade to 'N/A' rather than crashing the UI.</w:t>
      </w:r>
      <w:r>
        <w:br/>
        <w:t>- Cloud Run Cold Starts: Because the backend Docker container contains a massive R Bioconductor environment (3GB+), the first request after a long period of inactivity may experience a 10-15 second cold start delay on Google Cloud Run.</w:t>
      </w:r>
    </w:p>
    <w:sectPr w:rsidR="004A5DB9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Vrinda">
    <w:panose1 w:val="00000400000000000000"/>
    <w:charset w:val="00"/>
    <w:family w:val="swiss"/>
    <w:pitch w:val="variable"/>
    <w:sig w:usb0="0001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53756121">
    <w:abstractNumId w:val="8"/>
  </w:num>
  <w:num w:numId="2" w16cid:durableId="1811438173">
    <w:abstractNumId w:val="6"/>
  </w:num>
  <w:num w:numId="3" w16cid:durableId="1798260733">
    <w:abstractNumId w:val="5"/>
  </w:num>
  <w:num w:numId="4" w16cid:durableId="569534386">
    <w:abstractNumId w:val="4"/>
  </w:num>
  <w:num w:numId="5" w16cid:durableId="1886870044">
    <w:abstractNumId w:val="7"/>
  </w:num>
  <w:num w:numId="6" w16cid:durableId="299311826">
    <w:abstractNumId w:val="3"/>
  </w:num>
  <w:num w:numId="7" w16cid:durableId="1617521896">
    <w:abstractNumId w:val="2"/>
  </w:num>
  <w:num w:numId="8" w16cid:durableId="230584685">
    <w:abstractNumId w:val="1"/>
  </w:num>
  <w:num w:numId="9" w16cid:durableId="200115629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849A5"/>
    <w:rsid w:val="0029639D"/>
    <w:rsid w:val="00326F90"/>
    <w:rsid w:val="004A5DB9"/>
    <w:rsid w:val="00A27A3F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bn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6B554A1"/>
  <w14:defaultImageDpi w14:val="300"/>
  <w15:docId w15:val="{00F723B9-1A08-47F8-B7B7-DF991A008A0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622</Words>
  <Characters>3551</Characters>
  <Application>Microsoft Office Word</Application>
  <DocSecurity>0</DocSecurity>
  <Lines>29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4165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Soumyadip Ghosh</cp:lastModifiedBy>
  <cp:revision>2</cp:revision>
  <dcterms:created xsi:type="dcterms:W3CDTF">2013-12-23T23:15:00Z</dcterms:created>
  <dcterms:modified xsi:type="dcterms:W3CDTF">2026-10-08T13:49:00Z</dcterms:modified>
  <cp:category/>
</cp:coreProperties>
</file>