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b/>
          <w:color w:val="1F3864"/>
          <w:sz w:val="28"/>
        </w:rPr>
        <w:t>CONCEPT BRIEF: RETRIEVAL-AUGMENTED GENERATION (RAG)</w:t>
      </w:r>
    </w:p>
    <w:p>
      <w:pPr>
        <w:spacing w:after="280"/>
      </w:pPr>
      <w:r>
        <w:rPr>
          <w:i/>
          <w:color w:val="708090"/>
          <w:sz w:val="21"/>
        </w:rPr>
        <w:t>A concise conceptual introduction to modern enterprise AI architecture.</w:t>
      </w:r>
    </w:p>
    <w:p>
      <w:pPr>
        <w:spacing w:line="312" w:lineRule="auto" w:after="240"/>
        <w:jc w:val="both"/>
      </w:pPr>
      <w:r>
        <w:rPr>
          <w:color w:val="333333"/>
        </w:rPr>
        <w:t>Generative AI is rapidly transforming how we handle business data. However, standard AI models suffer from outdated information and factual errors. Retrieval-Augmented Generation (RAG) is the concept solving this exact issue. Instead of guessing, RAG forces the AI system to search a secure database first. It instantly locates relevant, real-time facts matching the user's specific question. This verified data is then safely fed directly into the AI prompt layout. The AI model uses this context to write a response grounded entirely in truth. This targeted framework completely eliminates dangerous AI hallucinations. It allows organizations to safely connect AI to private, proprietary internal data. RAG stands as the definitive gold standard for building reliable enterprise AI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