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第一章 绪论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1.1 研究背景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随着人工智能技术的快速发展，自然语言处理领域取得了显著进步。本文旨在研究基于深度学习的文档智能处理方法，重点解决格式转换中的关键技术问题。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当前主流的文档处理方法存在诸多不足，如图表交叉引用不稳定、公式排版不规范等。针对这些问题，本文提出了一套完整的解决方案。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根据研究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_ref_zhang2024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  <w:vertAlign w:val="superscript"/>
        </w:rPr>
        <w:t>[1]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，文档智能处理技术的核心在于结构化信息的准确提取与重组。同时，文献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_ref_2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指出，格式保真度是评价转换质量的关键指标。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1.2 研究意义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本研究具有以下几方面的重要意义：</w:t>
      </w:r>
    </w:p>
    <w:p>
      <w:pPr>
        <w:numPr>
          <w:ilvl w:val="0"/>
          <w:numId w:val="10"/>
        </w:num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理论意义：丰富了文档智能处理的理论体系</w:t>
      </w:r>
    </w:p>
    <w:p>
      <w:pPr>
        <w:numPr>
          <w:ilvl w:val="0"/>
          <w:numId w:val="10"/>
        </w:num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实践意义：为中文学术论文排版提供了自动化工具</w:t>
      </w:r>
    </w:p>
    <w:p>
      <w:pPr>
        <w:numPr>
          <w:ilvl w:val="0"/>
          <w:numId w:val="10"/>
        </w:num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社会意义：降低了学术写作的格式门槛</w:t>
      </w:r>
    </w:p>
    <w:p>
      <w:pPr>
        <w:pStyle w:val="Heading3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1.2.1 理论层面的意义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从理论层面来看，本研究建立了一套完整的 Markdown 到 DOCX 的格式映射模型。系统总体架构如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_fig_auto_1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图 1-1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7600" cy="5452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545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480"/>
        <w:jc w:val="center"/>
      </w:pPr>
      <w:bookmarkStart w:id="5" w:name="_fig_auto_1"/>
      <w:r>
        <w:rPr>
          <w:rFonts w:ascii="Times New Roman" w:hAnsi="Times New Roman" w:eastAsia="宋体"/>
          <w:b w:val="0"/>
          <w:i w:val="0"/>
          <w:sz w:val="21"/>
        </w:rPr>
        <w:t>图 1-1 系统总体架构图</w:t>
      </w:r>
      <w:bookmarkEnd w:id="5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如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_fig_auto_1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图 1-1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所示，系统采用分层架构设计，各层之间通过标准接口进行通信。</w:t>
      </w:r>
    </w:p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第二章 相关技术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2.1 文档格式标准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Word 文档（DOCX）基于 Office Open XML 标准，其内部结构如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_tab_auto_1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表 2-1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组件</w:t>
            </w:r>
          </w:p>
        </w:tc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document.xml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主文档内容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存储段落、表格等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styles.xml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样式定义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字体、字号、间距等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numbering.xml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编号定义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有序/无序列表</w:t>
            </w:r>
          </w:p>
        </w:tc>
      </w:tr>
      <w:tr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relationships</w:t>
            </w:r>
          </w:p>
        </w:tc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关系文件</w:t>
            </w:r>
          </w:p>
        </w:tc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图片、超链接引用</w:t>
            </w:r>
          </w:p>
        </w:tc>
      </w:tr>
    </w:tbl>
    <w:p>
      <w:pPr>
        <w:spacing w:lineRule="auto" w:line="360" w:before="0" w:after="0"/>
        <w:ind w:firstLine="480"/>
        <w:jc w:val="center"/>
      </w:pPr>
      <w:bookmarkStart w:id="8" w:name="_tab_auto_1"/>
      <w:r>
        <w:rPr>
          <w:rFonts w:ascii="Times New Roman" w:hAnsi="Times New Roman" w:eastAsia="宋体"/>
          <w:b w:val="0"/>
          <w:i w:val="0"/>
          <w:sz w:val="21"/>
        </w:rPr>
        <w:t>表 2-1</w:t>
      </w:r>
      <w:bookmarkEnd w:id="8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各层职责如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_tab_auto_1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表 2-1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所示，这些组件共同构成了完整的文档格式体系。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2.2 数学公式处理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本系统支持 LaTeX 公式到 Word OMML 公式的自动转换。能量守恒方程如下：</w:t>
      </w:r>
    </w:p>
    <w:p>
      <w:pPr>
        <w:spacing w:before="120" w:after="120" w:lineRule="auto" w:line="360"/>
        <w:ind w:firstLine="0"/>
        <w:jc w:val="left"/>
        <w:tabs>
          <w:tab w:val="center" w:pos="4156"/>
          <w:tab w:val="right" w:pos="8312"/>
        </w:tabs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tab/>
      </w:r>
      <m:oMath>
        <m:box>
          <m:e>
            <m:r>
              <m:t>E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r>
              <m:t>m</m:t>
              <m:rPr>
                <m:rFonts m:ascii="Times New Roman" m:hAnsi="Times New Roman"/>
              </m:rPr>
            </m:r>
            <m:sSup>
              <m:e>
                <m:r>
                  <m:t>c</m:t>
                  <m:rPr>
                    <m:rFonts m:ascii="Times New Roman" m:hAnsi="Times New Roman"/>
                  </m:rPr>
                </m:r>
              </m:e>
              <m:sup>
                <m:r>
                  <m:t>2</m:t>
                  <m:rPr>
                    <m:rFonts m:ascii="Times New Roman" m:hAnsi="Times New Roman"/>
                  </m:rPr>
                </m:r>
              </m:sup>
            </m:sSup>
          </m:e>
        </m:box>
      </m:oMath>
      <w:r>
        <w:rPr>
          <w:rFonts w:ascii="Times New Roman" w:hAnsi="Times New Roman" w:eastAsia="宋体"/>
          <w:b w:val="0"/>
          <w:i w:val="0"/>
          <w:sz w:val="24"/>
        </w:rPr>
        <w:tab/>
      </w:r>
      <w:bookmarkStart w:id="11" w:name="_formula_auto_1"/>
      <w:r>
        <w:rPr>
          <w:rFonts w:ascii="Times New Roman" w:hAnsi="Times New Roman" w:eastAsia="宋体"/>
          <w:b w:val="0"/>
          <w:i w:val="0"/>
          <w:sz w:val="24"/>
        </w:rPr>
        <w:t>(2-1)</w:t>
      </w:r>
      <w:bookmarkEnd w:id="11"/>
      <w:r>
        <w:tab/>
      </w:r>
      <w:r>
        <w:rPr>
          <w:rFonts w:ascii="Times New Roman" w:hAnsi="Times New Roman" w:eastAsia="宋体"/>
        </w:rPr>
        <w:t>(2-1)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波动方程的标准形式为：</w:t>
      </w:r>
    </w:p>
    <w:p>
      <w:pPr>
        <w:spacing w:before="120" w:after="120" w:lineRule="auto" w:line="360"/>
        <w:ind w:firstLine="0"/>
        <w:jc w:val="left"/>
        <w:tabs>
          <w:tab w:val="center" w:pos="4156"/>
          <w:tab w:val="right" w:pos="8312"/>
        </w:tabs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tab/>
      </w:r>
      <m:oMath>
        <m:box>
          <m:e>
            <m:f>
              <m:num>
                <m:box>
                  <m:e>
                    <m:sSup>
                      <m:e>
                        <m:r>
                          <m:t>∂</m:t>
                          <m:rPr>
                            <m:rFonts m:ascii="Times New Roman" m:hAnsi="Times New Roman"/>
                          </m:rPr>
                        </m:r>
                      </m:e>
                      <m:sup>
                        <m:r>
                          <m:t>2</m:t>
                          <m:rPr>
                            <m:rFonts m:ascii="Times New Roman" m:hAnsi="Times New Roman"/>
                          </m:rPr>
                        </m:r>
                      </m:sup>
                    </m:sSup>
                    <m:r>
                      <m:t>u</m:t>
                      <m:rPr>
                        <m:rFonts m:ascii="Times New Roman" m:hAnsi="Times New Roman"/>
                      </m:rPr>
                    </m:r>
                  </m:e>
                </m:box>
              </m:num>
              <m:den>
                <m:box>
                  <m:e>
                    <m:r>
                      <m:t>∂</m:t>
                      <m:rPr>
                        <m:rFonts m:ascii="Times New Roman" m:hAnsi="Times New Roman"/>
                      </m:rPr>
                    </m:r>
                    <m:sSup>
                      <m:e>
                        <m:r>
                          <m:t>t</m:t>
                          <m:rPr>
                            <m:rFonts m:ascii="Times New Roman" m:hAnsi="Times New Roman"/>
                          </m:rPr>
                        </m:r>
                      </m:e>
                      <m:sup>
                        <m:r>
                          <m:t>2</m:t>
                          <m:rPr>
                            <m:rFonts m:ascii="Times New Roman" m:hAnsi="Times New Roman"/>
                          </m:rPr>
                        </m:r>
                      </m:sup>
                    </m:sSup>
                  </m:e>
                </m:box>
              </m:den>
            </m:f>
            <m:r>
              <m:t>=</m:t>
              <m:rPr>
                <m:rFonts m:ascii="Times New Roman" m:hAnsi="Times New Roman"/>
              </m:rPr>
            </m:r>
            <m:sSup>
              <m:e>
                <m:r>
                  <m:t>c</m:t>
                  <m:rPr>
                    <m:rFonts m:ascii="Times New Roman" m:hAnsi="Times New Roman"/>
                  </m:rPr>
                </m:r>
              </m:e>
              <m:sup>
                <m:r>
                  <m:t>2</m:t>
                  <m:rPr>
                    <m:rFonts m:ascii="Times New Roman" m:hAnsi="Times New Roman"/>
                  </m:rPr>
                </m:r>
              </m:sup>
            </m:sSup>
            <m:sSup>
              <m:e>
                <m:r>
                  <m:t>∇</m:t>
                  <m:rPr>
                    <m:rFonts m:ascii="Times New Roman" m:hAnsi="Times New Roman"/>
                  </m:rPr>
                </m:r>
              </m:e>
              <m:sup>
                <m:r>
                  <m:t>2</m:t>
                  <m:rPr>
                    <m:rFonts m:ascii="Times New Roman" m:hAnsi="Times New Roman"/>
                  </m:rPr>
                </m:r>
              </m:sup>
            </m:sSup>
            <m:r>
              <m:t>u</m:t>
              <m:rPr>
                <m:rFonts m:ascii="Times New Roman" m:hAnsi="Times New Roman"/>
              </m:rPr>
            </m:r>
          </m:e>
        </m:box>
      </m:oMath>
      <w:r>
        <w:rPr>
          <w:rFonts w:ascii="Times New Roman" w:hAnsi="Times New Roman" w:eastAsia="宋体"/>
          <w:b w:val="0"/>
          <w:i w:val="0"/>
          <w:sz w:val="24"/>
        </w:rPr>
        <w:tab/>
      </w:r>
      <w:bookmarkStart w:id="12" w:name="_formula_auto_2"/>
      <w:r>
        <w:rPr>
          <w:rFonts w:ascii="Times New Roman" w:hAnsi="Times New Roman" w:eastAsia="宋体"/>
          <w:b w:val="0"/>
          <w:i w:val="0"/>
          <w:sz w:val="24"/>
        </w:rPr>
        <w:t>(2-2)</w:t>
      </w:r>
      <w:bookmarkEnd w:id="12"/>
      <w:r>
        <w:tab/>
      </w:r>
      <w:r>
        <w:rPr>
          <w:rFonts w:ascii="Times New Roman" w:hAnsi="Times New Roman" w:eastAsia="宋体"/>
        </w:rPr>
        <w:t>(2-2)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带编号的公式如下：</w:t>
      </w:r>
    </w:p>
    <w:p>
      <w:pPr>
        <w:spacing w:before="120" w:after="120" w:lineRule="auto" w:line="360"/>
        <w:ind w:firstLine="0"/>
        <w:jc w:val="left"/>
        <w:tabs>
          <w:tab w:val="center" w:pos="4156"/>
          <w:tab w:val="right" w:pos="8312"/>
        </w:tabs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tab/>
      </w:r>
      <m:oMath>
        <m:box>
          <m:e>
            <m:r>
              <m:t>F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r>
              <m:t>m</m:t>
              <m:rPr>
                <m:rFonts m:ascii="Times New Roman" m:hAnsi="Times New Roman"/>
              </m:rPr>
            </m:r>
            <m:r>
              <m:t>a</m:t>
              <m:rPr>
                <m:rFonts m:ascii="Times New Roman" m:hAnsi="Times New Roman"/>
              </m:rPr>
            </m:r>
          </m:e>
        </m:box>
      </m:oMath>
      <w:r>
        <w:rPr>
          <w:rFonts w:ascii="Times New Roman" w:hAnsi="Times New Roman" w:eastAsia="宋体"/>
          <w:b w:val="0"/>
          <w:i w:val="0"/>
          <w:sz w:val="24"/>
        </w:rPr>
        <w:tab/>
      </w:r>
      <w:bookmarkStart w:id="13" w:name="_formula_newton"/>
      <w:r>
        <w:rPr>
          <w:rFonts w:ascii="Times New Roman" w:hAnsi="Times New Roman" w:eastAsia="宋体"/>
          <w:b w:val="0"/>
          <w:i w:val="0"/>
          <w:sz w:val="24"/>
        </w:rPr>
        <w:t>(2-3)</w:t>
      </w:r>
      <w:bookmarkEnd w:id="13"/>
      <w:r>
        <w:tab/>
      </w:r>
      <w:r>
        <w:rPr>
          <w:rFonts w:ascii="Times New Roman" w:hAnsi="Times New Roman" w:eastAsia="宋体"/>
        </w:rPr>
        <w:t>(2-3)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根据公式 formula:newton 可知，力等于质量乘以加速度。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2.3 列表与编号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无序列表示例：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第一点：数据预处理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第二点：模型训练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第三点：结果评估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嵌套编号列表：</w:t>
      </w:r>
    </w:p>
    <w:p>
      <w:pPr>
        <w:numPr>
          <w:ilvl w:val="0"/>
          <w:numId w:val="12"/>
        </w:num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数据准备阶段</w:t>
      </w:r>
    </w:p>
    <w:p>
      <w:pPr>
        <w:numPr>
          <w:ilvl w:val="0"/>
          <w:numId w:val="12"/>
        </w:num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模型设计阶段</w:t>
      </w:r>
    </w:p>
    <w:p>
      <w:pPr>
        <w:numPr>
          <w:ilvl w:val="0"/>
          <w:numId w:val="12"/>
        </w:num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实验验证阶段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2.4 图表混合引用测试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第二章的第一个图如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_fig_auto_2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图 2-1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7600" cy="5452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545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480"/>
        <w:jc w:val="center"/>
      </w:pPr>
      <w:bookmarkStart w:id="6" w:name="_fig_auto_2"/>
      <w:r>
        <w:rPr>
          <w:rFonts w:ascii="Times New Roman" w:hAnsi="Times New Roman" w:eastAsia="宋体"/>
          <w:b w:val="0"/>
          <w:i w:val="0"/>
          <w:sz w:val="21"/>
        </w:rPr>
        <w:t>图 2-1 处理流程图</w:t>
      </w:r>
      <w:bookmarkEnd w:id="6"/>
    </w:p>
    <w:p>
      <w:pPr>
        <w:spacing w:lineRule="auto" w:line="360" w:before="0" w:after="0"/>
        <w:ind w:firstLine="4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fldChar w:fldCharType="begin"/>
      </w:r>
      <w:r>
        <w:rPr>
          <w:rFonts w:ascii="Times New Roman" w:hAnsi="Times New Roman" w:eastAsia="宋体"/>
          <w:b w:val="0"/>
          <w:i w:val="0"/>
          <w:sz w:val="21"/>
        </w:rPr>
        <w:instrText xml:space="preserve"> REF _fig_auto_2 \h </w:instrText>
      </w:r>
      <w:r>
        <w:rPr>
          <w:rFonts w:ascii="Times New Roman" w:hAnsi="Times New Roman" w:eastAsia="宋体"/>
          <w:b w:val="0"/>
          <w:i w:val="0"/>
          <w:sz w:val="21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1"/>
        </w:rPr>
        <w:t>图 2-1</w:t>
      </w:r>
      <w:r>
        <w:rPr>
          <w:rFonts w:ascii="Times New Roman" w:hAnsi="Times New Roman" w:eastAsia="宋体"/>
          <w:b w:val="0"/>
          <w:i w:val="0"/>
          <w:sz w:val="21"/>
        </w:rP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>展示了从输入到输出的完整处理流程。结合</w:t>
      </w:r>
      <w:r>
        <w:rPr>
          <w:rFonts w:ascii="Times New Roman" w:hAnsi="Times New Roman" w:eastAsia="宋体"/>
          <w:b w:val="0"/>
          <w:i w:val="0"/>
          <w:sz w:val="21"/>
        </w:rPr>
        <w:fldChar w:fldCharType="begin"/>
      </w:r>
      <w:r>
        <w:rPr>
          <w:rFonts w:ascii="Times New Roman" w:hAnsi="Times New Roman" w:eastAsia="宋体"/>
          <w:b w:val="0"/>
          <w:i w:val="0"/>
          <w:sz w:val="21"/>
        </w:rPr>
        <w:instrText xml:space="preserve"> REF _tab_auto_1 \h </w:instrText>
      </w:r>
      <w:r>
        <w:rPr>
          <w:rFonts w:ascii="Times New Roman" w:hAnsi="Times New Roman" w:eastAsia="宋体"/>
          <w:b w:val="0"/>
          <w:i w:val="0"/>
          <w:sz w:val="21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1"/>
        </w:rPr>
        <w:t>表 2-1</w:t>
      </w:r>
      <w:r>
        <w:rPr>
          <w:rFonts w:ascii="Times New Roman" w:hAnsi="Times New Roman" w:eastAsia="宋体"/>
          <w:b w:val="0"/>
          <w:i w:val="0"/>
          <w:sz w:val="21"/>
        </w:rP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>中的组件分析，可以看出系统设计的合理性。</w:t>
      </w:r>
    </w:p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第三章 实验与分析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3.1 实验环境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实验环境配置如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_tab_auto_2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表 3-1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配置</w:t>
            </w:r>
          </w:p>
        </w:tc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CPU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Intel i9-13900K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主处理器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GPU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NVIDIA RTX 4090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用于推理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内存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64GB DDR5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运行时存储</w:t>
            </w:r>
          </w:p>
        </w:tc>
      </w:tr>
      <w:tr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操作系统</w:t>
            </w:r>
          </w:p>
        </w:tc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Ubuntu 22.04</w:t>
            </w:r>
          </w:p>
        </w:tc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运行环境</w:t>
            </w:r>
          </w:p>
        </w:tc>
      </w:tr>
    </w:tbl>
    <w:p>
      <w:pPr>
        <w:spacing w:lineRule="auto" w:line="360" w:before="0" w:after="0"/>
        <w:ind w:firstLine="480"/>
        <w:jc w:val="center"/>
      </w:pPr>
      <w:bookmarkStart w:id="9" w:name="_tab_auto_2"/>
      <w:r>
        <w:rPr>
          <w:rFonts w:ascii="Times New Roman" w:hAnsi="Times New Roman" w:eastAsia="宋体"/>
          <w:b w:val="0"/>
          <w:i w:val="0"/>
          <w:sz w:val="21"/>
        </w:rPr>
        <w:t>表 3-1</w:t>
      </w:r>
      <w:bookmarkEnd w:id="9"/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3.2 实验结果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实验结果如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_fig_auto_3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图 3-1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7600" cy="5452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545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480"/>
        <w:jc w:val="center"/>
      </w:pPr>
      <w:bookmarkStart w:id="7" w:name="_fig_auto_3"/>
      <w:r>
        <w:rPr>
          <w:rFonts w:ascii="Times New Roman" w:hAnsi="Times New Roman" w:eastAsia="宋体"/>
          <w:b w:val="0"/>
          <w:i w:val="0"/>
          <w:sz w:val="21"/>
        </w:rPr>
        <w:t>图 3-1 实验结果对比</w:t>
      </w:r>
      <w:bookmarkEnd w:id="7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_fig_auto_3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图 3-1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可以看出，本文方法在各项指标上均优于基线方法。结合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_tab_auto_2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表 3-1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的硬件配置，实验结果具有较高的可信度。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交叉熵损失函数定义为：</w:t>
      </w:r>
    </w:p>
    <w:p>
      <w:pPr>
        <w:spacing w:before="120" w:after="120" w:lineRule="auto" w:line="360"/>
        <w:ind w:firstLine="0"/>
        <w:jc w:val="left"/>
        <w:tabs>
          <w:tab w:val="center" w:pos="4156"/>
          <w:tab w:val="right" w:pos="8312"/>
        </w:tabs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tab/>
      </w:r>
      <m:oMath>
        <m:box>
          <m:e>
            <m:r>
              <m:t>L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r>
              <m:t>−</m:t>
              <m:rPr>
                <m:rFonts m:ascii="Times New Roman" m:hAnsi="Times New Roman"/>
              </m:rPr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t>i</m:t>
                      <m:rPr>
                        <m:rFonts m:ascii="Times New Roman" m:hAnsi="Times New Roman"/>
                      </m:rPr>
                    </m:r>
                    <m:r>
                      <m:t>=</m:t>
                      <m:rPr>
                        <m:rFonts m:ascii="Times New Roman" m:hAnsi="Times New Roman"/>
                      </m:rPr>
                    </m:r>
                    <m:r>
                      <m:t>1</m:t>
                      <m:rPr>
                        <m:rFonts m:ascii="Times New Roman" m:hAnsi="Times New Roman"/>
                      </m:rPr>
                    </m:r>
                  </m:e>
                </m:box>
              </m:sub>
              <m:sup>
                <m:box>
                  <m:e>
                    <m:r>
                      <m:t>N</m:t>
                      <m:rPr>
                        <m:rFonts m:ascii="Times New Roman" m:hAnsi="Times New Roman"/>
                      </m:rPr>
                    </m:r>
                  </m:e>
                </m:box>
              </m:sup>
              <m:e>
                <m:sSub>
                  <m:e>
                    <m:r>
                      <m:t>y</m:t>
                      <m:rPr>
                        <m:rFonts m:ascii="Times New Roman" m:hAnsi="Times New Roman"/>
                      </m:rPr>
                    </m:r>
                  </m:e>
                  <m:sub>
                    <m:r>
                      <m:t>i</m:t>
                      <m:rPr>
                        <m:rFonts m:ascii="Times New Roman" m:hAnsi="Times New Roman"/>
                      </m:rPr>
                    </m:r>
                  </m:sub>
                </m:sSub>
                <m:r>
                  <m:t>log</m:t>
                  <m:rPr>
                    <m:rFonts m:ascii="Times New Roman" m:hAnsi="Times New Roman"/>
                  </m:rPr>
                </m:r>
                <m:r>
                  <m:t>(</m:t>
                  <m:rPr>
                    <m:rFonts m:ascii="Times New Roman" m:hAnsi="Times New Roman"/>
                  </m:rPr>
                </m:r>
                <m:sSub>
                  <m:e>
                    <m:limUpp>
                      <m:e>
                        <m:box>
                          <m:e>
                            <m:r>
                              <m:t>y</m:t>
                              <m:rPr>
                                <m:rFonts m:ascii="Times New Roman" m:hAnsi="Times New Roman"/>
                              </m:rPr>
                            </m:r>
                          </m:e>
                        </m:box>
                      </m:e>
                      <m:lim>
                        <m:r>
                          <m:t>^</m:t>
                          <m:rPr>
                            <m:rFonts m:ascii="Times New Roman" m:hAnsi="Times New Roman"/>
                          </m:rPr>
                        </m:r>
                      </m:lim>
                    </m:limUpp>
                  </m:e>
                  <m:sub>
                    <m:r>
                      <m:t>i</m:t>
                      <m:rPr>
                        <m:rFonts m:ascii="Times New Roman" m:hAnsi="Times New Roman"/>
                      </m:rPr>
                    </m:r>
                  </m:sub>
                </m:sSub>
                <m:r>
                  <m:t>)</m:t>
                  <m:rPr>
                    <m:rFonts m:ascii="Times New Roman" m:hAnsi="Times New Roman"/>
                  </m:rPr>
                </m:r>
              </m:e>
            </m:nary>
          </m:e>
        </m:box>
      </m:oMath>
      <w:r>
        <w:rPr>
          <w:rFonts w:ascii="Times New Roman" w:hAnsi="Times New Roman" w:eastAsia="宋体"/>
          <w:b w:val="0"/>
          <w:i w:val="0"/>
          <w:sz w:val="24"/>
        </w:rPr>
        <w:tab/>
      </w:r>
      <w:bookmarkStart w:id="14" w:name="_formula_auto_3"/>
      <w:r>
        <w:rPr>
          <w:rFonts w:ascii="Times New Roman" w:hAnsi="Times New Roman" w:eastAsia="宋体"/>
          <w:b w:val="0"/>
          <w:i w:val="0"/>
          <w:sz w:val="24"/>
        </w:rPr>
        <w:t>(3-1)</w:t>
      </w:r>
      <w:bookmarkEnd w:id="14"/>
      <w:r>
        <w:tab/>
      </w:r>
      <w:r>
        <w:rPr>
          <w:rFonts w:ascii="Times New Roman" w:hAnsi="Times New Roman" w:eastAsia="宋体"/>
        </w:rPr>
        <w:t>(3-1)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3.3 性能对比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不同方法的性能对比如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_tab_auto_3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表 3-2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准确率</w:t>
            </w:r>
          </w:p>
        </w:tc>
        <w:tc>
          <w:tcPr>
            <w:tcW w:type="dxa" w:w="216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召回率</w:t>
            </w:r>
          </w:p>
        </w:tc>
        <w:tc>
          <w:tcPr>
            <w:tcW w:type="dxa" w:w="216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F1值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基线方法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85.3%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82.1%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83.7%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改进方法A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89.7%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87.4%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88.5%</w:t>
            </w:r>
          </w:p>
        </w:tc>
      </w:tr>
      <w:tr>
        <w:tc>
          <w:tcPr>
            <w:tcW w:type="dxa" w:w="216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本文方法</w:t>
            </w:r>
          </w:p>
        </w:tc>
        <w:tc>
          <w:tcPr>
            <w:tcW w:type="dxa" w:w="216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92.1%</w:t>
            </w:r>
          </w:p>
        </w:tc>
        <w:tc>
          <w:tcPr>
            <w:tcW w:type="dxa" w:w="216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90.8%</w:t>
            </w:r>
          </w:p>
        </w:tc>
        <w:tc>
          <w:tcPr>
            <w:tcW w:type="dxa" w:w="216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91.4%</w:t>
            </w:r>
          </w:p>
        </w:tc>
      </w:tr>
    </w:tbl>
    <w:p>
      <w:pPr>
        <w:spacing w:lineRule="auto" w:line="360" w:before="0" w:after="0"/>
        <w:ind w:firstLine="480"/>
        <w:jc w:val="center"/>
      </w:pPr>
      <w:bookmarkStart w:id="10" w:name="_tab_auto_3"/>
      <w:r>
        <w:rPr>
          <w:rFonts w:ascii="Times New Roman" w:hAnsi="Times New Roman" w:eastAsia="宋体"/>
          <w:b w:val="0"/>
          <w:i w:val="0"/>
          <w:sz w:val="21"/>
        </w:rPr>
        <w:t>表 3-2</w:t>
      </w:r>
      <w:bookmarkEnd w:id="10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如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_tab_auto_3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表 3-2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所示，本文方法在所有指标上均取得了最优性能。这与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_fig_auto_3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图 3-1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的定性分析结果一致。</w:t>
      </w:r>
    </w:p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第四章 结论与展望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4.1 主要结论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本文主要取得以下成果：</w:t>
      </w:r>
    </w:p>
    <w:p>
      <w:pPr>
        <w:numPr>
          <w:ilvl w:val="0"/>
          <w:numId w:val="14"/>
        </w:num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提出了一种基于两阶段解析的交叉引用方法，解决了前向引用不稳定的问题</w:t>
      </w:r>
    </w:p>
    <w:p>
      <w:pPr>
        <w:numPr>
          <w:ilvl w:val="0"/>
          <w:numId w:val="14"/>
        </w:num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实现了 LaTeX 公式到 Word OMML 的自动转换</w:t>
      </w:r>
    </w:p>
    <w:p>
      <w:pPr>
        <w:numPr>
          <w:ilvl w:val="0"/>
          <w:numId w:val="14"/>
        </w:num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构建了完整的格式映射模板系统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4.2 未来展望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未来的研究方向包括：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支持更多文档格式的转换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优化公式渲染质量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提高表格布局的灵活性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综上所述，本研究为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_ref_1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  <w:vertAlign w:val="superscript"/>
        </w:rPr>
        <w:t>[3]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中提出的文档智能处理框架提供了重要的技术支撑，同时拓展了</w:t>
      </w: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REF _ref_liu2025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i w:val="0"/>
          <w:sz w:val="24"/>
          <w:vertAlign w:val="superscript"/>
        </w:rPr>
        <w:t>[4]</w:t>
      </w:r>
      <w:r>
        <w:rPr>
          <w:rFonts w:ascii="Times New Roman" w:hAnsi="Times New Roman" w:eastAsia="宋体"/>
          <w:b w:val="0"/>
          <w:i w:val="0"/>
          <w:sz w:val="24"/>
        </w:rP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中的格式转换方法。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参考文献</w:t>
      </w:r>
    </w:p>
    <w:p>
      <w:pPr>
        <w:numPr>
          <w:ilvl w:val="0"/>
          <w:numId w:val="17"/>
        </w:numPr>
        <w:spacing w:lineRule="auto" w:line="360" w:before="0" w:after="0"/>
        <w:ind w:left="420" w:firstLine="0"/>
        <w:jc w:val="both"/>
      </w:pPr>
      <w:r>
        <w:t>王五. 自然语言处理前沿进展[J]. 人工智能, 2024, 41(2): 120-135.</w:t>
      </w:r>
    </w:p>
    <w:p>
      <w:pPr>
        <w:numPr>
          <w:ilvl w:val="0"/>
          <w:numId w:val="17"/>
        </w:numPr>
        <w:spacing w:lineRule="auto" w:line="360" w:before="0" w:after="0"/>
        <w:ind w:left="420" w:firstLine="0"/>
        <w:jc w:val="both"/>
      </w:pPr>
      <w:r>
        <w:t>李四. 格式保真度评价方法研究[J]. 软件学报, 2024, 35(8): 3500-3520.</w:t>
      </w:r>
    </w:p>
    <w:p>
      <w:pPr>
        <w:numPr>
          <w:ilvl w:val="0"/>
          <w:numId w:val="17"/>
        </w:numPr>
        <w:spacing w:lineRule="auto" w:line="360" w:before="0" w:after="0"/>
        <w:ind w:left="420" w:firstLine="0"/>
        <w:jc w:val="both"/>
      </w:pPr>
      <w:r>
        <w:t>张三. 文档智能处理综述[J]. 计算机学报, 2024, 45(3): 500-515.</w:t>
      </w:r>
    </w:p>
    <w:p>
      <w:pPr>
        <w:numPr>
          <w:ilvl w:val="0"/>
          <w:numId w:val="17"/>
        </w:numPr>
        <w:spacing w:lineRule="auto" w:line="360" w:before="0" w:after="0"/>
        <w:ind w:left="420" w:firstLine="0"/>
        <w:jc w:val="both"/>
      </w:pPr>
      <w:r>
        <w:t>赵六. Markdown排版自动化工具设计与实现[D]. 北京大学, 2025.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797" w:bottom="1440" w:left="1797" w:header="720" w:footer="720" w:gutter="0"/>
      <w:cols w:space="720"/>
      <w:docGrid w:linePitch="360"/>
      <w:pgNumType w:start="1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</w: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i w:val="0"/>
        <w:sz w:val="18"/>
      </w:rPr>
      <w:t>毕业论文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">
    <w:lvl w:ilvl="0" w:tentative="1">
      <w:start w:val="1"/>
      <w:numFmt w:val="decimal"/>
      <w:lvlText w:val="%1."/>
      <w:suff w:val="space"/>
      <w:lvlJc w:val="left"/>
    </w:lvl>
    <w:lvl w:ilvl="1" w:tentative="1">
      <w:start w:val="1"/>
      <w:numFmt w:val="decimal"/>
      <w:lvlText w:val="（%2）"/>
      <w:suff w:val="space"/>
      <w:lvlJc w:val="left"/>
    </w:lvl>
  </w:abstractNum>
  <w:abstractNum w:abstractNumId="16">
    <w:lvl w:ilvl="0" w:tentative="1">
      <w:start w:val="1"/>
      <w:numFmt w:val="decimal"/>
      <w:lvlText w:val="[%1]"/>
      <w:suff w:val="space"/>
      <w:lvlJc w:val="left"/>
    </w:lvl>
  </w:abstractNum>
  <w:abstractNum w:abstractNumId="13">
    <w:lvl w:ilvl="0" w:tentative="1">
      <w:start w:val="1"/>
      <w:numFmt w:val="decimal"/>
      <w:lvlText w:val="%1."/>
      <w:suff w:val="space"/>
      <w:lvlJc w:val="left"/>
    </w:lvl>
    <w:lvl w:ilvl="1" w:tentative="1">
      <w:start w:val="1"/>
      <w:numFmt w:val="decimal"/>
      <w:lvlText w:val="（%2）"/>
      <w:suff w:val="space"/>
      <w:lvlJc w:val="left"/>
    </w:lvl>
  </w:abstractNum>
  <w:abstractNum w:abstractNumId="14">
    <w:lvl w:ilvl="0" w:tentative="1">
      <w:start w:val="1"/>
      <w:numFmt w:val="decimal"/>
      <w:lvlText w:val="[%1]"/>
      <w:suff w:val="space"/>
      <w:lvlJc w:val="left"/>
    </w:lvl>
  </w:abstractNum>
  <w:abstractNum w:abstractNumId="11">
    <w:lvl w:ilvl="0" w:tentative="1">
      <w:start w:val="1"/>
      <w:numFmt w:val="decimal"/>
      <w:lvlText w:val="%1."/>
      <w:suff w:val="space"/>
      <w:lvlJc w:val="left"/>
    </w:lvl>
    <w:lvl w:ilvl="1" w:tentative="1">
      <w:start w:val="1"/>
      <w:numFmt w:val="decimal"/>
      <w:lvlText w:val="（%2）"/>
      <w:suff w:val="space"/>
      <w:lvlJc w:val="left"/>
    </w:lvl>
  </w:abstractNum>
  <w:abstractNum w:abstractNumId="12">
    <w:lvl w:ilvl="0" w:tentative="1">
      <w:start w:val="1"/>
      <w:numFmt w:val="decimal"/>
      <w:lvlText w:val="[%1]"/>
      <w:suff w:val="space"/>
      <w:lvlJc w:val="left"/>
    </w:lvl>
  </w:abstractNum>
  <w:abstractNum w:abstractNumId="9">
    <w:lvl w:ilvl="0" w:tentative="1">
      <w:start w:val="1"/>
      <w:numFmt w:val="decimal"/>
      <w:lvlText w:val="%1."/>
      <w:suff w:val="space"/>
      <w:lvlJc w:val="left"/>
    </w:lvl>
    <w:lvl w:ilvl="1" w:tentative="1">
      <w:start w:val="1"/>
      <w:numFmt w:val="decimal"/>
      <w:lvlText w:val="（%2）"/>
      <w:suff w:val="space"/>
      <w:lvlJc w:val="left"/>
    </w:lvl>
  </w:abstractNum>
  <w:abstractNum w:abstractNumId="10">
    <w:lvl w:ilvl="0" w:tentative="1">
      <w:start w:val="1"/>
      <w:numFmt w:val="decimal"/>
      <w:lvlText w:val="[%1]"/>
      <w:suff w:val="space"/>
      <w:lvlJc w:val="left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