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480" w:after="360"/>
        <w:jc w:val="center"/>
      </w:pPr>
      <w:r>
        <w:rPr>
          <w:rFonts w:ascii="Times New Roman" w:hAnsi="Times New Roman" w:eastAsia="黑体"/>
          <w:b/>
          <w:i w:val="0"/>
          <w:color w:val="000000"/>
          <w:sz w:val="32"/>
        </w:rPr>
        <w:t>摘  要</w:t>
      </w:r>
    </w:p>
    <w:p>
      <w:pPr>
        <w:spacing w:lineRule="auto" w:line="360" w:before="0" w:after="0"/>
        <w:ind w:firstLine="480"/>
        <w:jc w:val="both"/>
      </w:pPr>
      <w:r>
        <w:rPr>
          <w:rFonts w:ascii="Times New Roman" w:hAnsi="Times New Roman" w:eastAsia="宋体"/>
          <w:b w:val="0"/>
          <w:i w:val="0"/>
          <w:sz w:val="24"/>
        </w:rPr>
        <w:t>本文研究了基于深度学习的自然语言处理技术在中文文本分类中的应用。实验结果表明，所提出的方法在多个基准数据集上取得了显著的性能提升。</w:t>
      </w:r>
    </w:p>
    <w:p>
      <w:pPr>
        <w:spacing w:lineRule="auto" w:line="360" w:before="0" w:after="0"/>
        <w:ind w:firstLine="480"/>
        <w:jc w:val="both"/>
      </w:pPr>
      <w:r>
        <w:rPr>
          <w:rFonts w:ascii="Times New Roman" w:hAnsi="Times New Roman" w:eastAsia="宋体"/>
          <w:b w:val="0"/>
          <w:i w:val="0"/>
          <w:sz w:val="24"/>
        </w:rPr>
        <w:t>关键词：深度学习；自然语言处理；文本分类</w:t>
      </w:r>
    </w:p>
    <w:p>
      <w:pPr>
        <w:pStyle w:val="Heading1"/>
        <w:spacing w:before="480" w:after="360"/>
        <w:jc w:val="center"/>
      </w:pPr>
      <w:r>
        <w:rPr>
          <w:rFonts w:ascii="Times New Roman" w:hAnsi="Times New Roman" w:eastAsia="黑体"/>
          <w:b/>
          <w:i w:val="0"/>
          <w:color w:val="000000"/>
          <w:sz w:val="32"/>
        </w:rPr>
        <w:t>第一章 绪论</w:t>
      </w:r>
    </w:p>
    <w:p>
      <w:pPr>
        <w:spacing w:lineRule="auto" w:line="360" w:before="0" w:after="0"/>
        <w:ind w:firstLine="480"/>
        <w:jc w:val="both"/>
      </w:pPr>
      <w:r>
        <w:rPr>
          <w:rFonts w:ascii="Times New Roman" w:hAnsi="Times New Roman" w:eastAsia="宋体"/>
          <w:b w:val="0"/>
          <w:i w:val="0"/>
          <w:sz w:val="24"/>
        </w:rPr>
        <w:t>本章主要介绍研究背景、研究意义以及论文的组织结构。在当前人工智能快速发展的背景下，自然语言处理技术日益成熟，为文本分析提供了强有力的工具支撑。</w:t>
      </w:r>
    </w:p>
    <w:p>
      <w:pPr>
        <w:pStyle w:val="Heading2"/>
        <w:spacing w:before="260" w:after="260"/>
        <w:jc w:val="left"/>
      </w:pPr>
      <w:r>
        <w:rPr>
          <w:rFonts w:ascii="Times New Roman" w:hAnsi="Times New Roman" w:eastAsia="黑体"/>
          <w:b/>
          <w:i w:val="0"/>
          <w:color w:val="000000"/>
          <w:sz w:val="30"/>
        </w:rPr>
        <w:t>1.1 研究背景</w:t>
      </w:r>
    </w:p>
    <w:p>
      <w:pPr>
        <w:spacing w:lineRule="auto" w:line="360" w:before="0" w:after="0"/>
        <w:ind w:firstLine="480"/>
        <w:jc w:val="both"/>
      </w:pPr>
      <w:r>
        <w:rPr>
          <w:rFonts w:ascii="Times New Roman" w:hAnsi="Times New Roman" w:eastAsia="宋体"/>
          <w:b w:val="0"/>
          <w:i w:val="0"/>
          <w:sz w:val="24"/>
        </w:rPr>
        <w:t>随着互联网技术的飞速发展，海量文本数据的产生对自动化文本分析提出了更高的要求。传统方法在处理复杂语义关系时存在明显不足，亟需新的技术手段来提升处理效果。</w:t>
      </w:r>
    </w:p>
    <w:p>
      <w:pPr>
        <w:pStyle w:val="Heading3"/>
        <w:spacing w:before="260" w:after="260"/>
        <w:jc w:val="left"/>
      </w:pPr>
      <w:r>
        <w:rPr>
          <w:rFonts w:ascii="Times New Roman" w:hAnsi="Times New Roman" w:eastAsia="黑体"/>
          <w:b/>
          <w:i w:val="0"/>
          <w:color w:val="000000"/>
          <w:sz w:val="28"/>
        </w:rPr>
        <w:t>1.1.1 国内外研究现状</w:t>
      </w:r>
    </w:p>
    <w:p>
      <w:pPr>
        <w:spacing w:lineRule="auto" w:line="360" w:before="0" w:after="0"/>
        <w:ind w:firstLine="480"/>
        <w:jc w:val="both"/>
      </w:pPr>
      <w:r>
        <w:rPr>
          <w:rFonts w:ascii="Times New Roman" w:hAnsi="Times New Roman" w:eastAsia="宋体"/>
          <w:b w:val="0"/>
          <w:i w:val="0"/>
          <w:sz w:val="24"/>
        </w:rPr>
        <w:t>近年来，国内外学者在文本分类领域进行了大量研究。国外方面，以BERT为代表的预训练模型取得了突破性进展；国内方面，针对中文特点的改进模型也展现出良好的性能。</w:t>
      </w:r>
    </w:p>
    <w:p>
      <w:pPr>
        <w:numPr>
          <w:ilvl w:val="0"/>
          <w:numId w:val="10"/>
        </w:numPr>
        <w:spacing w:lineRule="auto" w:line="360" w:before="0" w:after="0"/>
        <w:ind w:firstLine="0"/>
        <w:jc w:val="both"/>
      </w:pPr>
      <w:r>
        <w:rPr>
          <w:rFonts w:ascii="Times New Roman" w:hAnsi="Times New Roman" w:eastAsia="宋体"/>
          <w:b w:val="0"/>
          <w:i w:val="0"/>
          <w:sz w:val="24"/>
        </w:rPr>
        <w:t>研究目标</w:t>
      </w:r>
    </w:p>
    <w:p>
      <w:pPr>
        <w:numPr>
          <w:ilvl w:val="0"/>
          <w:numId w:val="10"/>
        </w:numPr>
        <w:spacing w:lineRule="auto" w:line="360" w:before="0" w:after="0"/>
        <w:ind w:firstLine="0"/>
        <w:jc w:val="both"/>
      </w:pPr>
      <w:r>
        <w:rPr>
          <w:rFonts w:ascii="Times New Roman" w:hAnsi="Times New Roman" w:eastAsia="宋体"/>
          <w:b w:val="0"/>
          <w:i w:val="0"/>
          <w:sz w:val="24"/>
        </w:rPr>
        <w:t>研究内容</w:t>
      </w:r>
    </w:p>
    <w:p>
      <w:pPr>
        <w:numPr>
          <w:ilvl w:val="1"/>
          <w:numId w:val="10"/>
        </w:numPr>
        <w:spacing w:lineRule="auto" w:line="360" w:before="0" w:after="0"/>
        <w:ind w:firstLine="0"/>
        <w:jc w:val="both"/>
      </w:pPr>
      <w:r>
        <w:rPr>
          <w:rFonts w:ascii="Times New Roman" w:hAnsi="Times New Roman" w:eastAsia="宋体"/>
          <w:b w:val="0"/>
          <w:i w:val="0"/>
          <w:sz w:val="24"/>
        </w:rPr>
        <w:t>理论基础分析</w:t>
      </w:r>
    </w:p>
    <w:p>
      <w:pPr>
        <w:numPr>
          <w:ilvl w:val="1"/>
          <w:numId w:val="10"/>
        </w:numPr>
        <w:spacing w:lineRule="auto" w:line="360" w:before="0" w:after="0"/>
        <w:ind w:firstLine="0"/>
        <w:jc w:val="both"/>
      </w:pPr>
      <w:r>
        <w:rPr>
          <w:rFonts w:ascii="Times New Roman" w:hAnsi="Times New Roman" w:eastAsia="宋体"/>
          <w:b w:val="0"/>
          <w:i w:val="0"/>
          <w:sz w:val="24"/>
        </w:rPr>
        <w:t>实验方案设计</w:t>
      </w:r>
    </w:p>
    <w:p>
      <w:pPr>
        <w:numPr>
          <w:ilvl w:val="1"/>
          <w:numId w:val="10"/>
        </w:numPr>
        <w:spacing w:lineRule="auto" w:line="360" w:before="0" w:after="0"/>
        <w:ind w:firstLine="0"/>
        <w:jc w:val="both"/>
      </w:pPr>
      <w:r>
        <w:rPr>
          <w:rFonts w:ascii="Times New Roman" w:hAnsi="Times New Roman" w:eastAsia="宋体"/>
          <w:b w:val="0"/>
          <w:i w:val="0"/>
          <w:sz w:val="24"/>
        </w:rPr>
        <w:t>结果验证与讨论</w:t>
      </w:r>
    </w:p>
    <w:p>
      <w:pPr>
        <w:numPr>
          <w:ilvl w:val="0"/>
          <w:numId w:val="10"/>
        </w:numPr>
        <w:spacing w:lineRule="auto" w:line="360" w:before="0" w:after="0"/>
        <w:ind w:firstLine="0"/>
        <w:jc w:val="both"/>
      </w:pPr>
      <w:r>
        <w:rPr>
          <w:rFonts w:ascii="Times New Roman" w:hAnsi="Times New Roman" w:eastAsia="宋体"/>
          <w:b w:val="0"/>
          <w:i w:val="0"/>
          <w:sz w:val="24"/>
        </w:rPr>
        <w:t>研究方法</w:t>
      </w:r>
    </w:p>
    <w:p>
      <w:pPr>
        <w:spacing w:lineRule="auto" w:line="360" w:before="0" w:after="0"/>
        <w:ind w:firstLine="480"/>
        <w:jc w:val="both"/>
      </w:pPr>
      <w:r>
        <w:rPr>
          <w:rFonts w:ascii="Times New Roman" w:hAnsi="Times New Roman" w:eastAsia="宋体"/>
          <w:b w:val="0"/>
          <w:i w:val="0"/>
          <w:sz w:val="24"/>
        </w:rPr>
        <w:t>以上编号展示了多级列表的嵌套效果。一级编号使用阿拉伯数字加句点，二级编号使用中文括号包裹的阿拉伯数字。</w:t>
      </w:r>
    </w:p>
    <w:p>
      <w:pPr>
        <w:pStyle w:val="Heading1"/>
        <w:spacing w:before="480" w:after="360"/>
        <w:jc w:val="center"/>
      </w:pPr>
      <w:r>
        <w:rPr>
          <w:rFonts w:ascii="Times New Roman" w:hAnsi="Times New Roman" w:eastAsia="黑体"/>
          <w:b/>
          <w:i w:val="0"/>
          <w:color w:val="000000"/>
          <w:sz w:val="32"/>
        </w:rPr>
        <w:t>第二章 实验设计</w:t>
      </w:r>
    </w:p>
    <w:p>
      <w:pPr>
        <w:pStyle w:val="Heading2"/>
        <w:spacing w:before="260" w:after="260"/>
        <w:jc w:val="left"/>
      </w:pPr>
      <w:r>
        <w:rPr>
          <w:rFonts w:ascii="Times New Roman" w:hAnsi="Times New Roman" w:eastAsia="黑体"/>
          <w:b/>
          <w:i w:val="0"/>
          <w:color w:val="000000"/>
          <w:sz w:val="30"/>
        </w:rPr>
        <w:t>2.1 实验环境</w:t>
      </w:r>
    </w:p>
    <w:p>
      <w:pPr>
        <w:spacing w:lineRule="auto" w:line="360" w:before="0" w:after="0"/>
        <w:ind w:firstLine="480"/>
        <w:jc w:val="both"/>
      </w:pPr>
      <w:r>
        <w:rPr>
          <w:rFonts w:ascii="Times New Roman" w:hAnsi="Times New Roman" w:eastAsia="宋体"/>
          <w:b w:val="0"/>
          <w:i w:val="0"/>
          <w:sz w:val="24"/>
        </w:rPr>
        <w:t>实验在以下环境中进行：操作系统为Ubuntu 22.04，GPU为NVIDIA A100，深度学习框架为PyTorch 2.0。</w:t>
      </w:r>
    </w:p>
    <w:p>
      <w:pPr>
        <w:numPr>
          <w:ilvl w:val="0"/>
          <w:numId w:val="12"/>
        </w:numPr>
        <w:spacing w:lineRule="auto" w:line="360" w:before="0" w:after="0"/>
        <w:ind w:firstLine="0"/>
        <w:jc w:val="both"/>
      </w:pPr>
      <w:r>
        <w:rPr>
          <w:rFonts w:ascii="Times New Roman" w:hAnsi="Times New Roman" w:eastAsia="宋体"/>
          <w:b w:val="0"/>
          <w:i w:val="0"/>
          <w:sz w:val="24"/>
        </w:rPr>
        <w:t>数据集选择</w:t>
      </w:r>
    </w:p>
    <w:p>
      <w:pPr>
        <w:numPr>
          <w:ilvl w:val="0"/>
          <w:numId w:val="12"/>
        </w:numPr>
        <w:spacing w:lineRule="auto" w:line="360" w:before="0" w:after="0"/>
        <w:ind w:firstLine="0"/>
        <w:jc w:val="both"/>
      </w:pPr>
      <w:r>
        <w:rPr>
          <w:rFonts w:ascii="Times New Roman" w:hAnsi="Times New Roman" w:eastAsia="宋体"/>
          <w:b w:val="0"/>
          <w:i w:val="0"/>
          <w:sz w:val="24"/>
        </w:rPr>
        <w:t>数据预处理</w:t>
      </w:r>
    </w:p>
    <w:p>
      <w:pPr>
        <w:numPr>
          <w:ilvl w:val="1"/>
          <w:numId w:val="12"/>
        </w:numPr>
        <w:spacing w:lineRule="auto" w:line="360" w:before="0" w:after="0"/>
        <w:ind w:firstLine="0"/>
        <w:jc w:val="both"/>
      </w:pPr>
      <w:r>
        <w:rPr>
          <w:rFonts w:ascii="Times New Roman" w:hAnsi="Times New Roman" w:eastAsia="宋体"/>
          <w:b w:val="0"/>
          <w:i w:val="0"/>
          <w:sz w:val="24"/>
        </w:rPr>
        <w:t>分词与清洗</w:t>
      </w:r>
    </w:p>
    <w:p>
      <w:pPr>
        <w:numPr>
          <w:ilvl w:val="1"/>
          <w:numId w:val="12"/>
        </w:numPr>
        <w:spacing w:lineRule="auto" w:line="360" w:before="0" w:after="0"/>
        <w:ind w:firstLine="0"/>
        <w:jc w:val="both"/>
      </w:pPr>
      <w:r>
        <w:rPr>
          <w:rFonts w:ascii="Times New Roman" w:hAnsi="Times New Roman" w:eastAsia="宋体"/>
          <w:b w:val="0"/>
          <w:i w:val="0"/>
          <w:sz w:val="24"/>
        </w:rPr>
        <w:t>特征提取</w:t>
      </w:r>
    </w:p>
    <w:p>
      <w:pPr>
        <w:numPr>
          <w:ilvl w:val="0"/>
          <w:numId w:val="12"/>
        </w:numPr>
        <w:spacing w:lineRule="auto" w:line="360" w:before="0" w:after="0"/>
        <w:ind w:firstLine="0"/>
        <w:jc w:val="both"/>
      </w:pPr>
      <w:r>
        <w:rPr>
          <w:rFonts w:ascii="Times New Roman" w:hAnsi="Times New Roman" w:eastAsia="宋体"/>
          <w:b w:val="0"/>
          <w:i w:val="0"/>
          <w:sz w:val="24"/>
        </w:rPr>
        <w:t>模型训练</w:t>
      </w:r>
    </w:p>
    <w:p>
      <w:pPr>
        <w:spacing w:lineRule="auto" w:line="360" w:before="0" w:after="0"/>
        <w:ind w:firstLine="480"/>
        <w:jc w:val="center"/>
      </w:pPr>
      <w:r>
        <w:rPr>
          <w:rFonts w:ascii="Times New Roman" w:hAnsi="Times New Roman" w:eastAsia="宋体"/>
          <w:b w:val="0"/>
          <w:i w:val="0"/>
          <w:sz w:val="21"/>
        </w:rPr>
        <w:t>表 2-1 展示了实验所用的数据集统计信息。</w:t>
      </w:r>
    </w:p>
    <w:p>
      <w:pPr>
        <w:pStyle w:val="Heading2"/>
        <w:spacing w:before="260" w:after="260"/>
        <w:jc w:val="left"/>
      </w:pPr>
      <w:r>
        <w:rPr>
          <w:rFonts w:ascii="Times New Roman" w:hAnsi="Times New Roman" w:eastAsia="黑体"/>
          <w:b/>
          <w:i w:val="0"/>
          <w:color w:val="000000"/>
          <w:sz w:val="30"/>
        </w:rPr>
        <w:t>2.2 实验结果</w:t>
      </w:r>
    </w:p>
    <w:p>
      <w:pPr>
        <w:spacing w:lineRule="auto" w:line="360" w:before="0" w:after="0"/>
        <w:ind w:firstLine="480"/>
        <w:jc w:val="center"/>
      </w:pPr>
      <w:r>
        <w:rPr>
          <w:rFonts w:ascii="Times New Roman" w:hAnsi="Times New Roman" w:eastAsia="宋体"/>
          <w:b w:val="0"/>
          <w:i w:val="0"/>
          <w:sz w:val="21"/>
        </w:rPr>
        <w:t>表 2-2 不同模型的分类性能对比如下所示。</w:t>
      </w:r>
    </w:p>
    <w:p>
      <w:pPr>
        <w:spacing w:lineRule="auto" w:line="360" w:before="0" w:after="0"/>
        <w:ind w:firstLine="480"/>
        <w:jc w:val="center"/>
      </w:pPr>
      <w:r>
        <w:rPr>
          <w:rFonts w:ascii="Times New Roman" w:hAnsi="Times New Roman" w:eastAsia="宋体"/>
          <w:b w:val="0"/>
          <w:i w:val="0"/>
          <w:sz w:val="21"/>
        </w:rPr>
        <w:t>图 2-1 展示了训练过程中损失函数的变化曲线。</w:t>
      </w:r>
    </w:p>
    <w:p>
      <w:pPr>
        <w:pStyle w:val="Heading1"/>
        <w:spacing w:before="480" w:after="360"/>
        <w:jc w:val="center"/>
      </w:pPr>
      <w:r>
        <w:rPr>
          <w:rFonts w:ascii="Times New Roman" w:hAnsi="Times New Roman" w:eastAsia="黑体"/>
          <w:b/>
          <w:i w:val="0"/>
          <w:color w:val="000000"/>
          <w:sz w:val="32"/>
        </w:rPr>
        <w:t>第三章 参考文献引用示例</w:t>
      </w:r>
    </w:p>
    <w:p>
      <w:pPr>
        <w:spacing w:lineRule="auto" w:line="360" w:before="0" w:after="0"/>
        <w:ind w:firstLine="480"/>
        <w:jc w:val="both"/>
      </w:pPr>
      <w:r>
        <w:rPr>
          <w:rFonts w:ascii="Times New Roman" w:hAnsi="Times New Roman" w:eastAsia="宋体"/>
          <w:b w:val="0"/>
          <w:i w:val="0"/>
          <w:sz w:val="24"/>
        </w:rPr>
        <w:t>本研究的理论基础来源于以下文献，这些工作为本文的方法设计提供了重要参考。</w:t>
      </w:r>
    </w:p>
    <w:p>
      <w:pPr>
        <w:numPr>
          <w:ilvl w:val="0"/>
          <w:numId w:val="15"/>
        </w:numPr>
        <w:spacing w:lineRule="auto" w:line="360" w:before="0" w:after="0"/>
        <w:ind w:firstLine="0"/>
        <w:jc w:val="both"/>
      </w:pPr>
      <w:r>
        <w:rPr>
          <w:rFonts w:ascii="Times New Roman" w:hAnsi="Times New Roman" w:eastAsia="宋体"/>
          <w:b w:val="0"/>
          <w:i w:val="0"/>
          <w:sz w:val="24"/>
        </w:rPr>
        <w:t>Devlin J, Chang M W, Lee K, et al. BERT: Pre-training of deep bidirectional transformers for language understanding[C]. NAACL, 2019.</w:t>
      </w:r>
    </w:p>
    <w:p>
      <w:pPr>
        <w:numPr>
          <w:ilvl w:val="0"/>
          <w:numId w:val="15"/>
        </w:numPr>
        <w:spacing w:lineRule="auto" w:line="360" w:before="0" w:after="0"/>
        <w:ind w:firstLine="0"/>
        <w:jc w:val="both"/>
      </w:pPr>
      <w:r>
        <w:rPr>
          <w:rFonts w:ascii="Times New Roman" w:hAnsi="Times New Roman" w:eastAsia="宋体"/>
          <w:b w:val="0"/>
          <w:i w:val="0"/>
          <w:sz w:val="24"/>
        </w:rPr>
        <w:t>Vaswani A, Shazeer N, Parmar N, et al. Attention is all you need[C]. NeurIPS, 2017.</w:t>
      </w:r>
    </w:p>
    <w:p>
      <w:pPr>
        <w:numPr>
          <w:ilvl w:val="0"/>
          <w:numId w:val="15"/>
        </w:numPr>
        <w:spacing w:lineRule="auto" w:line="360" w:before="0" w:after="0"/>
        <w:ind w:firstLine="0"/>
        <w:jc w:val="both"/>
      </w:pPr>
      <w:r>
        <w:rPr>
          <w:rFonts w:ascii="Times New Roman" w:hAnsi="Times New Roman" w:eastAsia="宋体"/>
          <w:b w:val="0"/>
          <w:i w:val="0"/>
          <w:sz w:val="24"/>
        </w:rPr>
        <w:t>刘知远, 孙茂松. 表示学习与深度学习[J]. 中文信息学报, 2020, 34(3): 1-12.</w:t>
      </w:r>
    </w:p>
    <w:p>
      <w:pPr>
        <w:numPr>
          <w:ilvl w:val="0"/>
          <w:numId w:val="15"/>
        </w:numPr>
        <w:spacing w:lineRule="auto" w:line="360" w:before="0" w:after="0"/>
        <w:ind w:firstLine="0"/>
        <w:jc w:val="both"/>
      </w:pPr>
      <w:r>
        <w:rPr>
          <w:rFonts w:ascii="Times New Roman" w:hAnsi="Times New Roman" w:eastAsia="宋体"/>
          <w:b w:val="0"/>
          <w:i w:val="0"/>
          <w:sz w:val="24"/>
        </w:rPr>
        <w:t>邱锡鹏. 神经网络与深度学习[M]. 北京: 机械工业出版社, 2020.</w:t>
      </w:r>
    </w:p>
    <w:p>
      <w:pPr>
        <w:pStyle w:val="Heading1"/>
        <w:spacing w:before="480" w:after="360"/>
        <w:jc w:val="center"/>
      </w:pPr>
      <w:r>
        <w:rPr>
          <w:rFonts w:ascii="Times New Roman" w:hAnsi="Times New Roman" w:eastAsia="黑体"/>
          <w:b/>
          <w:i w:val="0"/>
          <w:color w:val="000000"/>
          <w:sz w:val="32"/>
        </w:rPr>
        <w:t>第四章 结论与展望</w:t>
      </w:r>
    </w:p>
    <w:p>
      <w:pPr>
        <w:spacing w:lineRule="auto" w:line="360" w:before="0" w:after="0"/>
        <w:ind w:firstLine="480"/>
        <w:jc w:val="both"/>
      </w:pPr>
      <w:r>
        <w:rPr>
          <w:rFonts w:ascii="Times New Roman" w:hAnsi="Times New Roman" w:eastAsia="宋体"/>
          <w:b w:val="0"/>
          <w:i w:val="0"/>
          <w:sz w:val="24"/>
        </w:rPr>
        <w:t>本文针对中文文本分类任务，提出了一种基于预训练模型的改进方法。主要贡献包括以下几个方面：</w:t>
      </w:r>
    </w:p>
    <w:p>
      <w:pPr>
        <w:numPr>
          <w:ilvl w:val="0"/>
          <w:numId w:val="16"/>
        </w:numPr>
        <w:spacing w:lineRule="auto" w:line="360" w:before="0" w:after="0"/>
        <w:ind w:firstLine="0"/>
        <w:jc w:val="both"/>
      </w:pPr>
      <w:r>
        <w:rPr>
          <w:rFonts w:ascii="Times New Roman" w:hAnsi="Times New Roman" w:eastAsia="宋体"/>
          <w:b w:val="0"/>
          <w:i w:val="0"/>
          <w:sz w:val="24"/>
        </w:rPr>
        <w:t>提出了融合语义特征的改进模型架构</w:t>
      </w:r>
    </w:p>
    <w:p>
      <w:pPr>
        <w:numPr>
          <w:ilvl w:val="0"/>
          <w:numId w:val="16"/>
        </w:numPr>
        <w:spacing w:lineRule="auto" w:line="360" w:before="0" w:after="0"/>
        <w:ind w:firstLine="0"/>
        <w:jc w:val="both"/>
      </w:pPr>
      <w:r>
        <w:rPr>
          <w:rFonts w:ascii="Times New Roman" w:hAnsi="Times New Roman" w:eastAsia="宋体"/>
          <w:b w:val="0"/>
          <w:i w:val="0"/>
          <w:sz w:val="24"/>
        </w:rPr>
        <w:t>构建了面向特定领域的大规模标注语料库</w:t>
      </w:r>
    </w:p>
    <w:p>
      <w:pPr>
        <w:numPr>
          <w:ilvl w:val="1"/>
          <w:numId w:val="16"/>
        </w:numPr>
        <w:spacing w:lineRule="auto" w:line="360" w:before="0" w:after="0"/>
        <w:ind w:firstLine="0"/>
        <w:jc w:val="both"/>
      </w:pPr>
      <w:r>
        <w:rPr>
          <w:rFonts w:ascii="Times New Roman" w:hAnsi="Times New Roman" w:eastAsia="宋体"/>
          <w:b w:val="0"/>
          <w:i w:val="0"/>
          <w:sz w:val="24"/>
        </w:rPr>
        <w:t>语料采集与清洗</w:t>
      </w:r>
    </w:p>
    <w:p>
      <w:pPr>
        <w:numPr>
          <w:ilvl w:val="1"/>
          <w:numId w:val="16"/>
        </w:numPr>
        <w:spacing w:lineRule="auto" w:line="360" w:before="0" w:after="0"/>
        <w:ind w:firstLine="0"/>
        <w:jc w:val="both"/>
      </w:pPr>
      <w:r>
        <w:rPr>
          <w:rFonts w:ascii="Times New Roman" w:hAnsi="Times New Roman" w:eastAsia="宋体"/>
          <w:b w:val="0"/>
          <w:i w:val="0"/>
          <w:sz w:val="24"/>
        </w:rPr>
        <w:t>标注规范制定</w:t>
      </w:r>
    </w:p>
    <w:p>
      <w:pPr>
        <w:numPr>
          <w:ilvl w:val="1"/>
          <w:numId w:val="16"/>
        </w:numPr>
        <w:spacing w:lineRule="auto" w:line="360" w:before="0" w:after="0"/>
        <w:ind w:firstLine="0"/>
        <w:jc w:val="both"/>
      </w:pPr>
      <w:r>
        <w:rPr>
          <w:rFonts w:ascii="Times New Roman" w:hAnsi="Times New Roman" w:eastAsia="宋体"/>
          <w:b w:val="0"/>
          <w:i w:val="0"/>
          <w:sz w:val="24"/>
        </w:rPr>
        <w:t>质量抽检与校对</w:t>
      </w:r>
    </w:p>
    <w:p>
      <w:pPr>
        <w:numPr>
          <w:ilvl w:val="0"/>
          <w:numId w:val="16"/>
        </w:numPr>
        <w:spacing w:lineRule="auto" w:line="360" w:before="0" w:after="0"/>
        <w:ind w:firstLine="0"/>
        <w:jc w:val="both"/>
      </w:pPr>
      <w:r>
        <w:rPr>
          <w:rFonts w:ascii="Times New Roman" w:hAnsi="Times New Roman" w:eastAsia="宋体"/>
          <w:b w:val="0"/>
          <w:i w:val="0"/>
          <w:sz w:val="24"/>
        </w:rPr>
        <w:t>在多个基准数据集上进行了充分的实验验证</w:t>
      </w:r>
    </w:p>
    <w:p>
      <w:pPr>
        <w:spacing w:lineRule="auto" w:line="360" w:before="0" w:after="0"/>
        <w:ind w:firstLine="480"/>
        <w:jc w:val="both"/>
      </w:pPr>
      <w:r>
        <w:rPr>
          <w:rFonts w:ascii="Times New Roman" w:hAnsi="Times New Roman" w:eastAsia="宋体"/>
          <w:b w:val="0"/>
          <w:i w:val="0"/>
          <w:sz w:val="24"/>
        </w:rPr>
        <w:t>未来工作将聚焦于模型轻量化和跨领域迁移能力的提升，以期在更多实际场景中推广应用。</w:t>
      </w:r>
    </w:p>
    <w:p>
      <w:pPr>
        <w:pStyle w:val="Heading1"/>
        <w:spacing w:before="480" w:after="360"/>
        <w:jc w:val="center"/>
      </w:pPr>
      <w:r>
        <w:rPr>
          <w:rFonts w:ascii="Times New Roman" w:hAnsi="Times New Roman" w:eastAsia="黑体"/>
          <w:b/>
          <w:i w:val="0"/>
          <w:color w:val="000000"/>
          <w:sz w:val="32"/>
        </w:rPr>
        <w:t>致  谢</w:t>
      </w:r>
    </w:p>
    <w:p>
      <w:pPr>
        <w:spacing w:lineRule="auto" w:line="360" w:before="0" w:after="0"/>
        <w:ind w:firstLine="480"/>
        <w:jc w:val="both"/>
      </w:pPr>
      <w:r>
        <w:rPr>
          <w:rFonts w:ascii="Times New Roman" w:hAnsi="Times New Roman" w:eastAsia="宋体"/>
          <w:b w:val="0"/>
          <w:i w:val="0"/>
          <w:sz w:val="24"/>
        </w:rPr>
        <w:t>衷心感谢导师在研究过程中给予的悉心指导和帮助，感谢实验室各位同学的支持与鼓励。</w:t>
      </w:r>
    </w:p>
    <w:sectPr w:rsidR="00FC693F" w:rsidRPr="0006063C" w:rsidSect="00034616">
      <w:headerReference w:type="default" r:id="rId9"/>
      <w:footerReference w:type="default" r:id="rId10"/>
      <w:pgSz w:w="12240" w:h="15840"/>
      <w:pgMar w:top="1440" w:right="1797" w:bottom="1440" w:left="179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b w:val="0"/>
        <w:i w:val="0"/>
        <w:sz w:val="18"/>
      </w:rPr>
      <w:t>毕业论文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5">
    <w:lvl w:ilvl="0" w:tentative="1">
      <w:start w:val="1"/>
      <w:numFmt w:val="decimal"/>
      <w:lvlText w:val="%1."/>
      <w:suff w:val="space"/>
      <w:lvlJc w:val="left"/>
    </w:lvl>
    <w:lvl w:ilvl="1" w:tentative="1">
      <w:start w:val="1"/>
      <w:numFmt w:val="decimal"/>
      <w:lvlText w:val="（%2）"/>
      <w:suff w:val="space"/>
      <w:lvlJc w:val="left"/>
    </w:lvl>
  </w:abstractNum>
  <w:abstractNum w:abstractNumId="16">
    <w:lvl w:ilvl="0" w:tentative="1">
      <w:start w:val="1"/>
      <w:numFmt w:val="decimal"/>
      <w:lvlText w:val="[%1]"/>
      <w:suff w:val="space"/>
      <w:lvlJc w:val="left"/>
    </w:lvl>
  </w:abstractNum>
  <w:abstractNum w:abstractNumId="13">
    <w:lvl w:ilvl="0" w:tentative="1">
      <w:start w:val="1"/>
      <w:numFmt w:val="decimal"/>
      <w:lvlText w:val="%1."/>
      <w:suff w:val="space"/>
      <w:lvlJc w:val="left"/>
    </w:lvl>
    <w:lvl w:ilvl="1" w:tentative="1">
      <w:start w:val="1"/>
      <w:numFmt w:val="decimal"/>
      <w:lvlText w:val="（%2）"/>
      <w:suff w:val="space"/>
      <w:lvlJc w:val="left"/>
    </w:lvl>
  </w:abstractNum>
  <w:abstractNum w:abstractNumId="14">
    <w:lvl w:ilvl="0" w:tentative="1">
      <w:start w:val="1"/>
      <w:numFmt w:val="decimal"/>
      <w:lvlText w:val="[%1]"/>
      <w:suff w:val="space"/>
      <w:lvlJc w:val="left"/>
    </w:lvl>
  </w:abstractNum>
  <w:abstractNum w:abstractNumId="11">
    <w:lvl w:ilvl="0" w:tentative="1">
      <w:start w:val="1"/>
      <w:numFmt w:val="decimal"/>
      <w:lvlText w:val="%1."/>
      <w:suff w:val="space"/>
      <w:lvlJc w:val="left"/>
    </w:lvl>
    <w:lvl w:ilvl="1" w:tentative="1">
      <w:start w:val="1"/>
      <w:numFmt w:val="decimal"/>
      <w:lvlText w:val="（%2）"/>
      <w:suff w:val="space"/>
      <w:lvlJc w:val="left"/>
    </w:lvl>
  </w:abstractNum>
  <w:abstractNum w:abstractNumId="12">
    <w:lvl w:ilvl="0" w:tentative="1">
      <w:start w:val="1"/>
      <w:numFmt w:val="decimal"/>
      <w:lvlText w:val="[%1]"/>
      <w:suff w:val="space"/>
      <w:lvlJc w:val="left"/>
    </w:lvl>
  </w:abstractNum>
  <w:abstractNum w:abstractNumId="9">
    <w:lvl w:ilvl="0" w:tentative="1">
      <w:start w:val="1"/>
      <w:numFmt w:val="decimal"/>
      <w:lvlText w:val="%1."/>
      <w:suff w:val="space"/>
      <w:lvlJc w:val="left"/>
    </w:lvl>
    <w:lvl w:ilvl="1" w:tentative="1">
      <w:start w:val="1"/>
      <w:numFmt w:val="decimal"/>
      <w:lvlText w:val="（%2）"/>
      <w:suff w:val="space"/>
      <w:lvlJc w:val="left"/>
    </w:lvl>
  </w:abstractNum>
  <w:abstractNum w:abstractNumId="10">
    <w:lvl w:ilvl="0" w:tentative="1">
      <w:start w:val="1"/>
      <w:numFmt w:val="decimal"/>
      <w:lvlText w:val="[%1]"/>
      <w:suff w:val="space"/>
      <w:lvlJc w:val="left"/>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360"/>
      <w:jc w:val="center"/>
      <w:outlineLvl w:val="0"/>
    </w:pPr>
    <w:rPr>
      <w:rFonts w:asciiTheme="majorHAnsi" w:eastAsiaTheme="majorEastAsia" w:hAnsiTheme="majorHAnsi" w:cstheme="majorBidi" w:ascii="Times New Roman" w:hAnsi="Times New Roman"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60" w:after="260"/>
      <w:jc w:val="left"/>
      <w:outlineLvl w:val="1"/>
    </w:pPr>
    <w:rPr>
      <w:rFonts w:asciiTheme="majorHAnsi" w:eastAsiaTheme="majorEastAsia" w:hAnsiTheme="majorHAnsi" w:cstheme="majorBidi" w:ascii="Times New Roman" w:hAnsi="Times New Roman" w:eastAsia="黑体"/>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60" w:after="260"/>
      <w:jc w:val="left"/>
      <w:outlineLvl w:val="2"/>
    </w:pPr>
    <w:rPr>
      <w:rFonts w:asciiTheme="majorHAnsi" w:eastAsiaTheme="majorEastAsia" w:hAnsiTheme="majorHAnsi" w:cstheme="majorBidi" w:ascii="Times New Roman" w:hAnsi="Times New Roman" w:eastAsia="黑体"/>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