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第一章 理论基础</w:t>
      </w:r>
    </w:p>
    <w:p>
      <w:r>
        <w:rPr>
          <w:rFonts w:ascii="Times New Roman" w:hAnsi="Times New Roman" w:eastAsia="宋体"/>
          <w:b w:val="0"/>
          <w:i w:val="0"/>
          <w:sz w:val="24"/>
        </w:rPr>
        <w:t>本章介绍基本理论。如</w:t>
      </w:r>
      <w:r>
        <w:fldChar w:fldCharType="begin"/>
      </w:r>
      <w:r>
        <w:instrText xml:space="preserve"> REF _fig_theory \h </w:instrText>
      </w:r>
      <w:r>
        <w:fldChar w:fldCharType="separate"/>
      </w:r>
      <w:r>
        <w:rPr>
          <w:rFonts w:ascii="Times New Roman" w:hAnsi="Times New Roman" w:eastAsia="宋体"/>
        </w:rPr>
        <w:t>图 1-1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所示，系统架构分为三层。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3" w:name="_fig_theory"/>
      <w:r>
        <w:rPr>
          <w:rFonts w:ascii="Times New Roman" w:hAnsi="Times New Roman" w:eastAsia="宋体"/>
          <w:b w:val="0"/>
          <w:i w:val="0"/>
          <w:sz w:val="21"/>
        </w:rPr>
        <w:t>图 1-1 理论框架</w:t>
      </w:r>
      <w:bookmarkEnd w:id="3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爱因斯坦质能方程如下。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E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m</m:t>
              <m:rPr>
                <m:rFonts m:ascii="Times New Roman" m:hAnsi="Times New Roman"/>
              </m:rPr>
            </m:r>
            <m:sSup>
              <m:e>
                <m:r>
                  <m:t>c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</m:e>
        </m:box>
      </m:oMath>
      <w:r>
        <w:tab/>
      </w:r>
      <w:bookmarkStart w:id="5" w:name="_formula_emc2"/>
      <w:r>
        <w:rPr>
          <w:rFonts w:ascii="Times New Roman" w:hAnsi="Times New Roman" w:eastAsia="宋体"/>
        </w:rPr>
        <w:t>(1-1)</w:t>
      </w:r>
      <w:bookmarkEnd w:id="5"/>
    </w:p>
    <w:p>
      <w:r>
        <w:rPr>
          <w:rFonts w:ascii="Times New Roman" w:hAnsi="Times New Roman" w:eastAsia="宋体"/>
          <w:b w:val="0"/>
          <w:i w:val="0"/>
          <w:sz w:val="24"/>
        </w:rPr>
        <w:t>由公式</w:t>
      </w:r>
      <w:r>
        <w:fldChar w:fldCharType="begin"/>
      </w:r>
      <w:r>
        <w:instrText xml:space="preserve"> REF _formula_emc2 \h </w:instrText>
      </w:r>
      <w:r>
        <w:fldChar w:fldCharType="separate"/>
      </w:r>
      <w:r>
        <w:rPr>
          <w:rFonts w:ascii="Times New Roman" w:hAnsi="Times New Roman" w:eastAsia="宋体"/>
        </w:rPr>
        <w:t>(1-1)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可得，能量与质量成正比。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第二章 实验设计</w:t>
      </w:r>
    </w:p>
    <w:p>
      <w:r>
        <w:rPr>
          <w:rFonts w:ascii="Times New Roman" w:hAnsi="Times New Roman" w:eastAsia="宋体"/>
          <w:b w:val="0"/>
          <w:i w:val="0"/>
          <w:sz w:val="24"/>
        </w:rPr>
        <w:t>实验结果见</w:t>
      </w:r>
      <w:r>
        <w:fldChar w:fldCharType="begin"/>
      </w:r>
      <w:r>
        <w:instrText xml:space="preserve"> REF _fig_result \h </w:instrText>
      </w:r>
      <w:r>
        <w:fldChar w:fldCharType="separate"/>
      </w:r>
      <w:r>
        <w:rPr>
          <w:rFonts w:ascii="Times New Roman" w:hAnsi="Times New Roman" w:eastAsia="宋体"/>
        </w:rPr>
        <w:t>图 2-1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4" w:name="_fig_result"/>
      <w:r>
        <w:rPr>
          <w:rFonts w:ascii="Times New Roman" w:hAnsi="Times New Roman" w:eastAsia="宋体"/>
          <w:b w:val="0"/>
          <w:i w:val="0"/>
          <w:sz w:val="21"/>
        </w:rPr>
        <w:t>图 2-1 实验结果</w:t>
      </w:r>
      <w:bookmarkEnd w:id="4"/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f>
              <m:num>
                <m:box>
                  <m:e>
                    <m:r>
                      <m:t>−</m:t>
                      <m:rPr>
                        <m:rFonts m:ascii="Times New Roman" m:hAnsi="Times New Roman"/>
                      </m:rPr>
                    </m:r>
                    <m:r>
                      <m:t>b</m:t>
                      <m:rPr>
                        <m:rFonts m:ascii="Times New Roman" m:hAnsi="Times New Roman"/>
                      </m:rPr>
                    </m:r>
                    <m:r>
                      <m:t>±</m:t>
                      <m:rPr>
                        <m:rFonts m:ascii="Times New Roman" m:hAnsi="Times New Roman"/>
                      </m:rPr>
                    </m:r>
                    <m:rad>
                      <m:e>
                        <m:box>
                          <m:e>
                            <m:box>
                              <m:e>
                                <m:sSup>
                                  <m:e>
                                    <m:r>
                                      <m:t>b</m:t>
                                      <m:rPr>
                                        <m:rFonts m:ascii="Times New Roman" m:hAnsi="Times New Roman"/>
                                      </m:rPr>
                                    </m:r>
                                  </m:e>
                                  <m:sup>
                                    <m:r>
                                      <m:t>2</m:t>
                                      <m:rPr>
                                        <m:rFonts m:ascii="Times New Roman" m:hAnsi="Times New Roman"/>
                                      </m:rPr>
                                    </m:r>
                                  </m:sup>
                                </m:sSup>
                                <m:r>
                                  <m:t>−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4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a</m:t>
                                  <m:rPr>
                                    <m:rFonts m:ascii="Times New Roman" m:hAnsi="Times New Roman"/>
                                  </m:rPr>
                                </m:r>
                                <m:r>
                                  <m:t>c</m:t>
                                  <m:rPr>
                                    <m:rFonts m:ascii="Times New Roman" m:hAnsi="Times New Roman"/>
                                  </m:rPr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t>2</m:t>
                      <m:rPr>
                        <m:rFonts m:ascii="Times New Roman" m:hAnsi="Times New Roman"/>
                      </m:rPr>
                    </m:r>
                    <m:r>
                      <m:t>a</m:t>
                      <m:rPr>
                        <m:rFonts m:ascii="Times New Roman" m:hAnsi="Times New Roman"/>
                      </m:rPr>
                    </m:r>
                  </m:e>
                </m:box>
              </m:den>
            </m:f>
          </m:e>
        </m:box>
      </m:oMath>
      <w:r>
        <w:tab/>
      </w:r>
      <w:bookmarkStart w:id="6" w:name="_formula_quad"/>
      <w:r>
        <w:rPr>
          <w:rFonts w:ascii="Times New Roman" w:hAnsi="Times New Roman" w:eastAsia="宋体"/>
        </w:rPr>
        <w:t>(2-1)</w:t>
      </w:r>
      <w:bookmarkEnd w:id="6"/>
    </w:p>
    <w:p>
      <w:r>
        <w:rPr>
          <w:rFonts w:ascii="Times New Roman" w:hAnsi="Times New Roman" w:eastAsia="宋体"/>
          <w:b w:val="0"/>
          <w:i w:val="0"/>
          <w:sz w:val="24"/>
        </w:rPr>
        <w:t>根据研究</w:t>
      </w:r>
      <w:r>
        <w:fldChar w:fldCharType="begin"/>
      </w:r>
      <w:r>
        <w:instrText xml:space="preserve"> REF _ref_smith \h </w:instrText>
      </w:r>
      <w:r>
        <w:fldChar w:fldCharType="separate"/>
      </w:r>
      <w:r>
        <w:rPr>
          <w:rFonts w:ascii="Times New Roman" w:hAnsi="Times New Roman" w:eastAsia="宋体"/>
          <w:vertAlign w:val="superscript"/>
        </w:rPr>
        <w:t>[1]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和</w:t>
      </w:r>
      <w:r>
        <w:fldChar w:fldCharType="begin"/>
      </w:r>
      <w:r>
        <w:instrText xml:space="preserve"> REF _ref_zhang \h </w:instrText>
      </w:r>
      <w:r>
        <w:fldChar w:fldCharType="separate"/>
      </w:r>
      <w:r>
        <w:rPr>
          <w:rFonts w:ascii="Times New Roman" w:hAnsi="Times New Roman" w:eastAsia="宋体"/>
          <w:vertAlign w:val="superscript"/>
        </w:rPr>
        <w:t>[2]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，实验数据与理论吻合。</w:t>
      </w:r>
    </w:p>
    <w:p>
      <w:pPr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参考文献</w:t>
      </w:r>
    </w:p>
    <w:p>
      <w:pPr>
        <w:ind w:left="420" w:firstLine="0"/>
        <w:jc w:val="left"/>
      </w:pPr>
      <w:bookmarkStart w:id="1" w:name="_ref_smith"/>
      <w:r>
        <w:rPr>
          <w:rFonts w:ascii="Times New Roman" w:hAnsi="Times New Roman" w:eastAsia="宋体"/>
          <w:b w:val="0"/>
          <w:i w:val="0"/>
          <w:sz w:val="21"/>
        </w:rPr>
        <w:t>[</w:t>
      </w:r>
      <w:r>
        <w:fldChar w:fldCharType="begin"/>
      </w:r>
      <w:r>
        <w:instrText xml:space="preserve"> SEQ ref \* ARABIC </w:instrText>
      </w:r>
      <w:r>
        <w:fldChar w:fldCharType="separate"/>
      </w:r>
      <w:r>
        <w:rPr>
          <w:rFonts w:ascii="Times New Roman" w:hAnsi="Times New Roman" w:eastAsia="宋体"/>
        </w:rPr>
        <w:t>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 xml:space="preserve">] </w:t>
      </w:r>
      <w:bookmarkEnd w:id="1"/>
      <w:r>
        <w:rPr>
          <w:rFonts w:ascii="Times New Roman" w:hAnsi="Times New Roman" w:eastAsia="宋体"/>
          <w:b w:val="0"/>
          <w:i w:val="0"/>
          <w:sz w:val="21"/>
        </w:rPr>
        <w:t>Smith J. Deep Learning Applications. Nature, 2024, 12(3): 45-50.</w:t>
      </w:r>
    </w:p>
    <w:p>
      <w:pPr>
        <w:ind w:left="420" w:firstLine="0"/>
        <w:jc w:val="left"/>
      </w:pPr>
      <w:bookmarkStart w:id="2" w:name="_ref_zhang"/>
      <w:r>
        <w:rPr>
          <w:rFonts w:ascii="Times New Roman" w:hAnsi="Times New Roman" w:eastAsia="宋体"/>
          <w:b w:val="0"/>
          <w:i w:val="0"/>
          <w:sz w:val="21"/>
        </w:rPr>
        <w:t>[</w:t>
      </w:r>
      <w:r>
        <w:fldChar w:fldCharType="begin"/>
      </w:r>
      <w:r>
        <w:instrText xml:space="preserve"> SEQ ref \* ARABIC </w:instrText>
      </w:r>
      <w:r>
        <w:fldChar w:fldCharType="separate"/>
      </w:r>
      <w:r>
        <w:rPr>
          <w:rFonts w:ascii="Times New Roman" w:hAnsi="Times New Roman" w:eastAsia="宋体"/>
        </w:rPr>
        <w:t>2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 xml:space="preserve">] </w:t>
      </w:r>
      <w:bookmarkEnd w:id="2"/>
      <w:r>
        <w:rPr>
          <w:rFonts w:ascii="Times New Roman" w:hAnsi="Times New Roman" w:eastAsia="宋体"/>
          <w:b w:val="0"/>
          <w:i w:val="0"/>
          <w:sz w:val="21"/>
        </w:rPr>
        <w:t>张三. 机器学习导论[M]. 北京: 科学出版社, 2023.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</w: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sz w:val="18"/>
      </w:rPr>
      <w:t>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