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0"/>
        <w:jc w:val="center"/>
      </w:pPr>
      <w:r>
        <w:rPr>
          <w:b/>
          <w:bCs/>
          <w:color w:val="1F4E79"/>
          <w:sz w:val="56"/>
          <w:szCs w:val="56"/>
        </w:rPr>
        <w:t xml:space="preserve">QBEAST</w:t>
      </w:r>
    </w:p>
    <w:p>
      <w:pPr>
        <w:spacing w:after="500"/>
        <w:jc w:val="center"/>
      </w:pPr>
      <w:r>
        <w:rPr>
          <w:color w:val="595959"/>
          <w:sz w:val="24"/>
          <w:szCs w:val="24"/>
        </w:rPr>
        <w:t xml:space="preserve">Stock Market Crash Detection System</w:t>
      </w:r>
    </w:p>
    <w:p>
      <w:pPr>
        <w:spacing w:after="60"/>
        <w:jc w:val="center"/>
      </w:pPr>
      <w:r>
        <w:rPr>
          <w:b/>
          <w:bCs/>
          <w:color w:val="2E5F8A"/>
          <w:sz w:val="30"/>
          <w:szCs w:val="30"/>
        </w:rPr>
        <w:t xml:space="preserve">PHASE 7</w:t>
      </w:r>
    </w:p>
    <w:p>
      <w:pPr>
        <w:spacing w:after="100"/>
        <w:jc w:val="center"/>
      </w:pPr>
      <w:r>
        <w:rPr>
          <w:b/>
          <w:bCs/>
          <w:sz w:val="44"/>
          <w:szCs w:val="44"/>
        </w:rPr>
        <w:t xml:space="preserve">Retraining Comparison</w:t>
      </w:r>
    </w:p>
    <w:p>
      <w:pPr>
        <w:spacing w:after="500"/>
        <w:jc w:val="center"/>
      </w:pPr>
      <w:r>
        <w:rPr>
          <w:i/>
          <w:iCs/>
          <w:color w:val="595959"/>
          <w:sz w:val="23"/>
          <w:szCs w:val="23"/>
        </w:rPr>
        <w:t xml:space="preserve">Four rules for choosing training data, measured walk-forward</w:t>
      </w:r>
    </w:p>
    <w:p>
      <w:pPr>
        <w:spacing w:after="60"/>
        <w:jc w:val="center"/>
      </w:pPr>
      <w:r>
        <w:rPr>
          <w:b/>
          <w:bCs/>
          <w:color w:val="1E7B34"/>
          <w:sz w:val="22"/>
          <w:szCs w:val="22"/>
        </w:rPr>
        <w:t xml:space="preserve">STATUS: COMPLETE - 168 tests passing</w:t>
      </w:r>
    </w:p>
    <w:p>
      <w:pPr>
        <w:spacing w:after="50"/>
        <w:jc w:val="center"/>
      </w:pPr>
      <w:r>
        <w:rPr>
          <w:color w:val="595959"/>
          <w:sz w:val="20"/>
          <w:szCs w:val="20"/>
        </w:rPr>
        <w:t xml:space="preserve">66 monthly refits x 4 schemes, 126,728 scored symbol-days each</w:t>
      </w:r>
    </w:p>
    <w:p>
      <w:pPr>
        <w:spacing w:after="50"/>
        <w:jc w:val="center"/>
      </w:pPr>
      <w:r>
        <w:rPr>
          <w:color w:val="595959"/>
          <w:sz w:val="20"/>
          <w:szCs w:val="20"/>
        </w:rPr>
        <w:t xml:space="preserve">Spread across all four schemes: 0.2pp of drawdown</w:t>
      </w:r>
    </w:p>
    <w:p>
      <w:pPr>
        <w:spacing w:after="50"/>
        <w:jc w:val="center"/>
      </w:pPr>
      <w:r>
        <w:rPr>
          <w:color w:val="595959"/>
          <w:sz w:val="20"/>
          <w:szCs w:val="20"/>
        </w:rPr>
        <w:t xml:space="preserve">A defect in the EWMA implementation found and fixed on recheck</w:t>
      </w:r>
    </w:p>
    <w:p>
      <w:pPr>
        <w:spacing w:before="200"/>
        <w:jc w:val="center"/>
      </w:pPr>
      <w:r>
        <w:rPr>
          <w:color w:val="595959"/>
          <w:sz w:val="19"/>
          <w:szCs w:val="19"/>
        </w:rPr>
        <w:t xml:space="preserve">Generated 2026-07-26</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Why refit at all</w:t>
      </w:r>
    </w:p>
    <w:p>
      <w:pPr>
        <w:spacing w:after="130" w:line="300"/>
      </w:pPr>
      <w:r>
        <w:t xml:space="preserve">Phase 3 fitted the detector once on 2016-2020 and scored five years forward. That is not how the system would run. A live model is refitted as data arrives, and the question this phase answers is which rule for choosing that data produces the shallowest drawdown.</w:t>
      </w:r>
    </w:p>
    <w:p>
      <w:pPr>
        <w:pStyle w:val="Heading2"/>
        <w:spacing w:after="120" w:before="300"/>
      </w:pPr>
      <w:r>
        <w:t xml:space="preserve">1.1 The four schemes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200"/>
      </w:tblGrid>
      <w:tr>
        <w:trPr>
          <w:tblHeader/>
        </w:trPr>
        <w:tc>
          <w:tcPr>
            <w:tcW w:type="dxa" w:w="1700"/>
            <w:shd w:fill="1F4E79" w:val="clear"/>
            <w:tcMar>
              <w:top w:type="dxa" w:w="90"/>
              <w:left w:type="dxa" w:w="130"/>
              <w:bottom w:type="dxa" w:w="90"/>
              <w:right w:type="dxa" w:w="130"/>
            </w:tcMar>
          </w:tcPr>
          <w:p>
            <w:r>
              <w:rPr>
                <w:b/>
                <w:bCs/>
                <w:color w:val="FFFFFF"/>
                <w:sz w:val="19"/>
                <w:szCs w:val="19"/>
              </w:rPr>
              <w:t xml:space="preserve">Scheme</w:t>
            </w:r>
          </w:p>
        </w:tc>
        <w:tc>
          <w:tcPr>
            <w:tcW w:type="dxa" w:w="3100"/>
            <w:shd w:fill="1F4E79" w:val="clear"/>
            <w:tcMar>
              <w:top w:type="dxa" w:w="90"/>
              <w:left w:type="dxa" w:w="130"/>
              <w:bottom w:type="dxa" w:w="90"/>
              <w:right w:type="dxa" w:w="130"/>
            </w:tcMar>
          </w:tcPr>
          <w:p>
            <w:r>
              <w:rPr>
                <w:b/>
                <w:bCs/>
                <w:color w:val="FFFFFF"/>
                <w:sz w:val="19"/>
                <w:szCs w:val="19"/>
              </w:rPr>
              <w:t xml:space="preserve">Training set at each refit</w:t>
            </w:r>
          </w:p>
        </w:tc>
        <w:tc>
          <w:tcPr>
            <w:tcW w:type="dxa" w:w="4200"/>
            <w:shd w:fill="1F4E79" w:val="clear"/>
            <w:tcMar>
              <w:top w:type="dxa" w:w="90"/>
              <w:left w:type="dxa" w:w="130"/>
              <w:bottom w:type="dxa" w:w="90"/>
              <w:right w:type="dxa" w:w="130"/>
            </w:tcMar>
          </w:tcPr>
          <w:p>
            <w:r>
              <w:rPr>
                <w:b/>
                <w:bCs/>
                <w:color w:val="FFFFFF"/>
                <w:sz w:val="19"/>
                <w:szCs w:val="19"/>
              </w:rPr>
              <w:t xml:space="preserve">Rationale</w:t>
            </w:r>
          </w:p>
        </w:tc>
      </w:tr>
      <w:tr>
        <w:tc>
          <w:tcPr>
            <w:tcW w:type="dxa" w:w="1700"/>
            <w:shd w:fill="F5F8FB" w:val="clear"/>
            <w:tcMar>
              <w:top w:type="dxa" w:w="80"/>
              <w:left w:type="dxa" w:w="130"/>
              <w:bottom w:type="dxa" w:w="80"/>
              <w:right w:type="dxa" w:w="130"/>
            </w:tcMar>
          </w:tcPr>
          <w:p>
            <w:r>
              <w:rPr>
                <w:sz w:val="19"/>
                <w:szCs w:val="19"/>
              </w:rPr>
              <w:t xml:space="preserve">rolling</w:t>
            </w:r>
          </w:p>
        </w:tc>
        <w:tc>
          <w:tcPr>
            <w:tcW w:type="dxa" w:w="3100"/>
            <w:shd w:fill="F5F8FB" w:val="clear"/>
            <w:tcMar>
              <w:top w:type="dxa" w:w="80"/>
              <w:left w:type="dxa" w:w="130"/>
              <w:bottom w:type="dxa" w:w="80"/>
              <w:right w:type="dxa" w:w="130"/>
            </w:tcMar>
          </w:tcPr>
          <w:p>
            <w:r>
              <w:rPr>
                <w:sz w:val="19"/>
                <w:szCs w:val="19"/>
              </w:rPr>
              <w:t xml:space="preserve">Trailing 3 years</w:t>
            </w:r>
          </w:p>
        </w:tc>
        <w:tc>
          <w:tcPr>
            <w:tcW w:type="dxa" w:w="4200"/>
            <w:shd w:fill="F5F8FB" w:val="clear"/>
            <w:tcMar>
              <w:top w:type="dxa" w:w="80"/>
              <w:left w:type="dxa" w:w="130"/>
              <w:bottom w:type="dxa" w:w="80"/>
              <w:right w:type="dxa" w:w="130"/>
            </w:tcMar>
          </w:tcPr>
          <w:p>
            <w:r>
              <w:rPr>
                <w:sz w:val="19"/>
                <w:szCs w:val="19"/>
              </w:rPr>
              <w:t xml:space="preserve">Forgets old regimes entirely - 2016 volatility is not evidence about 2025</w:t>
            </w:r>
          </w:p>
        </w:tc>
      </w:tr>
      <w:tr>
        <w:tc>
          <w:tcPr>
            <w:tcW w:type="dxa" w:w="1700"/>
            <w:shd w:fill="FFFFFF" w:val="clear"/>
            <w:tcMar>
              <w:top w:type="dxa" w:w="80"/>
              <w:left w:type="dxa" w:w="130"/>
              <w:bottom w:type="dxa" w:w="80"/>
              <w:right w:type="dxa" w:w="130"/>
            </w:tcMar>
          </w:tcPr>
          <w:p>
            <w:r>
              <w:rPr>
                <w:sz w:val="19"/>
                <w:szCs w:val="19"/>
              </w:rPr>
              <w:t xml:space="preserve">incremental</w:t>
            </w:r>
          </w:p>
        </w:tc>
        <w:tc>
          <w:tcPr>
            <w:tcW w:type="dxa" w:w="3100"/>
            <w:shd w:fill="FFFFFF" w:val="clear"/>
            <w:tcMar>
              <w:top w:type="dxa" w:w="80"/>
              <w:left w:type="dxa" w:w="130"/>
              <w:bottom w:type="dxa" w:w="80"/>
              <w:right w:type="dxa" w:w="130"/>
            </w:tcMar>
          </w:tcPr>
          <w:p>
            <w:r>
              <w:rPr>
                <w:sz w:val="19"/>
                <w:szCs w:val="19"/>
              </w:rPr>
              <w:t xml:space="preserve">Everything since the start</w:t>
            </w:r>
          </w:p>
        </w:tc>
        <w:tc>
          <w:tcPr>
            <w:tcW w:type="dxa" w:w="4200"/>
            <w:shd w:fill="FFFFFF" w:val="clear"/>
            <w:tcMar>
              <w:top w:type="dxa" w:w="80"/>
              <w:left w:type="dxa" w:w="130"/>
              <w:bottom w:type="dxa" w:w="80"/>
              <w:right w:type="dxa" w:w="130"/>
            </w:tcMar>
          </w:tcPr>
          <w:p>
            <w:r>
              <w:rPr>
                <w:sz w:val="19"/>
                <w:szCs w:val="19"/>
              </w:rPr>
              <w:t xml:space="preserve">Longest memory, adapts slowest, accumulates every past crisis</w:t>
            </w:r>
          </w:p>
        </w:tc>
      </w:tr>
      <w:tr>
        <w:tc>
          <w:tcPr>
            <w:tcW w:type="dxa" w:w="1700"/>
            <w:shd w:fill="F5F8FB" w:val="clear"/>
            <w:tcMar>
              <w:top w:type="dxa" w:w="80"/>
              <w:left w:type="dxa" w:w="130"/>
              <w:bottom w:type="dxa" w:w="80"/>
              <w:right w:type="dxa" w:w="130"/>
            </w:tcMar>
          </w:tcPr>
          <w:p>
            <w:r>
              <w:rPr>
                <w:sz w:val="19"/>
                <w:szCs w:val="19"/>
              </w:rPr>
              <w:t xml:space="preserve">ewma</w:t>
            </w:r>
          </w:p>
        </w:tc>
        <w:tc>
          <w:tcPr>
            <w:tcW w:type="dxa" w:w="3100"/>
            <w:shd w:fill="F5F8FB" w:val="clear"/>
            <w:tcMar>
              <w:top w:type="dxa" w:w="80"/>
              <w:left w:type="dxa" w:w="130"/>
              <w:bottom w:type="dxa" w:w="80"/>
              <w:right w:type="dxa" w:w="130"/>
            </w:tcMar>
          </w:tcPr>
          <w:p>
            <w:r>
              <w:rPr>
                <w:sz w:val="19"/>
                <w:szCs w:val="19"/>
              </w:rPr>
              <w:t xml:space="preserve">Exponentially weighted by age, decay 0.994</w:t>
            </w:r>
          </w:p>
        </w:tc>
        <w:tc>
          <w:tcPr>
            <w:tcW w:type="dxa" w:w="4200"/>
            <w:shd w:fill="F5F8FB" w:val="clear"/>
            <w:tcMar>
              <w:top w:type="dxa" w:w="80"/>
              <w:left w:type="dxa" w:w="130"/>
              <w:bottom w:type="dxa" w:w="80"/>
              <w:right w:type="dxa" w:w="130"/>
            </w:tcMar>
          </w:tcPr>
          <w:p>
            <w:r>
              <w:rPr>
                <w:sz w:val="19"/>
                <w:szCs w:val="19"/>
              </w:rPr>
              <w:t xml:space="preserve">Old days fade rather than being cut off</w:t>
            </w:r>
          </w:p>
        </w:tc>
      </w:tr>
      <w:tr>
        <w:tc>
          <w:tcPr>
            <w:tcW w:type="dxa" w:w="1700"/>
            <w:shd w:fill="FFFFFF" w:val="clear"/>
            <w:tcMar>
              <w:top w:type="dxa" w:w="80"/>
              <w:left w:type="dxa" w:w="130"/>
              <w:bottom w:type="dxa" w:w="80"/>
              <w:right w:type="dxa" w:w="130"/>
            </w:tcMar>
          </w:tcPr>
          <w:p>
            <w:r>
              <w:rPr>
                <w:sz w:val="19"/>
                <w:szCs w:val="19"/>
              </w:rPr>
              <w:t xml:space="preserve">vol_purged</w:t>
            </w:r>
          </w:p>
        </w:tc>
        <w:tc>
          <w:tcPr>
            <w:tcW w:type="dxa" w:w="3100"/>
            <w:shd w:fill="FFFFFF" w:val="clear"/>
            <w:tcMar>
              <w:top w:type="dxa" w:w="80"/>
              <w:left w:type="dxa" w:w="130"/>
              <w:bottom w:type="dxa" w:w="80"/>
              <w:right w:type="dxa" w:w="130"/>
            </w:tcMar>
          </w:tcPr>
          <w:p>
            <w:r>
              <w:rPr>
                <w:sz w:val="19"/>
                <w:szCs w:val="19"/>
              </w:rPr>
              <w:t xml:space="preserve">Rolling, minus the most turbulent decile of days</w:t>
            </w:r>
          </w:p>
        </w:tc>
        <w:tc>
          <w:tcPr>
            <w:tcW w:type="dxa" w:w="4200"/>
            <w:shd w:fill="FFFFFF" w:val="clear"/>
            <w:tcMar>
              <w:top w:type="dxa" w:w="80"/>
              <w:left w:type="dxa" w:w="130"/>
              <w:bottom w:type="dxa" w:w="80"/>
              <w:right w:type="dxa" w:w="130"/>
            </w:tcMar>
          </w:tcPr>
          <w:p>
            <w:r>
              <w:rPr>
                <w:sz w:val="19"/>
                <w:szCs w:val="19"/>
              </w:rPr>
              <w:t xml:space="preserve">Isolation Forest learns normal from what it sees; crises in training make crises unremarkable</w:t>
            </w:r>
          </w:p>
        </w:tc>
      </w:tr>
    </w:tbl>
    <w:p>
      <w:pPr>
        <w:pStyle w:val="Heading2"/>
        <w:spacing w:after="120" w:before="300"/>
      </w:pPr>
      <w:r>
        <w:t xml:space="preserve">1.2 The experiment varies one thing</w:t>
      </w:r>
    </w:p>
    <w:p>
      <w:pPr>
        <w:spacing w:after="130" w:line="300"/>
      </w:pPr>
      <w:r>
        <w:t xml:space="preserve">All four refit on the SAME schedule -- the first session of each month. Only the training set differs. Varying the refit frequency at the same time would confound the two effects and neither could be attributed to anything.</w:t>
      </w:r>
    </w:p>
    <w:p>
      <w:pPr>
        <w:pStyle w:val="Heading2"/>
        <w:spacing w:after="120" w:before="300"/>
      </w:pPr>
      <w:r>
        <w:t xml:space="preserve">1.3 Why the comparison is valid at all</w:t>
      </w:r>
    </w:p>
    <w:p>
      <w:pPr>
        <w:spacing w:after="130" w:line="300"/>
      </w:pPr>
      <w:r>
        <w:t xml:space="preserve">Because intensity is a percentile of each fit's OWN training distribution rather than a raw anomaly score. That decision was taken in Phase 3 </w:t>
      </w:r>
      <w:r>
        <w:rPr>
          <w:i/>
          <w:iCs/>
        </w:rPr>
        <w:t xml:space="preserve">specifically</w:t>
      </w:r>
      <w:r>
        <w:t xml:space="preserve"> to make this phase possible.</w:t>
      </w:r>
    </w:p>
    <w:p>
      <w:pPr>
        <w:spacing w:after="130" w:line="300"/>
      </w:pPr>
      <w:r>
        <w:t xml:space="preserve">The raw score's scale shifts with the training window and with whichever random trees happened to be built. A fixed cut on it would select a different fraction of days under each scheme, so the benchmark would be measuring the scoring scale rather than the schemes it claims to compare. With a percentile, 0.99 means the same thing under all four.</w:t>
      </w:r>
    </w:p>
    <w:p>
      <w:pPr>
        <w:pStyle w:val="Heading2"/>
        <w:spacing w:after="120" w:before="300"/>
      </w:pPr>
      <w:r>
        <w:t xml:space="preserve">1.4 Walk-forward, verified</w:t>
      </w:r>
    </w:p>
    <w:p>
      <w:pPr>
        <w:spacing w:after="130" w:line="300"/>
      </w:pPr>
      <w:r>
        <w:t xml:space="preserve">At each refit the model sees data strictly before that date, and scores only the days until the next refit. No day is ever scored by a model that has seen it. A future-perturbation test enforces this: rewrite the tail of the data and every earlier intensity must be unchanged.</w:t>
      </w:r>
    </w:p>
    <w:p>
      <w:pPr>
        <w:spacing w:after="130" w:line="300"/>
      </w:pPr>
      <w:r>
        <w:t xml:space="preserve">Block coverage was checked directly -- all 1,344 sessions of the backtest window are scored exactly once, with no gaps and no overlaps.</w:t>
      </w:r>
    </w:p>
    <w:p>
      <w:r>
        <w:br w:type="page"/>
      </w:r>
    </w:p>
    <w:p>
      <w:pPr>
        <w:pStyle w:val="Heading1"/>
        <w:spacing w:after="160" w:before="360"/>
      </w:pPr>
      <w:r>
        <w:t xml:space="preserve">2. The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400"/>
        <w:gridCol w:w="1500"/>
        <w:gridCol w:w="1400"/>
      </w:tblGrid>
      <w:tr>
        <w:trPr>
          <w:tblHeader/>
        </w:trPr>
        <w:tc>
          <w:tcPr>
            <w:tcW w:type="dxa" w:w="1900"/>
            <w:shd w:fill="1F4E79" w:val="clear"/>
            <w:tcMar>
              <w:top w:type="dxa" w:w="90"/>
              <w:left w:type="dxa" w:w="130"/>
              <w:bottom w:type="dxa" w:w="90"/>
              <w:right w:type="dxa" w:w="130"/>
            </w:tcMar>
          </w:tcPr>
          <w:p>
            <w:r>
              <w:rPr>
                <w:b/>
                <w:bCs/>
                <w:color w:val="FFFFFF"/>
                <w:sz w:val="19"/>
                <w:szCs w:val="19"/>
              </w:rPr>
              <w:t xml:space="preserve">Scheme</w:t>
            </w:r>
          </w:p>
        </w:tc>
        <w:tc>
          <w:tcPr>
            <w:tcW w:type="dxa" w:w="1400"/>
            <w:shd w:fill="1F4E79" w:val="clear"/>
            <w:tcMar>
              <w:top w:type="dxa" w:w="90"/>
              <w:left w:type="dxa" w:w="130"/>
              <w:bottom w:type="dxa" w:w="90"/>
              <w:right w:type="dxa" w:w="130"/>
            </w:tcMar>
          </w:tcPr>
          <w:p>
            <w:r>
              <w:rPr>
                <w:b/>
                <w:bCs/>
                <w:color w:val="FFFFFF"/>
                <w:sz w:val="19"/>
                <w:szCs w:val="19"/>
              </w:rPr>
              <w:t xml:space="preserve">CAGR</w:t>
            </w:r>
          </w:p>
        </w:tc>
        <w:tc>
          <w:tcPr>
            <w:tcW w:type="dxa" w:w="1400"/>
            <w:shd w:fill="1F4E79" w:val="clear"/>
            <w:tcMar>
              <w:top w:type="dxa" w:w="90"/>
              <w:left w:type="dxa" w:w="130"/>
              <w:bottom w:type="dxa" w:w="90"/>
              <w:right w:type="dxa" w:w="130"/>
            </w:tcMar>
          </w:tcPr>
          <w:p>
            <w:r>
              <w:rPr>
                <w:b/>
                <w:bCs/>
                <w:color w:val="FFFFFF"/>
                <w:sz w:val="19"/>
                <w:szCs w:val="19"/>
              </w:rPr>
              <w:t xml:space="preserve">maxDD</w:t>
            </w:r>
          </w:p>
        </w:tc>
        <w:tc>
          <w:tcPr>
            <w:tcW w:type="dxa" w:w="1400"/>
            <w:shd w:fill="1F4E79" w:val="clear"/>
            <w:tcMar>
              <w:top w:type="dxa" w:w="90"/>
              <w:left w:type="dxa" w:w="130"/>
              <w:bottom w:type="dxa" w:w="90"/>
              <w:right w:type="dxa" w:w="130"/>
            </w:tcMar>
          </w:tcPr>
          <w:p>
            <w:r>
              <w:rPr>
                <w:b/>
                <w:bCs/>
                <w:color w:val="FFFFFF"/>
                <w:sz w:val="19"/>
                <w:szCs w:val="19"/>
              </w:rPr>
              <w:t xml:space="preserve">vs B&amp;H</w:t>
            </w:r>
          </w:p>
        </w:tc>
        <w:tc>
          <w:tcPr>
            <w:tcW w:type="dxa" w:w="1500"/>
            <w:shd w:fill="1F4E79" w:val="clear"/>
            <w:tcMar>
              <w:top w:type="dxa" w:w="90"/>
              <w:left w:type="dxa" w:w="130"/>
              <w:bottom w:type="dxa" w:w="90"/>
              <w:right w:type="dxa" w:w="130"/>
            </w:tcMar>
          </w:tcPr>
          <w:p>
            <w:r>
              <w:rPr>
                <w:b/>
                <w:bCs/>
                <w:color w:val="FFFFFF"/>
                <w:sz w:val="19"/>
                <w:szCs w:val="19"/>
              </w:rPr>
              <w:t xml:space="preserve">Trades/sym/yr</w:t>
            </w:r>
          </w:p>
        </w:tc>
        <w:tc>
          <w:tcPr>
            <w:tcW w:type="dxa" w:w="1400"/>
            <w:shd w:fill="1F4E79" w:val="clear"/>
            <w:tcMar>
              <w:top w:type="dxa" w:w="90"/>
              <w:left w:type="dxa" w:w="130"/>
              <w:bottom w:type="dxa" w:w="90"/>
              <w:right w:type="dxa" w:w="130"/>
            </w:tcMar>
          </w:tcPr>
          <w:p>
            <w:r>
              <w:rPr>
                <w:b/>
                <w:bCs/>
                <w:color w:val="FFFFFF"/>
                <w:sz w:val="19"/>
                <w:szCs w:val="19"/>
              </w:rPr>
              <w:t xml:space="preserve">Efficiency</w:t>
            </w:r>
          </w:p>
        </w:tc>
      </w:tr>
      <w:tr>
        <w:tc>
          <w:tcPr>
            <w:tcW w:type="dxa" w:w="1900"/>
            <w:shd w:fill="F5F8FB" w:val="clear"/>
            <w:tcMar>
              <w:top w:type="dxa" w:w="80"/>
              <w:left w:type="dxa" w:w="130"/>
              <w:bottom w:type="dxa" w:w="80"/>
              <w:right w:type="dxa" w:w="130"/>
            </w:tcMar>
          </w:tcPr>
          <w:p>
            <w:r>
              <w:rPr>
                <w:sz w:val="19"/>
                <w:szCs w:val="19"/>
              </w:rPr>
              <w:t xml:space="preserve">buy &amp; hold</w:t>
            </w:r>
          </w:p>
        </w:tc>
        <w:tc>
          <w:tcPr>
            <w:tcW w:type="dxa" w:w="1400"/>
            <w:shd w:fill="F5F8FB" w:val="clear"/>
            <w:tcMar>
              <w:top w:type="dxa" w:w="80"/>
              <w:left w:type="dxa" w:w="130"/>
              <w:bottom w:type="dxa" w:w="80"/>
              <w:right w:type="dxa" w:w="130"/>
            </w:tcMar>
          </w:tcPr>
          <w:p>
            <w:r>
              <w:rPr>
                <w:sz w:val="19"/>
                <w:szCs w:val="19"/>
              </w:rPr>
              <w:t xml:space="preserve">25.64%</w:t>
            </w:r>
          </w:p>
        </w:tc>
        <w:tc>
          <w:tcPr>
            <w:tcW w:type="dxa" w:w="1400"/>
            <w:shd w:fill="F5F8FB" w:val="clear"/>
            <w:tcMar>
              <w:top w:type="dxa" w:w="80"/>
              <w:left w:type="dxa" w:w="130"/>
              <w:bottom w:type="dxa" w:w="80"/>
              <w:right w:type="dxa" w:w="130"/>
            </w:tcMar>
          </w:tcPr>
          <w:p>
            <w:r>
              <w:rPr>
                <w:sz w:val="19"/>
                <w:szCs w:val="19"/>
              </w:rPr>
              <w:t xml:space="preserve">-20.0%</w:t>
            </w:r>
          </w:p>
        </w:tc>
        <w:tc>
          <w:tcPr>
            <w:tcW w:type="dxa" w:w="1400"/>
            <w:shd w:fill="F5F8FB" w:val="clear"/>
            <w:tcMar>
              <w:top w:type="dxa" w:w="80"/>
              <w:left w:type="dxa" w:w="130"/>
              <w:bottom w:type="dxa" w:w="80"/>
              <w:right w:type="dxa" w:w="130"/>
            </w:tcMar>
          </w:tcPr>
          <w:p>
            <w:r>
              <w:rPr>
                <w:sz w:val="19"/>
                <w:szCs w:val="19"/>
              </w:rPr>
              <w:t xml:space="preserve">--</w:t>
            </w:r>
          </w:p>
        </w:tc>
        <w:tc>
          <w:tcPr>
            <w:tcW w:type="dxa" w:w="1500"/>
            <w:shd w:fill="F5F8FB" w:val="clear"/>
            <w:tcMar>
              <w:top w:type="dxa" w:w="80"/>
              <w:left w:type="dxa" w:w="130"/>
              <w:bottom w:type="dxa" w:w="80"/>
              <w:right w:type="dxa" w:w="130"/>
            </w:tcMar>
          </w:tcPr>
          <w:p>
            <w:r>
              <w:rPr>
                <w:sz w:val="19"/>
                <w:szCs w:val="19"/>
              </w:rPr>
              <w:t xml:space="preserve">0.00</w:t>
            </w:r>
          </w:p>
        </w:tc>
        <w:tc>
          <w:tcPr>
            <w:tcW w:type="dxa" w:w="1400"/>
            <w:shd w:fill="F5F8FB" w:val="clear"/>
            <w:tcMar>
              <w:top w:type="dxa" w:w="80"/>
              <w:left w:type="dxa" w:w="130"/>
              <w:bottom w:type="dxa" w:w="80"/>
              <w:right w:type="dxa" w:w="130"/>
            </w:tcMar>
          </w:tcPr>
          <w:p>
            <w:r>
              <w:rPr>
                <w:sz w:val="19"/>
                <w:szCs w:val="19"/>
              </w:rPr>
              <w:t xml:space="preserve">--</w:t>
            </w:r>
          </w:p>
        </w:tc>
      </w:tr>
      <w:tr>
        <w:tc>
          <w:tcPr>
            <w:tcW w:type="dxa" w:w="1900"/>
            <w:shd w:fill="FFFFFF" w:val="clear"/>
            <w:tcMar>
              <w:top w:type="dxa" w:w="80"/>
              <w:left w:type="dxa" w:w="130"/>
              <w:bottom w:type="dxa" w:w="80"/>
              <w:right w:type="dxa" w:w="130"/>
            </w:tcMar>
          </w:tcPr>
          <w:p>
            <w:r>
              <w:rPr>
                <w:sz w:val="19"/>
                <w:szCs w:val="19"/>
              </w:rPr>
              <w:t xml:space="preserve">rolling</w:t>
            </w:r>
          </w:p>
        </w:tc>
        <w:tc>
          <w:tcPr>
            <w:tcW w:type="dxa" w:w="1400"/>
            <w:shd w:fill="FFFFFF" w:val="clear"/>
            <w:tcMar>
              <w:top w:type="dxa" w:w="80"/>
              <w:left w:type="dxa" w:w="130"/>
              <w:bottom w:type="dxa" w:w="80"/>
              <w:right w:type="dxa" w:w="130"/>
            </w:tcMar>
          </w:tcPr>
          <w:p>
            <w:r>
              <w:rPr>
                <w:sz w:val="19"/>
                <w:szCs w:val="19"/>
              </w:rPr>
              <w:t xml:space="preserve">25.56%</w:t>
            </w:r>
          </w:p>
        </w:tc>
        <w:tc>
          <w:tcPr>
            <w:tcW w:type="dxa" w:w="1400"/>
            <w:shd w:fill="FFFFFF" w:val="clear"/>
            <w:tcMar>
              <w:top w:type="dxa" w:w="80"/>
              <w:left w:type="dxa" w:w="130"/>
              <w:bottom w:type="dxa" w:w="80"/>
              <w:right w:type="dxa" w:w="130"/>
            </w:tcMar>
          </w:tcPr>
          <w:p>
            <w:r>
              <w:rPr>
                <w:sz w:val="19"/>
                <w:szCs w:val="19"/>
              </w:rPr>
              <w:t xml:space="preserve">-19.6%</w:t>
            </w:r>
          </w:p>
        </w:tc>
        <w:tc>
          <w:tcPr>
            <w:tcW w:type="dxa" w:w="1400"/>
            <w:shd w:fill="FFFFFF" w:val="clear"/>
            <w:tcMar>
              <w:top w:type="dxa" w:w="80"/>
              <w:left w:type="dxa" w:w="130"/>
              <w:bottom w:type="dxa" w:w="80"/>
              <w:right w:type="dxa" w:w="130"/>
            </w:tcMar>
          </w:tcPr>
          <w:p>
            <w:r>
              <w:rPr>
                <w:sz w:val="19"/>
                <w:szCs w:val="19"/>
              </w:rPr>
              <w:t xml:space="preserve">+0.4pp</w:t>
            </w:r>
          </w:p>
        </w:tc>
        <w:tc>
          <w:tcPr>
            <w:tcW w:type="dxa" w:w="1500"/>
            <w:shd w:fill="FFFFFF" w:val="clear"/>
            <w:tcMar>
              <w:top w:type="dxa" w:w="80"/>
              <w:left w:type="dxa" w:w="130"/>
              <w:bottom w:type="dxa" w:w="80"/>
              <w:right w:type="dxa" w:w="130"/>
            </w:tcMar>
          </w:tcPr>
          <w:p>
            <w:r>
              <w:rPr>
                <w:sz w:val="19"/>
                <w:szCs w:val="19"/>
              </w:rPr>
              <w:t xml:space="preserve">0.35</w:t>
            </w:r>
          </w:p>
        </w:tc>
        <w:tc>
          <w:tcPr>
            <w:tcW w:type="dxa" w:w="1400"/>
            <w:shd w:fill="FFFFFF" w:val="clear"/>
            <w:tcMar>
              <w:top w:type="dxa" w:w="80"/>
              <w:left w:type="dxa" w:w="130"/>
              <w:bottom w:type="dxa" w:w="80"/>
              <w:right w:type="dxa" w:w="130"/>
            </w:tcMar>
          </w:tcPr>
          <w:p>
            <w:r>
              <w:rPr>
                <w:sz w:val="19"/>
                <w:szCs w:val="19"/>
              </w:rPr>
              <w:t xml:space="preserve">1.1</w:t>
            </w:r>
          </w:p>
        </w:tc>
      </w:tr>
      <w:tr>
        <w:tc>
          <w:tcPr>
            <w:tcW w:type="dxa" w:w="1900"/>
            <w:shd w:fill="F5F8FB" w:val="clear"/>
            <w:tcMar>
              <w:top w:type="dxa" w:w="80"/>
              <w:left w:type="dxa" w:w="130"/>
              <w:bottom w:type="dxa" w:w="80"/>
              <w:right w:type="dxa" w:w="130"/>
            </w:tcMar>
          </w:tcPr>
          <w:p>
            <w:r>
              <w:rPr>
                <w:sz w:val="19"/>
                <w:szCs w:val="19"/>
              </w:rPr>
              <w:t xml:space="preserve">incremental</w:t>
            </w:r>
          </w:p>
        </w:tc>
        <w:tc>
          <w:tcPr>
            <w:tcW w:type="dxa" w:w="1400"/>
            <w:shd w:fill="F5F8FB" w:val="clear"/>
            <w:tcMar>
              <w:top w:type="dxa" w:w="80"/>
              <w:left w:type="dxa" w:w="130"/>
              <w:bottom w:type="dxa" w:w="80"/>
              <w:right w:type="dxa" w:w="130"/>
            </w:tcMar>
          </w:tcPr>
          <w:p>
            <w:r>
              <w:rPr>
                <w:sz w:val="19"/>
                <w:szCs w:val="19"/>
              </w:rPr>
              <w:t xml:space="preserve">25.82%</w:t>
            </w:r>
          </w:p>
        </w:tc>
        <w:tc>
          <w:tcPr>
            <w:tcW w:type="dxa" w:w="1400"/>
            <w:shd w:fill="F5F8FB" w:val="clear"/>
            <w:tcMar>
              <w:top w:type="dxa" w:w="80"/>
              <w:left w:type="dxa" w:w="130"/>
              <w:bottom w:type="dxa" w:w="80"/>
              <w:right w:type="dxa" w:w="130"/>
            </w:tcMar>
          </w:tcPr>
          <w:p>
            <w:r>
              <w:rPr>
                <w:sz w:val="19"/>
                <w:szCs w:val="19"/>
              </w:rPr>
              <w:t xml:space="preserve">-19.8%</w:t>
            </w:r>
          </w:p>
        </w:tc>
        <w:tc>
          <w:tcPr>
            <w:tcW w:type="dxa" w:w="1400"/>
            <w:shd w:fill="F5F8FB" w:val="clear"/>
            <w:tcMar>
              <w:top w:type="dxa" w:w="80"/>
              <w:left w:type="dxa" w:w="130"/>
              <w:bottom w:type="dxa" w:w="80"/>
              <w:right w:type="dxa" w:w="130"/>
            </w:tcMar>
          </w:tcPr>
          <w:p>
            <w:r>
              <w:rPr>
                <w:sz w:val="19"/>
                <w:szCs w:val="19"/>
              </w:rPr>
              <w:t xml:space="preserve">+0.2pp</w:t>
            </w:r>
          </w:p>
        </w:tc>
        <w:tc>
          <w:tcPr>
            <w:tcW w:type="dxa" w:w="1500"/>
            <w:shd w:fill="F5F8FB" w:val="clear"/>
            <w:tcMar>
              <w:top w:type="dxa" w:w="80"/>
              <w:left w:type="dxa" w:w="130"/>
              <w:bottom w:type="dxa" w:w="80"/>
              <w:right w:type="dxa" w:w="130"/>
            </w:tcMar>
          </w:tcPr>
          <w:p>
            <w:r>
              <w:rPr>
                <w:sz w:val="19"/>
                <w:szCs w:val="19"/>
              </w:rPr>
              <w:t xml:space="preserve">0.28</w:t>
            </w:r>
          </w:p>
        </w:tc>
        <w:tc>
          <w:tcPr>
            <w:tcW w:type="dxa" w:w="1400"/>
            <w:shd w:fill="F5F8FB" w:val="clear"/>
            <w:tcMar>
              <w:top w:type="dxa" w:w="80"/>
              <w:left w:type="dxa" w:w="130"/>
              <w:bottom w:type="dxa" w:w="80"/>
              <w:right w:type="dxa" w:w="130"/>
            </w:tcMar>
          </w:tcPr>
          <w:p>
            <w:r>
              <w:rPr>
                <w:sz w:val="19"/>
                <w:szCs w:val="19"/>
              </w:rPr>
              <w:t xml:space="preserve">0.7</w:t>
            </w:r>
          </w:p>
        </w:tc>
      </w:tr>
      <w:tr>
        <w:tc>
          <w:tcPr>
            <w:tcW w:type="dxa" w:w="1900"/>
            <w:shd w:fill="FFFFFF" w:val="clear"/>
            <w:tcMar>
              <w:top w:type="dxa" w:w="80"/>
              <w:left w:type="dxa" w:w="130"/>
              <w:bottom w:type="dxa" w:w="80"/>
              <w:right w:type="dxa" w:w="130"/>
            </w:tcMar>
          </w:tcPr>
          <w:p>
            <w:r>
              <w:rPr>
                <w:sz w:val="19"/>
                <w:szCs w:val="19"/>
              </w:rPr>
              <w:t xml:space="preserve">ewma</w:t>
            </w:r>
          </w:p>
        </w:tc>
        <w:tc>
          <w:tcPr>
            <w:tcW w:type="dxa" w:w="1400"/>
            <w:shd w:fill="FFFFFF" w:val="clear"/>
            <w:tcMar>
              <w:top w:type="dxa" w:w="80"/>
              <w:left w:type="dxa" w:w="130"/>
              <w:bottom w:type="dxa" w:w="80"/>
              <w:right w:type="dxa" w:w="130"/>
            </w:tcMar>
          </w:tcPr>
          <w:p>
            <w:r>
              <w:rPr>
                <w:sz w:val="19"/>
                <w:szCs w:val="19"/>
              </w:rPr>
              <w:t xml:space="preserve">25.78%</w:t>
            </w:r>
          </w:p>
        </w:tc>
        <w:tc>
          <w:tcPr>
            <w:tcW w:type="dxa" w:w="1400"/>
            <w:shd w:fill="FFFFFF" w:val="clear"/>
            <w:tcMar>
              <w:top w:type="dxa" w:w="80"/>
              <w:left w:type="dxa" w:w="130"/>
              <w:bottom w:type="dxa" w:w="80"/>
              <w:right w:type="dxa" w:w="130"/>
            </w:tcMar>
          </w:tcPr>
          <w:p>
            <w:r>
              <w:rPr>
                <w:sz w:val="19"/>
                <w:szCs w:val="19"/>
              </w:rPr>
              <w:t xml:space="preserve">-19.6%</w:t>
            </w:r>
          </w:p>
        </w:tc>
        <w:tc>
          <w:tcPr>
            <w:tcW w:type="dxa" w:w="1400"/>
            <w:shd w:fill="FFFFFF" w:val="clear"/>
            <w:tcMar>
              <w:top w:type="dxa" w:w="80"/>
              <w:left w:type="dxa" w:w="130"/>
              <w:bottom w:type="dxa" w:w="80"/>
              <w:right w:type="dxa" w:w="130"/>
            </w:tcMar>
          </w:tcPr>
          <w:p>
            <w:r>
              <w:rPr>
                <w:sz w:val="19"/>
                <w:szCs w:val="19"/>
              </w:rPr>
              <w:t xml:space="preserve">+0.4pp</w:t>
            </w:r>
          </w:p>
        </w:tc>
        <w:tc>
          <w:tcPr>
            <w:tcW w:type="dxa" w:w="1500"/>
            <w:shd w:fill="FFFFFF" w:val="clear"/>
            <w:tcMar>
              <w:top w:type="dxa" w:w="80"/>
              <w:left w:type="dxa" w:w="130"/>
              <w:bottom w:type="dxa" w:w="80"/>
              <w:right w:type="dxa" w:w="130"/>
            </w:tcMar>
          </w:tcPr>
          <w:p>
            <w:r>
              <w:rPr>
                <w:sz w:val="19"/>
                <w:szCs w:val="19"/>
              </w:rPr>
              <w:t xml:space="preserve">0.32</w:t>
            </w:r>
          </w:p>
        </w:tc>
        <w:tc>
          <w:tcPr>
            <w:tcW w:type="dxa" w:w="1400"/>
            <w:shd w:fill="FFFFFF" w:val="clear"/>
            <w:tcMar>
              <w:top w:type="dxa" w:w="80"/>
              <w:left w:type="dxa" w:w="130"/>
              <w:bottom w:type="dxa" w:w="80"/>
              <w:right w:type="dxa" w:w="130"/>
            </w:tcMar>
          </w:tcPr>
          <w:p>
            <w:r>
              <w:rPr>
                <w:sz w:val="19"/>
                <w:szCs w:val="19"/>
              </w:rPr>
              <w:t xml:space="preserve">1.1</w:t>
            </w:r>
          </w:p>
        </w:tc>
      </w:tr>
      <w:tr>
        <w:tc>
          <w:tcPr>
            <w:tcW w:type="dxa" w:w="1900"/>
            <w:shd w:fill="F5F8FB" w:val="clear"/>
            <w:tcMar>
              <w:top w:type="dxa" w:w="80"/>
              <w:left w:type="dxa" w:w="130"/>
              <w:bottom w:type="dxa" w:w="80"/>
              <w:right w:type="dxa" w:w="130"/>
            </w:tcMar>
          </w:tcPr>
          <w:p>
            <w:r>
              <w:rPr>
                <w:sz w:val="19"/>
                <w:szCs w:val="19"/>
              </w:rPr>
              <w:t xml:space="preserve">vol_purged</w:t>
            </w:r>
          </w:p>
        </w:tc>
        <w:tc>
          <w:tcPr>
            <w:tcW w:type="dxa" w:w="1400"/>
            <w:shd w:fill="F5F8FB" w:val="clear"/>
            <w:tcMar>
              <w:top w:type="dxa" w:w="80"/>
              <w:left w:type="dxa" w:w="130"/>
              <w:bottom w:type="dxa" w:w="80"/>
              <w:right w:type="dxa" w:w="130"/>
            </w:tcMar>
          </w:tcPr>
          <w:p>
            <w:r>
              <w:rPr>
                <w:sz w:val="19"/>
                <w:szCs w:val="19"/>
              </w:rPr>
              <w:t xml:space="preserve">25.40%</w:t>
            </w:r>
          </w:p>
        </w:tc>
        <w:tc>
          <w:tcPr>
            <w:tcW w:type="dxa" w:w="1400"/>
            <w:shd w:fill="F5F8FB" w:val="clear"/>
            <w:tcMar>
              <w:top w:type="dxa" w:w="80"/>
              <w:left w:type="dxa" w:w="130"/>
              <w:bottom w:type="dxa" w:w="80"/>
              <w:right w:type="dxa" w:w="130"/>
            </w:tcMar>
          </w:tcPr>
          <w:p>
            <w:r>
              <w:rPr>
                <w:sz w:val="19"/>
                <w:szCs w:val="19"/>
              </w:rPr>
              <w:t xml:space="preserve">-19.6%</w:t>
            </w:r>
          </w:p>
        </w:tc>
        <w:tc>
          <w:tcPr>
            <w:tcW w:type="dxa" w:w="1400"/>
            <w:shd w:fill="F5F8FB" w:val="clear"/>
            <w:tcMar>
              <w:top w:type="dxa" w:w="80"/>
              <w:left w:type="dxa" w:w="130"/>
              <w:bottom w:type="dxa" w:w="80"/>
              <w:right w:type="dxa" w:w="130"/>
            </w:tcMar>
          </w:tcPr>
          <w:p>
            <w:r>
              <w:rPr>
                <w:sz w:val="19"/>
                <w:szCs w:val="19"/>
              </w:rPr>
              <w:t xml:space="preserve">+0.3pp</w:t>
            </w:r>
          </w:p>
        </w:tc>
        <w:tc>
          <w:tcPr>
            <w:tcW w:type="dxa" w:w="1500"/>
            <w:shd w:fill="F5F8FB" w:val="clear"/>
            <w:tcMar>
              <w:top w:type="dxa" w:w="80"/>
              <w:left w:type="dxa" w:w="130"/>
              <w:bottom w:type="dxa" w:w="80"/>
              <w:right w:type="dxa" w:w="130"/>
            </w:tcMar>
          </w:tcPr>
          <w:p>
            <w:r>
              <w:rPr>
                <w:sz w:val="19"/>
                <w:szCs w:val="19"/>
              </w:rPr>
              <w:t xml:space="preserve">0.64</w:t>
            </w:r>
          </w:p>
        </w:tc>
        <w:tc>
          <w:tcPr>
            <w:tcW w:type="dxa" w:w="1400"/>
            <w:shd w:fill="F5F8FB" w:val="clear"/>
            <w:tcMar>
              <w:top w:type="dxa" w:w="80"/>
              <w:left w:type="dxa" w:w="130"/>
              <w:bottom w:type="dxa" w:w="80"/>
              <w:right w:type="dxa" w:w="130"/>
            </w:tcMar>
          </w:tcPr>
          <w:p>
            <w:r>
              <w:rPr>
                <w:sz w:val="19"/>
                <w:szCs w:val="19"/>
              </w:rPr>
              <w:t xml:space="preserve">0.5</w:t>
            </w:r>
          </w:p>
        </w:tc>
      </w:tr>
    </w:tbl>
    <w:p>
      <w:pPr>
        <w:spacing w:after="130" w:line="300"/>
      </w:pPr>
      <w:r>
        <w:t xml:space="preserve">Efficiency is drawdown saved per unit of turnover. Ranking on it rather than on raw return is deliberate: a scheme that trades constantly can buy a better drawdown figure at a cost that only surfaces later in brokerage and tax.</w:t>
      </w:r>
    </w:p>
    <w:tbl>
      <w:tblPr>
        <w:tblW w:type="dxa" w:w="9000"/>
        <w:tblBorders>
          <w:top w:val="single" w:color="1E7B34" w:sz="2"/>
          <w:left w:val="single" w:color="1E7B34" w:sz="20"/>
          <w:bottom w:val="single" w:color="1E7B34" w:sz="2"/>
          <w:right w:val="single" w:color="1E7B34" w:sz="2"/>
          <w:insideH w:val="none"/>
          <w:insideV w:val="none"/>
        </w:tblBorders>
      </w:tblPr>
      <w:tblGrid>
        <w:gridCol w:w="9000"/>
      </w:tblGrid>
      <w:tr>
        <w:tc>
          <w:tcPr>
            <w:tcW w:type="dxa" w:w="9000"/>
            <w:shd w:fill="F5FBF6" w:val="clear"/>
            <w:tcMar>
              <w:top w:type="dxa" w:w="150"/>
              <w:left w:type="dxa" w:w="220"/>
              <w:bottom w:type="dxa" w:w="150"/>
              <w:right w:type="dxa" w:w="200"/>
            </w:tcMar>
          </w:tcPr>
          <w:p>
            <w:pPr>
              <w:spacing w:after="70"/>
            </w:pPr>
            <w:r>
              <w:rPr>
                <w:b/>
                <w:bCs/>
                <w:color w:val="1E7B34"/>
              </w:rPr>
              <w:t xml:space="preserve">The headline is a negative result, and it is useful</w:t>
            </w:r>
          </w:p>
          <w:p>
            <w:pPr>
              <w:spacing w:after="70" w:line="300"/>
            </w:pPr>
            <w:r>
              <w:t xml:space="preserve">The spread across all four schemes is 0.2 percentage points of drawdown.</w:t>
            </w:r>
          </w:p>
          <w:p>
            <w:pPr>
              <w:spacing w:after="70" w:line="300"/>
            </w:pPr>
            <w:r>
              <w:t xml:space="preserve">They are within noise of each other. On this evidence the choice of retraining rule is not a meaningful lever - which tells you where NOT to spend further effort.</w:t>
            </w:r>
          </w:p>
          <w:p>
            <w:pPr>
              <w:spacing w:after="0" w:line="300"/>
            </w:pPr>
            <w:r>
              <w:t xml:space="preserve">If one must be chosen: rolling or ewma, tied on efficiency at 1.1. Rolling is the simpler of the two to reason about and defend.</w:t>
            </w:r>
          </w:p>
        </w:tc>
      </w:tr>
    </w:tbl>
    <w:p>
      <w:pPr>
        <w:pStyle w:val="Heading2"/>
        <w:spacing w:after="120" w:before="300"/>
      </w:pPr>
      <w:r>
        <w:t xml:space="preserve">2.1 vol_purged can be retired</w:t>
      </w:r>
    </w:p>
    <w:p>
      <w:pPr>
        <w:spacing w:after="130" w:line="300"/>
      </w:pPr>
      <w:r>
        <w:t xml:space="preserve">It trades nearly twice as often as rolling -- 0.64 against 0.35 -- for no additional drawdown benefit, giving it the worst efficiency of the four.</w:t>
      </w:r>
    </w:p>
    <w:p>
      <w:pPr>
        <w:spacing w:after="130" w:line="300"/>
      </w:pPr>
      <w:r>
        <w:t xml:space="preserve">This reproduces the Phase 3 finding under a completely different setup. Phase 3 measured it under a single static fit and found purging bought coverage at the cost of precision; walk-forward, with shorter training windows where a crisis occupies a larger share, reaches the same conclusion. Two independent measurements agreeing is enough to close the question rather than leave it open.</w:t>
      </w:r>
    </w:p>
    <w:p>
      <w:pPr>
        <w:pStyle w:val="Heading2"/>
        <w:spacing w:after="120" w:before="300"/>
      </w:pPr>
      <w:r>
        <w:t xml:space="preserve">2.2 Walk-forward beats the static fit, modestly</w:t>
      </w:r>
    </w:p>
    <w:p>
      <w:pPr>
        <w:spacing w:after="130" w:line="300"/>
      </w:pPr>
      <w:r>
        <w:t xml:space="preserve">Phase 6's single 2016-2020 fit produced drawdown 0.8 percentage points WORSE than buy-and-hold. Every walk-forward scheme is 0.2 to 0.4 points BETTER. The improvement is small, but it is consistent in sign across all four schemes, which is what a model that refits as data arrives is supposed to deliver.</w:t>
      </w:r>
    </w:p>
    <w:p>
      <w:r>
        <w:br w:type="page"/>
      </w:r>
    </w:p>
    <w:p>
      <w:pPr>
        <w:pStyle w:val="Heading1"/>
        <w:spacing w:after="160" w:before="360"/>
      </w:pPr>
      <w:r>
        <w:t xml:space="preserve">3. A defect found on recheck</w:t>
      </w:r>
    </w:p>
    <w:p>
      <w:pPr>
        <w:spacing w:after="130" w:line="300"/>
      </w:pPr>
      <w:r>
        <w:t xml:space="preserve">Isolation Forest has no sample_weight parameter, so exponential weighting has to be done by resampling. The obvious approach -- draw rows with replacement in proportion to weight -- turned out to be actively harmful.</w:t>
      </w:r>
    </w:p>
    <w:p>
      <w:pPr>
        <w:shd w:fill="F2F2F2" w:val="clear"/>
        <w:spacing w:after="0" w:before="70"/>
        <w:ind w:left="240"/>
      </w:pPr>
      <w:r>
        <w:rPr>
          <w:rFonts w:ascii="Consolas" w:cs="Consolas" w:eastAsia="Consolas" w:hAnsi="Consolas"/>
          <w:sz w:val="18"/>
          <w:szCs w:val="18"/>
        </w:rPr>
        <w:t xml:space="preserve">drawing 100,000 rows with replacement</w:t>
      </w:r>
    </w:p>
    <w:p>
      <w:pPr>
        <w:shd w:fill="F2F2F2" w:val="clear"/>
        <w:spacing w:after="0" w:before="0"/>
        <w:ind w:left="240"/>
      </w:pPr>
      <w:r>
        <w:rPr>
          <w:rFonts w:ascii="Consolas" w:cs="Consolas" w:eastAsia="Consolas" w:hAnsi="Consolas"/>
          <w:sz w:val="18"/>
          <w:szCs w:val="18"/>
        </w:rPr>
        <w:t xml:space="preserve">  -&gt;  38,043 unique rows</w:t>
      </w:r>
    </w:p>
    <w:p>
      <w:pPr>
        <w:shd w:fill="F2F2F2" w:val="clear"/>
        <w:spacing w:after="170" w:before="0"/>
        <w:ind w:left="240"/>
      </w:pPr>
      <w:r>
        <w:rPr>
          <w:rFonts w:ascii="Consolas" w:cs="Consolas" w:eastAsia="Consolas" w:hAnsi="Consolas"/>
          <w:sz w:val="18"/>
          <w:szCs w:val="18"/>
        </w:rPr>
        <w:t xml:space="preserve">  -&gt;  duplication factor 2.63x</w:t>
      </w:r>
    </w:p>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Why duplicates are not neutral for this model</w:t>
            </w:r>
          </w:p>
          <w:p>
            <w:pPr>
              <w:spacing w:after="70" w:line="300"/>
            </w:pPr>
            <w:r>
              <w:t xml:space="preserve">Identical points cannot be separated from each other. A tree stops splitting once they are all that remain, so their path length inflates -- and short path length is what marks a point as anomalous.</w:t>
            </w:r>
          </w:p>
          <w:p>
            <w:pPr>
              <w:spacing w:after="0" w:line="300"/>
            </w:pPr>
            <w:r>
              <w:t xml:space="preserve">So duplicated rows score as LESS anomalous. The scheme was systematically under-flagging exactly the recent rows EWMA exists to emphasise: the precise opposite of its intent.</w:t>
            </w:r>
          </w:p>
        </w:tc>
      </w:tr>
    </w:tbl>
    <w:p>
      <w:pPr>
        <w:spacing w:after="130" w:line="300"/>
      </w:pPr>
      <w:r>
        <w:t xml:space="preserve">The fix is to sample WITHOUT replacement, using the Gumbel top-k trick rather than numpy's replace=False, which is prohibitively slow on hundreds of thousands of rows. Adding Gumbel noise to log-weights and taking the top k is mathematically identical to sequential weighted sampling without replacement, and runs in O(n log n).</w:t>
      </w:r>
    </w:p>
    <w:p>
      <w:pPr>
        <w:spacing w:after="130" w:line="300"/>
      </w:pPr>
      <w:r>
        <w:t xml:space="preserve">The effect on results was real: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600"/>
        <w:gridCol w:w="1200"/>
      </w:tblGrid>
      <w:tr>
        <w:trPr>
          <w:tblHeader/>
        </w:trPr>
        <w:tc>
          <w:tcPr>
            <w:tcW w:type="dxa" w:w="3200"/>
            <w:shd w:fill="1F4E79" w:val="clear"/>
            <w:tcMar>
              <w:top w:type="dxa" w:w="90"/>
              <w:left w:type="dxa" w:w="130"/>
              <w:bottom w:type="dxa" w:w="90"/>
              <w:right w:type="dxa" w:w="130"/>
            </w:tcMar>
          </w:tcPr>
          <w:p>
            <w:r>
              <w:rPr>
                <w:b/>
                <w:bCs/>
                <w:color w:val="FFFFFF"/>
                <w:sz w:val="19"/>
                <w:szCs w:val="19"/>
              </w:rPr>
              <w:t xml:space="preserve">EWMA</w:t>
            </w:r>
          </w:p>
        </w:tc>
        <w:tc>
          <w:tcPr>
            <w:tcW w:type="dxa" w:w="1500"/>
            <w:shd w:fill="1F4E79" w:val="clear"/>
            <w:tcMar>
              <w:top w:type="dxa" w:w="90"/>
              <w:left w:type="dxa" w:w="130"/>
              <w:bottom w:type="dxa" w:w="90"/>
              <w:right w:type="dxa" w:w="130"/>
            </w:tcMar>
          </w:tcPr>
          <w:p>
            <w:r>
              <w:rPr>
                <w:b/>
                <w:bCs/>
                <w:color w:val="FFFFFF"/>
                <w:sz w:val="19"/>
                <w:szCs w:val="19"/>
              </w:rPr>
              <w:t xml:space="preserve">CAGR</w:t>
            </w:r>
          </w:p>
        </w:tc>
        <w:tc>
          <w:tcPr>
            <w:tcW w:type="dxa" w:w="1500"/>
            <w:shd w:fill="1F4E79" w:val="clear"/>
            <w:tcMar>
              <w:top w:type="dxa" w:w="90"/>
              <w:left w:type="dxa" w:w="130"/>
              <w:bottom w:type="dxa" w:w="90"/>
              <w:right w:type="dxa" w:w="130"/>
            </w:tcMar>
          </w:tcPr>
          <w:p>
            <w:r>
              <w:rPr>
                <w:b/>
                <w:bCs/>
                <w:color w:val="FFFFFF"/>
                <w:sz w:val="19"/>
                <w:szCs w:val="19"/>
              </w:rPr>
              <w:t xml:space="preserve">maxDD</w:t>
            </w:r>
          </w:p>
        </w:tc>
        <w:tc>
          <w:tcPr>
            <w:tcW w:type="dxa" w:w="1600"/>
            <w:shd w:fill="1F4E79" w:val="clear"/>
            <w:tcMar>
              <w:top w:type="dxa" w:w="90"/>
              <w:left w:type="dxa" w:w="130"/>
              <w:bottom w:type="dxa" w:w="90"/>
              <w:right w:type="dxa" w:w="130"/>
            </w:tcMar>
          </w:tcPr>
          <w:p>
            <w:r>
              <w:rPr>
                <w:b/>
                <w:bCs/>
                <w:color w:val="FFFFFF"/>
                <w:sz w:val="19"/>
                <w:szCs w:val="19"/>
              </w:rPr>
              <w:t xml:space="preserve">Trades/sym/yr</w:t>
            </w:r>
          </w:p>
        </w:tc>
        <w:tc>
          <w:tcPr>
            <w:tcW w:type="dxa" w:w="1200"/>
            <w:shd w:fill="1F4E79" w:val="clear"/>
            <w:tcMar>
              <w:top w:type="dxa" w:w="90"/>
              <w:left w:type="dxa" w:w="130"/>
              <w:bottom w:type="dxa" w:w="90"/>
              <w:right w:type="dxa" w:w="130"/>
            </w:tcMar>
          </w:tcPr>
          <w:p>
            <w:r>
              <w:rPr>
                <w:b/>
                <w:bCs/>
                <w:color w:val="FFFFFF"/>
                <w:sz w:val="19"/>
                <w:szCs w:val="19"/>
              </w:rPr>
              <w:t xml:space="preserve">Efficiency</w:t>
            </w:r>
          </w:p>
        </w:tc>
      </w:tr>
      <w:tr>
        <w:tc>
          <w:tcPr>
            <w:tcW w:type="dxa" w:w="3200"/>
            <w:shd w:fill="F5F8FB" w:val="clear"/>
            <w:tcMar>
              <w:top w:type="dxa" w:w="80"/>
              <w:left w:type="dxa" w:w="130"/>
              <w:bottom w:type="dxa" w:w="80"/>
              <w:right w:type="dxa" w:w="130"/>
            </w:tcMar>
          </w:tcPr>
          <w:p>
            <w:r>
              <w:rPr>
                <w:sz w:val="19"/>
                <w:szCs w:val="19"/>
              </w:rPr>
              <w:t xml:space="preserve">with replacement (defective)</w:t>
            </w:r>
          </w:p>
        </w:tc>
        <w:tc>
          <w:tcPr>
            <w:tcW w:type="dxa" w:w="1500"/>
            <w:shd w:fill="F5F8FB" w:val="clear"/>
            <w:tcMar>
              <w:top w:type="dxa" w:w="80"/>
              <w:left w:type="dxa" w:w="130"/>
              <w:bottom w:type="dxa" w:w="80"/>
              <w:right w:type="dxa" w:w="130"/>
            </w:tcMar>
          </w:tcPr>
          <w:p>
            <w:r>
              <w:rPr>
                <w:sz w:val="19"/>
                <w:szCs w:val="19"/>
              </w:rPr>
              <w:t xml:space="preserve">25.54%</w:t>
            </w:r>
          </w:p>
        </w:tc>
        <w:tc>
          <w:tcPr>
            <w:tcW w:type="dxa" w:w="1500"/>
            <w:shd w:fill="F5F8FB" w:val="clear"/>
            <w:tcMar>
              <w:top w:type="dxa" w:w="80"/>
              <w:left w:type="dxa" w:w="130"/>
              <w:bottom w:type="dxa" w:w="80"/>
              <w:right w:type="dxa" w:w="130"/>
            </w:tcMar>
          </w:tcPr>
          <w:p>
            <w:r>
              <w:rPr>
                <w:sz w:val="19"/>
                <w:szCs w:val="19"/>
              </w:rPr>
              <w:t xml:space="preserve">-19.6%</w:t>
            </w:r>
          </w:p>
        </w:tc>
        <w:tc>
          <w:tcPr>
            <w:tcW w:type="dxa" w:w="1600"/>
            <w:shd w:fill="F5F8FB" w:val="clear"/>
            <w:tcMar>
              <w:top w:type="dxa" w:w="80"/>
              <w:left w:type="dxa" w:w="130"/>
              <w:bottom w:type="dxa" w:w="80"/>
              <w:right w:type="dxa" w:w="130"/>
            </w:tcMar>
          </w:tcPr>
          <w:p>
            <w:r>
              <w:rPr>
                <w:sz w:val="19"/>
                <w:szCs w:val="19"/>
              </w:rPr>
              <w:t xml:space="preserve">0.47</w:t>
            </w:r>
          </w:p>
        </w:tc>
        <w:tc>
          <w:tcPr>
            <w:tcW w:type="dxa" w:w="1200"/>
            <w:shd w:fill="F5F8FB" w:val="clear"/>
            <w:tcMar>
              <w:top w:type="dxa" w:w="80"/>
              <w:left w:type="dxa" w:w="130"/>
              <w:bottom w:type="dxa" w:w="80"/>
              <w:right w:type="dxa" w:w="130"/>
            </w:tcMar>
          </w:tcPr>
          <w:p>
            <w:r>
              <w:rPr>
                <w:sz w:val="19"/>
                <w:szCs w:val="19"/>
              </w:rPr>
              <w:t xml:space="preserve">0.8</w:t>
            </w:r>
          </w:p>
        </w:tc>
      </w:tr>
      <w:tr>
        <w:tc>
          <w:tcPr>
            <w:tcW w:type="dxa" w:w="3200"/>
            <w:shd w:fill="FFFFFF" w:val="clear"/>
            <w:tcMar>
              <w:top w:type="dxa" w:w="80"/>
              <w:left w:type="dxa" w:w="130"/>
              <w:bottom w:type="dxa" w:w="80"/>
              <w:right w:type="dxa" w:w="130"/>
            </w:tcMar>
          </w:tcPr>
          <w:p>
            <w:r>
              <w:rPr>
                <w:sz w:val="19"/>
                <w:szCs w:val="19"/>
              </w:rPr>
              <w:t xml:space="preserve">without replacement (fixed)</w:t>
            </w:r>
          </w:p>
        </w:tc>
        <w:tc>
          <w:tcPr>
            <w:tcW w:type="dxa" w:w="1500"/>
            <w:shd w:fill="FFFFFF" w:val="clear"/>
            <w:tcMar>
              <w:top w:type="dxa" w:w="80"/>
              <w:left w:type="dxa" w:w="130"/>
              <w:bottom w:type="dxa" w:w="80"/>
              <w:right w:type="dxa" w:w="130"/>
            </w:tcMar>
          </w:tcPr>
          <w:p>
            <w:r>
              <w:rPr>
                <w:sz w:val="19"/>
                <w:szCs w:val="19"/>
              </w:rPr>
              <w:t xml:space="preserve">25.78%</w:t>
            </w:r>
          </w:p>
        </w:tc>
        <w:tc>
          <w:tcPr>
            <w:tcW w:type="dxa" w:w="1500"/>
            <w:shd w:fill="FFFFFF" w:val="clear"/>
            <w:tcMar>
              <w:top w:type="dxa" w:w="80"/>
              <w:left w:type="dxa" w:w="130"/>
              <w:bottom w:type="dxa" w:w="80"/>
              <w:right w:type="dxa" w:w="130"/>
            </w:tcMar>
          </w:tcPr>
          <w:p>
            <w:r>
              <w:rPr>
                <w:sz w:val="19"/>
                <w:szCs w:val="19"/>
              </w:rPr>
              <w:t xml:space="preserve">-19.6%</w:t>
            </w:r>
          </w:p>
        </w:tc>
        <w:tc>
          <w:tcPr>
            <w:tcW w:type="dxa" w:w="1600"/>
            <w:shd w:fill="FFFFFF" w:val="clear"/>
            <w:tcMar>
              <w:top w:type="dxa" w:w="80"/>
              <w:left w:type="dxa" w:w="130"/>
              <w:bottom w:type="dxa" w:w="80"/>
              <w:right w:type="dxa" w:w="130"/>
            </w:tcMar>
          </w:tcPr>
          <w:p>
            <w:r>
              <w:rPr>
                <w:sz w:val="19"/>
                <w:szCs w:val="19"/>
              </w:rPr>
              <w:t xml:space="preserve">0.32</w:t>
            </w:r>
          </w:p>
        </w:tc>
        <w:tc>
          <w:tcPr>
            <w:tcW w:type="dxa" w:w="1200"/>
            <w:shd w:fill="FFFFFF" w:val="clear"/>
            <w:tcMar>
              <w:top w:type="dxa" w:w="80"/>
              <w:left w:type="dxa" w:w="130"/>
              <w:bottom w:type="dxa" w:w="80"/>
              <w:right w:type="dxa" w:w="130"/>
            </w:tcMar>
          </w:tcPr>
          <w:p>
            <w:r>
              <w:rPr>
                <w:sz w:val="19"/>
                <w:szCs w:val="19"/>
              </w:rPr>
              <w:t xml:space="preserve">1.1</w:t>
            </w:r>
          </w:p>
        </w:tc>
      </w:tr>
    </w:tbl>
    <w:p>
      <w:pPr>
        <w:spacing w:after="130" w:line="300"/>
      </w:pPr>
      <w:r>
        <w:t xml:space="preserve">A third fewer trades for the same drawdown benefit, and 0.24 points more CAGR. The duplication had been manufacturing spurious signals.</w:t>
      </w:r>
    </w:p>
    <w:p>
      <w:pPr>
        <w:pStyle w:val="Heading2"/>
        <w:spacing w:after="120" w:before="300"/>
      </w:pPr>
      <w:r>
        <w:t xml:space="preserve">3.1 A related discovery worth stating</w:t>
      </w:r>
    </w:p>
    <w:p>
      <w:pPr>
        <w:spacing w:after="130" w:line="300"/>
      </w:pPr>
      <w:r>
        <w:t xml:space="preserve">Decay 0.994 does not mean “rolling three years, weighted”. It implies a half-life of 115 sessions and an effective sample of 167 -- roughly 0.66 years.</w:t>
      </w:r>
    </w:p>
    <w:p>
      <w:pPr>
        <w:shd w:fill="F2F2F2" w:val="clear"/>
        <w:spacing w:after="0" w:before="70"/>
        <w:ind w:left="240"/>
      </w:pPr>
      <w:r>
        <w:rPr>
          <w:rFonts w:ascii="Consolas" w:cs="Consolas" w:eastAsia="Consolas" w:hAnsi="Consolas"/>
          <w:sz w:val="18"/>
          <w:szCs w:val="18"/>
        </w:rPr>
        <w:t xml:space="preserve">half-life          115 sessions   0.46 years</w:t>
      </w:r>
    </w:p>
    <w:p>
      <w:pPr>
        <w:shd w:fill="F2F2F2" w:val="clear"/>
        <w:spacing w:after="0" w:before="0"/>
        <w:ind w:left="240"/>
      </w:pPr>
      <w:r>
        <w:rPr>
          <w:rFonts w:ascii="Consolas" w:cs="Consolas" w:eastAsia="Consolas" w:hAnsi="Consolas"/>
          <w:sz w:val="18"/>
          <w:szCs w:val="18"/>
        </w:rPr>
        <w:t xml:space="preserve">effective sample   167 sessions   0.66 years</w:t>
      </w:r>
    </w:p>
    <w:p>
      <w:pPr>
        <w:shd w:fill="F2F2F2" w:val="clear"/>
        <w:spacing w:after="170" w:before="0"/>
        <w:ind w:left="240"/>
      </w:pPr>
      <w:r>
        <w:rPr>
          <w:rFonts w:ascii="Consolas" w:cs="Consolas" w:eastAsia="Consolas" w:hAnsi="Consolas"/>
          <w:sz w:val="18"/>
          <w:szCs w:val="18"/>
        </w:rPr>
        <w:t xml:space="preserve">rolling window     756 sessions   3.00 years</w:t>
      </w:r>
    </w:p>
    <w:p>
      <w:pPr>
        <w:spacing w:after="130" w:line="300"/>
      </w:pPr>
      <w:r>
        <w:t xml:space="preserve">So the schemes differ in LOOKBACK as well as in weighting, and EWMA has by a wide margin the shortest memory of the four. That is easy to assume otherwise, so a test now asserts it.</w:t>
      </w:r>
    </w:p>
    <w:p>
      <w:r>
        <w:br w:type="page"/>
      </w:r>
    </w:p>
    <w:p>
      <w:pPr>
        <w:pStyle w:val="Heading1"/>
        <w:spacing w:after="160" w:before="360"/>
      </w:pPr>
      <w:r>
        <w:t xml:space="preserve">4. The dev subset overstated everything</w:t>
      </w:r>
    </w:p>
    <w:p>
      <w:pPr>
        <w:spacing w:after="130" w:line="300"/>
      </w:pPr>
      <w:r>
        <w:t xml:space="preserve">The comparison was first run on the ten-symbol development universe for speed. Against the full universe: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val="clear"/>
            <w:tcMar>
              <w:top w:type="dxa" w:w="90"/>
              <w:left w:type="dxa" w:w="130"/>
              <w:bottom w:type="dxa" w:w="90"/>
              <w:right w:type="dxa" w:w="130"/>
            </w:tcMar>
          </w:tcPr>
          <w:p>
            <w:r>
              <w:rPr>
                <w:b/>
                <w:bCs/>
                <w:color w:val="FFFFFF"/>
                <w:sz w:val="19"/>
                <w:szCs w:val="19"/>
              </w:rPr>
              <w:t xml:space="preserve">Scheme</w:t>
            </w:r>
          </w:p>
        </w:tc>
        <w:tc>
          <w:tcPr>
            <w:tcW w:type="dxa" w:w="2200"/>
            <w:shd w:fill="1F4E79" w:val="clear"/>
            <w:tcMar>
              <w:top w:type="dxa" w:w="90"/>
              <w:left w:type="dxa" w:w="130"/>
              <w:bottom w:type="dxa" w:w="90"/>
              <w:right w:type="dxa" w:w="130"/>
            </w:tcMar>
          </w:tcPr>
          <w:p>
            <w:r>
              <w:rPr>
                <w:b/>
                <w:bCs/>
                <w:color w:val="FFFFFF"/>
                <w:sz w:val="19"/>
                <w:szCs w:val="19"/>
              </w:rPr>
              <w:t xml:space="preserve">Dev DD saved</w:t>
            </w:r>
          </w:p>
        </w:tc>
        <w:tc>
          <w:tcPr>
            <w:tcW w:type="dxa" w:w="2200"/>
            <w:shd w:fill="1F4E79" w:val="clear"/>
            <w:tcMar>
              <w:top w:type="dxa" w:w="90"/>
              <w:left w:type="dxa" w:w="130"/>
              <w:bottom w:type="dxa" w:w="90"/>
              <w:right w:type="dxa" w:w="130"/>
            </w:tcMar>
          </w:tcPr>
          <w:p>
            <w:r>
              <w:rPr>
                <w:b/>
                <w:bCs/>
                <w:color w:val="FFFFFF"/>
                <w:sz w:val="19"/>
                <w:szCs w:val="19"/>
              </w:rPr>
              <w:t xml:space="preserve">Full DD saved</w:t>
            </w:r>
          </w:p>
        </w:tc>
        <w:tc>
          <w:tcPr>
            <w:tcW w:type="dxa" w:w="2200"/>
            <w:shd w:fill="1F4E79" w:val="clear"/>
            <w:tcMar>
              <w:top w:type="dxa" w:w="90"/>
              <w:left w:type="dxa" w:w="130"/>
              <w:bottom w:type="dxa" w:w="90"/>
              <w:right w:type="dxa" w:w="130"/>
            </w:tcMar>
          </w:tcPr>
          <w:p>
            <w:r>
              <w:rPr>
                <w:b/>
                <w:bCs/>
                <w:color w:val="FFFFFF"/>
                <w:sz w:val="19"/>
                <w:szCs w:val="19"/>
              </w:rPr>
              <w:t xml:space="preserve">Overstated by</w:t>
            </w:r>
          </w:p>
        </w:tc>
      </w:tr>
      <w:tr>
        <w:tc>
          <w:tcPr>
            <w:tcW w:type="dxa" w:w="2400"/>
            <w:shd w:fill="F5F8FB" w:val="clear"/>
            <w:tcMar>
              <w:top w:type="dxa" w:w="80"/>
              <w:left w:type="dxa" w:w="130"/>
              <w:bottom w:type="dxa" w:w="80"/>
              <w:right w:type="dxa" w:w="130"/>
            </w:tcMar>
          </w:tcPr>
          <w:p>
            <w:r>
              <w:rPr>
                <w:sz w:val="19"/>
                <w:szCs w:val="19"/>
              </w:rPr>
              <w:t xml:space="preserve">rolling</w:t>
            </w:r>
          </w:p>
        </w:tc>
        <w:tc>
          <w:tcPr>
            <w:tcW w:type="dxa" w:w="2200"/>
            <w:shd w:fill="F5F8FB" w:val="clear"/>
            <w:tcMar>
              <w:top w:type="dxa" w:w="80"/>
              <w:left w:type="dxa" w:w="130"/>
              <w:bottom w:type="dxa" w:w="80"/>
              <w:right w:type="dxa" w:w="130"/>
            </w:tcMar>
          </w:tcPr>
          <w:p>
            <w:r>
              <w:rPr>
                <w:sz w:val="19"/>
                <w:szCs w:val="19"/>
              </w:rPr>
              <w:t xml:space="preserve">+1.2pp</w:t>
            </w:r>
          </w:p>
        </w:tc>
        <w:tc>
          <w:tcPr>
            <w:tcW w:type="dxa" w:w="2200"/>
            <w:shd w:fill="F5F8FB" w:val="clear"/>
            <w:tcMar>
              <w:top w:type="dxa" w:w="80"/>
              <w:left w:type="dxa" w:w="130"/>
              <w:bottom w:type="dxa" w:w="80"/>
              <w:right w:type="dxa" w:w="130"/>
            </w:tcMar>
          </w:tcPr>
          <w:p>
            <w:r>
              <w:rPr>
                <w:sz w:val="19"/>
                <w:szCs w:val="19"/>
              </w:rPr>
              <w:t xml:space="preserve">+0.4pp</w:t>
            </w:r>
          </w:p>
        </w:tc>
        <w:tc>
          <w:tcPr>
            <w:tcW w:type="dxa" w:w="2200"/>
            <w:shd w:fill="F5F8FB" w:val="clear"/>
            <w:tcMar>
              <w:top w:type="dxa" w:w="80"/>
              <w:left w:type="dxa" w:w="130"/>
              <w:bottom w:type="dxa" w:w="80"/>
              <w:right w:type="dxa" w:w="130"/>
            </w:tcMar>
          </w:tcPr>
          <w:p>
            <w:r>
              <w:rPr>
                <w:sz w:val="19"/>
                <w:szCs w:val="19"/>
              </w:rPr>
              <w:t xml:space="preserve">3.2x</w:t>
            </w:r>
          </w:p>
        </w:tc>
      </w:tr>
      <w:tr>
        <w:tc>
          <w:tcPr>
            <w:tcW w:type="dxa" w:w="2400"/>
            <w:shd w:fill="FFFFFF" w:val="clear"/>
            <w:tcMar>
              <w:top w:type="dxa" w:w="80"/>
              <w:left w:type="dxa" w:w="130"/>
              <w:bottom w:type="dxa" w:w="80"/>
              <w:right w:type="dxa" w:w="130"/>
            </w:tcMar>
          </w:tcPr>
          <w:p>
            <w:r>
              <w:rPr>
                <w:sz w:val="19"/>
                <w:szCs w:val="19"/>
              </w:rPr>
              <w:t xml:space="preserve">incremental</w:t>
            </w:r>
          </w:p>
        </w:tc>
        <w:tc>
          <w:tcPr>
            <w:tcW w:type="dxa" w:w="2200"/>
            <w:shd w:fill="FFFFFF" w:val="clear"/>
            <w:tcMar>
              <w:top w:type="dxa" w:w="80"/>
              <w:left w:type="dxa" w:w="130"/>
              <w:bottom w:type="dxa" w:w="80"/>
              <w:right w:type="dxa" w:w="130"/>
            </w:tcMar>
          </w:tcPr>
          <w:p>
            <w:r>
              <w:rPr>
                <w:sz w:val="19"/>
                <w:szCs w:val="19"/>
              </w:rPr>
              <w:t xml:space="preserve">+1.2pp</w:t>
            </w:r>
          </w:p>
        </w:tc>
        <w:tc>
          <w:tcPr>
            <w:tcW w:type="dxa" w:w="2200"/>
            <w:shd w:fill="FFFFFF" w:val="clear"/>
            <w:tcMar>
              <w:top w:type="dxa" w:w="80"/>
              <w:left w:type="dxa" w:w="130"/>
              <w:bottom w:type="dxa" w:w="80"/>
              <w:right w:type="dxa" w:w="130"/>
            </w:tcMar>
          </w:tcPr>
          <w:p>
            <w:r>
              <w:rPr>
                <w:sz w:val="19"/>
                <w:szCs w:val="19"/>
              </w:rPr>
              <w:t xml:space="preserve">+0.2pp</w:t>
            </w:r>
          </w:p>
        </w:tc>
        <w:tc>
          <w:tcPr>
            <w:tcW w:type="dxa" w:w="2200"/>
            <w:shd w:fill="FFFFFF" w:val="clear"/>
            <w:tcMar>
              <w:top w:type="dxa" w:w="80"/>
              <w:left w:type="dxa" w:w="130"/>
              <w:bottom w:type="dxa" w:w="80"/>
              <w:right w:type="dxa" w:w="130"/>
            </w:tcMar>
          </w:tcPr>
          <w:p>
            <w:r>
              <w:rPr>
                <w:sz w:val="19"/>
                <w:szCs w:val="19"/>
              </w:rPr>
              <w:t xml:space="preserve">6.6x</w:t>
            </w:r>
          </w:p>
        </w:tc>
      </w:tr>
      <w:tr>
        <w:tc>
          <w:tcPr>
            <w:tcW w:type="dxa" w:w="2400"/>
            <w:shd w:fill="F5F8FB" w:val="clear"/>
            <w:tcMar>
              <w:top w:type="dxa" w:w="80"/>
              <w:left w:type="dxa" w:w="130"/>
              <w:bottom w:type="dxa" w:w="80"/>
              <w:right w:type="dxa" w:w="130"/>
            </w:tcMar>
          </w:tcPr>
          <w:p>
            <w:r>
              <w:rPr>
                <w:sz w:val="19"/>
                <w:szCs w:val="19"/>
              </w:rPr>
              <w:t xml:space="preserve">ewma</w:t>
            </w:r>
          </w:p>
        </w:tc>
        <w:tc>
          <w:tcPr>
            <w:tcW w:type="dxa" w:w="2200"/>
            <w:shd w:fill="F5F8FB" w:val="clear"/>
            <w:tcMar>
              <w:top w:type="dxa" w:w="80"/>
              <w:left w:type="dxa" w:w="130"/>
              <w:bottom w:type="dxa" w:w="80"/>
              <w:right w:type="dxa" w:w="130"/>
            </w:tcMar>
          </w:tcPr>
          <w:p>
            <w:r>
              <w:rPr>
                <w:sz w:val="19"/>
                <w:szCs w:val="19"/>
              </w:rPr>
              <w:t xml:space="preserve">+1.8pp</w:t>
            </w:r>
          </w:p>
        </w:tc>
        <w:tc>
          <w:tcPr>
            <w:tcW w:type="dxa" w:w="2200"/>
            <w:shd w:fill="F5F8FB" w:val="clear"/>
            <w:tcMar>
              <w:top w:type="dxa" w:w="80"/>
              <w:left w:type="dxa" w:w="130"/>
              <w:bottom w:type="dxa" w:w="80"/>
              <w:right w:type="dxa" w:w="130"/>
            </w:tcMar>
          </w:tcPr>
          <w:p>
            <w:r>
              <w:rPr>
                <w:sz w:val="19"/>
                <w:szCs w:val="19"/>
              </w:rPr>
              <w:t xml:space="preserve">+0.4pp</w:t>
            </w:r>
          </w:p>
        </w:tc>
        <w:tc>
          <w:tcPr>
            <w:tcW w:type="dxa" w:w="2200"/>
            <w:shd w:fill="F5F8FB" w:val="clear"/>
            <w:tcMar>
              <w:top w:type="dxa" w:w="80"/>
              <w:left w:type="dxa" w:w="130"/>
              <w:bottom w:type="dxa" w:w="80"/>
              <w:right w:type="dxa" w:w="130"/>
            </w:tcMar>
          </w:tcPr>
          <w:p>
            <w:r>
              <w:rPr>
                <w:sz w:val="19"/>
                <w:szCs w:val="19"/>
              </w:rPr>
              <w:t xml:space="preserve">5.1x</w:t>
            </w:r>
          </w:p>
        </w:tc>
      </w:tr>
      <w:tr>
        <w:tc>
          <w:tcPr>
            <w:tcW w:type="dxa" w:w="2400"/>
            <w:shd w:fill="FFFFFF" w:val="clear"/>
            <w:tcMar>
              <w:top w:type="dxa" w:w="80"/>
              <w:left w:type="dxa" w:w="130"/>
              <w:bottom w:type="dxa" w:w="80"/>
              <w:right w:type="dxa" w:w="130"/>
            </w:tcMar>
          </w:tcPr>
          <w:p>
            <w:r>
              <w:rPr>
                <w:sz w:val="19"/>
                <w:szCs w:val="19"/>
              </w:rPr>
              <w:t xml:space="preserve">vol_purged</w:t>
            </w:r>
          </w:p>
        </w:tc>
        <w:tc>
          <w:tcPr>
            <w:tcW w:type="dxa" w:w="2200"/>
            <w:shd w:fill="FFFFFF" w:val="clear"/>
            <w:tcMar>
              <w:top w:type="dxa" w:w="80"/>
              <w:left w:type="dxa" w:w="130"/>
              <w:bottom w:type="dxa" w:w="80"/>
              <w:right w:type="dxa" w:w="130"/>
            </w:tcMar>
          </w:tcPr>
          <w:p>
            <w:r>
              <w:rPr>
                <w:sz w:val="19"/>
                <w:szCs w:val="19"/>
              </w:rPr>
              <w:t xml:space="preserve">+1.7pp</w:t>
            </w:r>
          </w:p>
        </w:tc>
        <w:tc>
          <w:tcPr>
            <w:tcW w:type="dxa" w:w="2200"/>
            <w:shd w:fill="FFFFFF" w:val="clear"/>
            <w:tcMar>
              <w:top w:type="dxa" w:w="80"/>
              <w:left w:type="dxa" w:w="130"/>
              <w:bottom w:type="dxa" w:w="80"/>
              <w:right w:type="dxa" w:w="130"/>
            </w:tcMar>
          </w:tcPr>
          <w:p>
            <w:r>
              <w:rPr>
                <w:sz w:val="19"/>
                <w:szCs w:val="19"/>
              </w:rPr>
              <w:t xml:space="preserve">+0.3pp</w:t>
            </w:r>
          </w:p>
        </w:tc>
        <w:tc>
          <w:tcPr>
            <w:tcW w:type="dxa" w:w="2200"/>
            <w:shd w:fill="FFFFFF" w:val="clear"/>
            <w:tcMar>
              <w:top w:type="dxa" w:w="80"/>
              <w:left w:type="dxa" w:w="130"/>
              <w:bottom w:type="dxa" w:w="80"/>
              <w:right w:type="dxa" w:w="130"/>
            </w:tcMar>
          </w:tcPr>
          <w:p>
            <w:r>
              <w:rPr>
                <w:sz w:val="19"/>
                <w:szCs w:val="19"/>
              </w:rPr>
              <w:t xml:space="preserve">5.0x</w:t>
            </w:r>
          </w:p>
        </w:tc>
      </w:tr>
    </w:tbl>
    <w:p>
      <w:pPr>
        <w:spacing w:after="130" w:line="300"/>
      </w:pPr>
      <w:r>
        <w:t xml:space="preserve">Three to six times too optimistic -- and the RANKING flipped, with ewma winning on the dev subset and rolling on the full set. That is what a 0.2 point spread means in practice: it is smaller than the noise introduced by changing the universe.</w:t>
      </w:r>
    </w:p>
    <w:p>
      <w:pPr>
        <w:spacing w:after="130" w:line="300"/>
      </w:pPr>
      <w:r>
        <w:t xml:space="preserve">This validates the small-universe warning built into the pipeline. The dev subset is for iteration speed; it cannot support a conclusion, because a ten-stock portfolio is dominated by whichever single name happens to have crashed.</w:t>
      </w:r>
    </w:p>
    <w:p>
      <w:r>
        <w:br w:type="page"/>
      </w:r>
    </w:p>
    <w:p>
      <w:pPr>
        <w:pStyle w:val="Heading1"/>
        <w:spacing w:after="160" w:before="360"/>
      </w:pPr>
      <w:r>
        <w:t xml:space="preserve">5. A performance change worth recording</w:t>
      </w:r>
    </w:p>
    <w:p>
      <w:pPr>
        <w:spacing w:after="130" w:line="300"/>
      </w:pPr>
      <w:r>
        <w:t xml:space="preserve">Scoring is O(rows x trees), and the incremental scheme's training set grows past 400,000 rows across 66 refits. Building the training score distribution on all of them dominated the runtime.</w:t>
      </w:r>
    </w:p>
    <w:p>
      <w:pPr>
        <w:spacing w:after="130" w:line="300"/>
      </w:pPr>
      <w:r>
        <w:t xml:space="preserve">The distribution only has to be accurate enough to read percentiles from, and an empirical CDF from 50,000 draws is indistinguishable from one built on 400,000: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val="clear"/>
            <w:tcMar>
              <w:top w:type="dxa" w:w="90"/>
              <w:left w:type="dxa" w:w="130"/>
              <w:bottom w:type="dxa" w:w="90"/>
              <w:right w:type="dxa" w:w="130"/>
            </w:tcMar>
          </w:tcPr>
          <w:p>
            <w:r>
              <w:rPr>
                <w:b/>
                <w:bCs/>
                <w:color w:val="FFFFFF"/>
                <w:sz w:val="19"/>
                <w:szCs w:val="19"/>
              </w:rPr>
              <w:t xml:space="preserve">Score sample</w:t>
            </w:r>
          </w:p>
        </w:tc>
        <w:tc>
          <w:tcPr>
            <w:tcW w:type="dxa" w:w="2200"/>
            <w:shd w:fill="1F4E79" w:val="clear"/>
            <w:tcMar>
              <w:top w:type="dxa" w:w="90"/>
              <w:left w:type="dxa" w:w="130"/>
              <w:bottom w:type="dxa" w:w="90"/>
              <w:right w:type="dxa" w:w="130"/>
            </w:tcMar>
          </w:tcPr>
          <w:p>
            <w:r>
              <w:rPr>
                <w:b/>
                <w:bCs/>
                <w:color w:val="FFFFFF"/>
                <w:sz w:val="19"/>
                <w:szCs w:val="19"/>
              </w:rPr>
              <w:t xml:space="preserve">Fit time</w:t>
            </w:r>
          </w:p>
        </w:tc>
        <w:tc>
          <w:tcPr>
            <w:tcW w:type="dxa" w:w="2200"/>
            <w:shd w:fill="1F4E79" w:val="clear"/>
            <w:tcMar>
              <w:top w:type="dxa" w:w="90"/>
              <w:left w:type="dxa" w:w="130"/>
              <w:bottom w:type="dxa" w:w="90"/>
              <w:right w:type="dxa" w:w="130"/>
            </w:tcMar>
          </w:tcPr>
          <w:p>
            <w:r>
              <w:rPr>
                <w:b/>
                <w:bCs/>
                <w:color w:val="FFFFFF"/>
                <w:sz w:val="19"/>
                <w:szCs w:val="19"/>
              </w:rPr>
              <w:t xml:space="preserve">Median intensity</w:t>
            </w:r>
          </w:p>
        </w:tc>
        <w:tc>
          <w:tcPr>
            <w:tcW w:type="dxa" w:w="2200"/>
            <w:shd w:fill="1F4E79" w:val="clear"/>
            <w:tcMar>
              <w:top w:type="dxa" w:w="90"/>
              <w:left w:type="dxa" w:w="130"/>
              <w:bottom w:type="dxa" w:w="90"/>
              <w:right w:type="dxa" w:w="130"/>
            </w:tcMar>
          </w:tcPr>
          <w:p>
            <w:r>
              <w:rPr>
                <w:b/>
                <w:bCs/>
                <w:color w:val="FFFFFF"/>
                <w:sz w:val="19"/>
                <w:szCs w:val="19"/>
              </w:rPr>
              <w:t xml:space="preserve">p99 intensity</w:t>
            </w:r>
          </w:p>
        </w:tc>
      </w:tr>
      <w:tr>
        <w:tc>
          <w:tcPr>
            <w:tcW w:type="dxa" w:w="2400"/>
            <w:shd w:fill="F5F8FB" w:val="clear"/>
            <w:tcMar>
              <w:top w:type="dxa" w:w="80"/>
              <w:left w:type="dxa" w:w="130"/>
              <w:bottom w:type="dxa" w:w="80"/>
              <w:right w:type="dxa" w:w="130"/>
            </w:tcMar>
          </w:tcPr>
          <w:p>
            <w:r>
              <w:rPr>
                <w:sz w:val="19"/>
                <w:szCs w:val="19"/>
              </w:rPr>
              <w:t xml:space="preserve">all rows</w:t>
            </w:r>
          </w:p>
        </w:tc>
        <w:tc>
          <w:tcPr>
            <w:tcW w:type="dxa" w:w="2200"/>
            <w:shd w:fill="F5F8FB" w:val="clear"/>
            <w:tcMar>
              <w:top w:type="dxa" w:w="80"/>
              <w:left w:type="dxa" w:w="130"/>
              <w:bottom w:type="dxa" w:w="80"/>
              <w:right w:type="dxa" w:w="130"/>
            </w:tcMar>
          </w:tcPr>
          <w:p>
            <w:r>
              <w:rPr>
                <w:sz w:val="19"/>
                <w:szCs w:val="19"/>
              </w:rPr>
              <w:t xml:space="preserve">4.6s</w:t>
            </w:r>
          </w:p>
        </w:tc>
        <w:tc>
          <w:tcPr>
            <w:tcW w:type="dxa" w:w="2200"/>
            <w:shd w:fill="F5F8FB" w:val="clear"/>
            <w:tcMar>
              <w:top w:type="dxa" w:w="80"/>
              <w:left w:type="dxa" w:w="130"/>
              <w:bottom w:type="dxa" w:w="80"/>
              <w:right w:type="dxa" w:w="130"/>
            </w:tcMar>
          </w:tcPr>
          <w:p>
            <w:r>
              <w:rPr>
                <w:sz w:val="19"/>
                <w:szCs w:val="19"/>
              </w:rPr>
              <w:t xml:space="preserve">0.4988</w:t>
            </w:r>
          </w:p>
        </w:tc>
        <w:tc>
          <w:tcPr>
            <w:tcW w:type="dxa" w:w="2200"/>
            <w:shd w:fill="F5F8FB" w:val="clear"/>
            <w:tcMar>
              <w:top w:type="dxa" w:w="80"/>
              <w:left w:type="dxa" w:w="130"/>
              <w:bottom w:type="dxa" w:w="80"/>
              <w:right w:type="dxa" w:w="130"/>
            </w:tcMar>
          </w:tcPr>
          <w:p>
            <w:r>
              <w:rPr>
                <w:sz w:val="19"/>
                <w:szCs w:val="19"/>
              </w:rPr>
              <w:t xml:space="preserve">0.9887</w:t>
            </w:r>
          </w:p>
        </w:tc>
      </w:tr>
      <w:tr>
        <w:tc>
          <w:tcPr>
            <w:tcW w:type="dxa" w:w="2400"/>
            <w:shd w:fill="FFFFFF" w:val="clear"/>
            <w:tcMar>
              <w:top w:type="dxa" w:w="80"/>
              <w:left w:type="dxa" w:w="130"/>
              <w:bottom w:type="dxa" w:w="80"/>
              <w:right w:type="dxa" w:w="130"/>
            </w:tcMar>
          </w:tcPr>
          <w:p>
            <w:r>
              <w:rPr>
                <w:sz w:val="19"/>
                <w:szCs w:val="19"/>
              </w:rPr>
              <w:t xml:space="preserve">50,000</w:t>
            </w:r>
          </w:p>
        </w:tc>
        <w:tc>
          <w:tcPr>
            <w:tcW w:type="dxa" w:w="2200"/>
            <w:shd w:fill="FFFFFF" w:val="clear"/>
            <w:tcMar>
              <w:top w:type="dxa" w:w="80"/>
              <w:left w:type="dxa" w:w="130"/>
              <w:bottom w:type="dxa" w:w="80"/>
              <w:right w:type="dxa" w:w="130"/>
            </w:tcMar>
          </w:tcPr>
          <w:p>
            <w:r>
              <w:rPr>
                <w:sz w:val="19"/>
                <w:szCs w:val="19"/>
              </w:rPr>
              <w:t xml:space="preserve">1.4s</w:t>
            </w:r>
          </w:p>
        </w:tc>
        <w:tc>
          <w:tcPr>
            <w:tcW w:type="dxa" w:w="2200"/>
            <w:shd w:fill="FFFFFF" w:val="clear"/>
            <w:tcMar>
              <w:top w:type="dxa" w:w="80"/>
              <w:left w:type="dxa" w:w="130"/>
              <w:bottom w:type="dxa" w:w="80"/>
              <w:right w:type="dxa" w:w="130"/>
            </w:tcMar>
          </w:tcPr>
          <w:p>
            <w:r>
              <w:rPr>
                <w:sz w:val="19"/>
                <w:szCs w:val="19"/>
              </w:rPr>
              <w:t xml:space="preserve">0.5029</w:t>
            </w:r>
          </w:p>
        </w:tc>
        <w:tc>
          <w:tcPr>
            <w:tcW w:type="dxa" w:w="2200"/>
            <w:shd w:fill="FFFFFF" w:val="clear"/>
            <w:tcMar>
              <w:top w:type="dxa" w:w="80"/>
              <w:left w:type="dxa" w:w="130"/>
              <w:bottom w:type="dxa" w:w="80"/>
              <w:right w:type="dxa" w:w="130"/>
            </w:tcMar>
          </w:tcPr>
          <w:p>
            <w:r>
              <w:rPr>
                <w:sz w:val="19"/>
                <w:szCs w:val="19"/>
              </w:rPr>
              <w:t xml:space="preserve">0.9889</w:t>
            </w:r>
          </w:p>
        </w:tc>
      </w:tr>
    </w:tbl>
    <w:p>
      <w:pPr>
        <w:spacing w:after="130" w:line="300"/>
      </w:pPr>
      <w:r>
        <w:t xml:space="preserve">3.3 times faster, with percentiles unchanged to three decimal places. Tree building is unaffected, since Isolation Forest already subsamples max_samples per tree regardless of how many rows it was given.</w:t>
      </w:r>
    </w:p>
    <w:p>
      <w:pPr>
        <w:pStyle w:val="Heading1"/>
        <w:spacing w:after="160" w:before="360"/>
      </w:pPr>
      <w:r>
        <w:t xml:space="preserve">6. Known limitations</w:t>
      </w:r>
    </w:p>
    <w:p>
      <w:pPr>
        <w:pStyle w:val="ListParagraph"/>
        <w:numPr>
          <w:ilvl w:val="0"/>
          <w:numId w:val="2"/>
        </w:numPr>
        <w:spacing w:after="80" w:line="290"/>
      </w:pPr>
      <w:r>
        <w:t xml:space="preserve">The window contains no sharp crash. 2021-2026's worst drawdown was a slow bleed at near-normal volatility, so no retraining rule has much to work with. This comparison should be repeated on a window containing 2008 before it is treated as settled.</w:t>
      </w:r>
    </w:p>
    <w:p>
      <w:pPr>
        <w:pStyle w:val="ListParagraph"/>
        <w:numPr>
          <w:ilvl w:val="0"/>
          <w:numId w:val="2"/>
        </w:numPr>
        <w:spacing w:after="80" w:line="290"/>
      </w:pPr>
      <w:r>
        <w:t xml:space="preserve">A 0.2pp spread cannot rank four schemes. The ordering here should be read as “indistinguishable” rather than as a ranking, and the dev-versus-full flip demonstrates exactly that.</w:t>
      </w:r>
    </w:p>
    <w:p>
      <w:pPr>
        <w:pStyle w:val="ListParagraph"/>
        <w:numPr>
          <w:ilvl w:val="0"/>
          <w:numId w:val="2"/>
        </w:numPr>
        <w:spacing w:after="80" w:line="290"/>
      </w:pPr>
      <w:r>
        <w:t xml:space="preserve">EWMA resampling remains an approximation, even fixed. Weighted sampling without replacement is not identical to weighted tree splits; the honest alternative would be reimplementing the forest.</w:t>
      </w:r>
    </w:p>
    <w:p>
      <w:pPr>
        <w:pStyle w:val="ListParagraph"/>
        <w:numPr>
          <w:ilvl w:val="0"/>
          <w:numId w:val="2"/>
        </w:numPr>
        <w:spacing w:after="80" w:line="290"/>
      </w:pPr>
      <w:r>
        <w:t xml:space="preserve">Only one decay value was tested. 0.994 comes from the project brief, and its 0.66-year effective memory may simply be too short - a slower decay would sit between ewma and rolling and was not explored.</w:t>
      </w:r>
    </w:p>
    <w:p>
      <w:pPr>
        <w:pStyle w:val="ListParagraph"/>
        <w:numPr>
          <w:ilvl w:val="0"/>
          <w:numId w:val="2"/>
        </w:numPr>
        <w:spacing w:after="80" w:line="290"/>
      </w:pPr>
      <w:r>
        <w:t xml:space="preserve">Monthly refits are assumed throughout. Refit FREQUENCY was deliberately held constant so the training set could be attributed, but frequency may matter more than the rule, and that experiment has not been run.</w:t>
      </w:r>
    </w:p>
    <w:p>
      <w:pPr>
        <w:pStyle w:val="Heading1"/>
        <w:spacing w:after="160" w:before="360"/>
      </w:pPr>
      <w:r>
        <w:t xml:space="preserve">7. Handoff to Phase 8</w:t>
      </w:r>
    </w:p>
    <w:p>
      <w:pPr>
        <w:spacing w:after="130" w:line="300"/>
      </w:pPr>
      <w:r>
        <w:t xml:space="preserve">Phase 8 produces the drawdown analysis and per-stock visualisations: strategy against buy-and-hold for each symbol, with sell signals marked and the measured lead time annotated per event.</w:t>
      </w:r>
    </w:p>
    <w:p>
      <w:pPr>
        <w:spacing w:after="130" w:line="300"/>
      </w:pPr>
      <w:r>
        <w:t xml:space="preserve">It inherits a settled answer on retraining -- rolling, chosen for simplicity rather than because it measurably won -- and a clear statement that the choice does not matter much. That is worth carrying into the paper explicitly: a reader who assumes the retraining scheme is where the value lies should be told, with the measurement, that it is not.</w:t>
      </w:r>
    </w:p>
    <w:sectPr>
      <w:headerReference w:type="default" r:id="rId7"/>
      <w:footerReference w:type="default" r:id="rId8"/>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pBdr>
      <w:jc w:val="right"/>
    </w:pPr>
    <w:r>
      <w:rPr>
        <w:color w:val="595959"/>
        <w:sz w:val="17"/>
        <w:szCs w:val="17"/>
      </w:rPr>
      <w:t xml:space="preserve">QBEAST · Phase 7 - Retraining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5F8A"/>
      <w:sz w:val="25"/>
      <w:szCs w:val="25"/>
    </w:rPr>
  </w:style>
  <w:style w:type="paragraph" w:styleId="Heading3">
    <w:name w:val="Heading 3"/>
    <w:basedOn w:val="Normal"/>
    <w:next w:val="Normal"/>
    <w:qFormat/>
    <w:rPr>
      <w:rFonts w:ascii="Calibri" w:cs="Calibri" w:eastAsia="Calibri" w:hAnsi="Calibri"/>
      <w:b/>
      <w:bCs/>
      <w:color w:val="59595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QBEAST Phase 7 - Retraining Scheme Comparison</dc:title>
  <dc:creator>QBEAST</dc:creator>
  <dc:description>QBEAST crash detection system — phase documentation</dc:description>
  <cp:lastModifiedBy>Un-named</cp:lastModifiedBy>
  <cp:revision>1</cp:revision>
  <dcterms:created xsi:type="dcterms:W3CDTF">2026-07-26T15:38:00.922Z</dcterms:created>
  <dcterms:modified xsi:type="dcterms:W3CDTF">2026-07-26T15:38:00.922Z</dcterms:modified>
</cp:coreProperties>
</file>

<file path=docProps/custom.xml><?xml version="1.0" encoding="utf-8"?>
<Properties xmlns="http://schemas.openxmlformats.org/officeDocument/2006/custom-properties" xmlns:vt="http://schemas.openxmlformats.org/officeDocument/2006/docPropsVTypes"/>
</file>