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1F4E79"/>
          <w:sz w:val="72"/>
          <w:szCs w:val="72"/>
        </w:rPr>
        <w:t xml:space="preserve">QBEAST</w:t>
      </w:r>
    </w:p>
    <w:p>
      <w:pPr>
        <w:spacing w:after="120"/>
        <w:jc w:val="center"/>
      </w:pPr>
      <w:r>
        <w:rPr>
          <w:b/>
          <w:bCs/>
          <w:sz w:val="40"/>
          <w:szCs w:val="40"/>
        </w:rPr>
        <w:t xml:space="preserve">Stock Market Crash Detection System</w:t>
      </w:r>
    </w:p>
    <w:p>
      <w:pPr>
        <w:spacing w:after="600"/>
        <w:jc w:val="center"/>
      </w:pPr>
      <w:r>
        <w:rPr>
          <w:i/>
          <w:iCs/>
          <w:color w:val="595959"/>
          <w:sz w:val="24"/>
          <w:szCs w:val="24"/>
        </w:rPr>
        <w:t xml:space="preserve">Isolation-Forest anomaly detection for crash and rally prediction on Indian equities</w:t>
      </w:r>
    </w:p>
    <w:p>
      <w:pPr>
        <w:spacing w:after="60"/>
        <w:jc w:val="center"/>
      </w:pPr>
      <w:r>
        <w:rPr>
          <w:color w:val="595959"/>
          <w:sz w:val="22"/>
          <w:szCs w:val="22"/>
        </w:rPr>
        <w:t xml:space="preserve">Project documentation — living document</w:t>
      </w:r>
    </w:p>
    <w:p>
      <w:pPr>
        <w:spacing w:after="60"/>
        <w:jc w:val="center"/>
      </w:pPr>
      <w:r>
        <w:rPr>
          <w:color w:val="595959"/>
          <w:sz w:val="22"/>
          <w:szCs w:val="22"/>
        </w:rPr>
        <w:t xml:space="preserve">Universe: NIFTY 100  •  Data: EOD daily bars  •  Capital: ₹10,00,000</w:t>
      </w:r>
    </w:p>
    <w:p>
      <w:pPr>
        <w:jc w:val="center"/>
      </w:pPr>
      <w:r>
        <w:rPr>
          <w:color w:val="595959"/>
          <w:sz w:val="20"/>
          <w:szCs w:val="20"/>
        </w:rPr>
        <w:t xml:space="preserve">Generated 2026-07-26</w:t>
      </w:r>
    </w:p>
    <w:p>
      <w:r>
        <w:br w:type="page"/>
      </w:r>
    </w:p>
    <w:p>
      <w:pPr>
        <w:pStyle w:val="Heading1"/>
        <w:spacing w:after="160" w:before="360"/>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t xml:space="preserve">1. What we are building</w:t>
      </w:r>
    </w:p>
    <w:p>
      <w:pPr>
        <w:spacing w:after="120" w:line="300"/>
      </w:pPr>
      <w:r>
        <w:t xml:space="preserve">A system that watches roughly 100 large Indian stocks every day and answers two questions: is a crash coming, and is a rally coming. When it thinks a crash is coming it sells and moves to cash. When it thinks a rally is coming it buys back in. The rest of the time it simply holds.</w:t>
      </w:r>
    </w:p>
    <w:p>
      <w:pPr>
        <w:spacing w:after="120" w:line="300"/>
      </w:pPr>
      <w:r>
        <w:t xml:space="preserve">That last sentence is the important one. This is not a strategy that trades constantly looking for small edges. It is buy-and-hold plus an exit rule. Every trade costs money in brokerage, taxes and slippage, so a trade has to earn its place.</w:t>
      </w:r>
    </w:p>
    <w:p>
      <w:pPr>
        <w:pStyle w:val="Heading2"/>
        <w:spacing w:after="120" w:before="280"/>
      </w:pPr>
      <w:r>
        <w:t xml:space="preserve">1.1 What success looks like</w:t>
      </w:r>
    </w:p>
    <w:p>
      <w:pPr>
        <w:spacing w:after="120" w:line="300"/>
      </w:pPr>
      <w:r>
        <w:t xml:space="preserve">The headline result is </w:t>
      </w:r>
      <w:r>
        <w:rPr>
          <w:b/>
          <w:bCs/>
        </w:rPr>
        <w:t xml:space="preserve">drawdown reduction</w:t>
      </w:r>
      <w:r>
        <w:t xml:space="preserve">. If you had simply bought these stocks and held them from 2021 to 2026, you would have suffered some worst-case loss from peak to trough. Our claim is that the model sidesteps a meaningful part of that loss while giving up as little upside as possible.</w:t>
      </w:r>
    </w:p>
    <w:p>
      <w:pPr>
        <w:spacing w:after="120" w:line="300"/>
      </w:pPr>
      <w:r>
        <w:t xml:space="preserve">The second result is </w:t>
      </w:r>
      <w:r>
        <w:rPr>
          <w:b/>
          <w:bCs/>
        </w:rPr>
        <w:t xml:space="preserve">lead time</w:t>
      </w:r>
      <w:r>
        <w:t xml:space="preserve">: how many trading days before a crash did we raise the alarm? This is reported as a distribution across all crash events, not a single average, because an average hides the events we missed entirely.</w:t>
      </w:r>
    </w:p>
    <w:p>
      <w:pPr>
        <w:pStyle w:val="Heading2"/>
        <w:spacing w:after="120" w:before="280"/>
      </w:pPr>
      <w:r>
        <w:t xml:space="preserve">1.2 Design constraints agreed up front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4400"/>
      </w:tblGrid>
      <w:tr>
        <w:trPr>
          <w:tblHeader/>
        </w:trPr>
        <w:tc>
          <w:tcPr>
            <w:tcW w:type="dxa" w:w="1900"/>
            <w:shd w:fill="1F4E79" w:val="clear"/>
            <w:tcMar>
              <w:top w:type="dxa" w:w="80"/>
              <w:left w:type="dxa" w:w="120"/>
              <w:bottom w:type="dxa" w:w="80"/>
              <w:right w:type="dxa" w:w="120"/>
            </w:tcMar>
          </w:tcPr>
          <w:p>
            <w:r>
              <w:rPr>
                <w:b/>
                <w:bCs/>
                <w:color w:val="FFFFFF"/>
                <w:sz w:val="19"/>
                <w:szCs w:val="19"/>
              </w:rPr>
              <w:t xml:space="preserve">Constraint</w:t>
            </w:r>
          </w:p>
        </w:tc>
        <w:tc>
          <w:tcPr>
            <w:tcW w:type="dxa" w:w="2700"/>
            <w:shd w:fill="1F4E79" w:val="clear"/>
            <w:tcMar>
              <w:top w:type="dxa" w:w="80"/>
              <w:left w:type="dxa" w:w="120"/>
              <w:bottom w:type="dxa" w:w="80"/>
              <w:right w:type="dxa" w:w="120"/>
            </w:tcMar>
          </w:tcPr>
          <w:p>
            <w:r>
              <w:rPr>
                <w:b/>
                <w:bCs/>
                <w:color w:val="FFFFFF"/>
                <w:sz w:val="19"/>
                <w:szCs w:val="19"/>
              </w:rPr>
              <w:t xml:space="preserve">Decision</w:t>
            </w:r>
          </w:p>
        </w:tc>
        <w:tc>
          <w:tcPr>
            <w:tcW w:type="dxa" w:w="4400"/>
            <w:shd w:fill="1F4E79" w:val="clear"/>
            <w:tcMar>
              <w:top w:type="dxa" w:w="80"/>
              <w:left w:type="dxa" w:w="120"/>
              <w:bottom w:type="dxa" w:w="80"/>
              <w:right w:type="dxa" w:w="120"/>
            </w:tcMar>
          </w:tcPr>
          <w:p>
            <w:r>
              <w:rPr>
                <w:b/>
                <w:bCs/>
                <w:color w:val="FFFFFF"/>
                <w:sz w:val="19"/>
                <w:szCs w:val="19"/>
              </w:rPr>
              <w:t xml:space="preserve">Why</w:t>
            </w:r>
          </w:p>
        </w:tc>
      </w:tr>
      <w:tr>
        <w:tc>
          <w:tcPr>
            <w:tcW w:type="dxa" w:w="1900"/>
            <w:shd w:fill="F5F8FB" w:val="clear"/>
            <w:tcMar>
              <w:top w:type="dxa" w:w="70"/>
              <w:left w:type="dxa" w:w="120"/>
              <w:bottom w:type="dxa" w:w="70"/>
              <w:right w:type="dxa" w:w="120"/>
            </w:tcMar>
          </w:tcPr>
          <w:p>
            <w:r>
              <w:rPr>
                <w:sz w:val="19"/>
                <w:szCs w:val="19"/>
              </w:rPr>
              <w:t xml:space="preserve">Direction</w:t>
            </w:r>
          </w:p>
        </w:tc>
        <w:tc>
          <w:tcPr>
            <w:tcW w:type="dxa" w:w="2700"/>
            <w:shd w:fill="F5F8FB" w:val="clear"/>
            <w:tcMar>
              <w:top w:type="dxa" w:w="70"/>
              <w:left w:type="dxa" w:w="120"/>
              <w:bottom w:type="dxa" w:w="70"/>
              <w:right w:type="dxa" w:w="120"/>
            </w:tcMar>
          </w:tcPr>
          <w:p>
            <w:r>
              <w:rPr>
                <w:sz w:val="19"/>
                <w:szCs w:val="19"/>
              </w:rPr>
              <w:t xml:space="preserve">Long-only, exit to cash</w:t>
            </w:r>
          </w:p>
        </w:tc>
        <w:tc>
          <w:tcPr>
            <w:tcW w:type="dxa" w:w="4400"/>
            <w:shd w:fill="F5F8FB" w:val="clear"/>
            <w:tcMar>
              <w:top w:type="dxa" w:w="70"/>
              <w:left w:type="dxa" w:w="120"/>
              <w:bottom w:type="dxa" w:w="70"/>
              <w:right w:type="dxa" w:w="120"/>
            </w:tcMar>
          </w:tcPr>
          <w:p>
            <w:r>
              <w:rPr>
                <w:sz w:val="19"/>
                <w:szCs w:val="19"/>
              </w:rPr>
              <w:t xml:space="preserve">Realistic for EOD cash equities; no borrowing or shorting complications</w:t>
            </w:r>
          </w:p>
        </w:tc>
      </w:tr>
      <w:tr>
        <w:tc>
          <w:tcPr>
            <w:tcW w:type="dxa" w:w="1900"/>
            <w:shd w:fill="FFFFFF" w:val="clear"/>
            <w:tcMar>
              <w:top w:type="dxa" w:w="70"/>
              <w:left w:type="dxa" w:w="120"/>
              <w:bottom w:type="dxa" w:w="70"/>
              <w:right w:type="dxa" w:w="120"/>
            </w:tcMar>
          </w:tcPr>
          <w:p>
            <w:r>
              <w:rPr>
                <w:sz w:val="19"/>
                <w:szCs w:val="19"/>
              </w:rPr>
              <w:t xml:space="preserve">Trade frequency</w:t>
            </w:r>
          </w:p>
        </w:tc>
        <w:tc>
          <w:tcPr>
            <w:tcW w:type="dxa" w:w="2700"/>
            <w:shd w:fill="FFFFFF" w:val="clear"/>
            <w:tcMar>
              <w:top w:type="dxa" w:w="70"/>
              <w:left w:type="dxa" w:w="120"/>
              <w:bottom w:type="dxa" w:w="70"/>
              <w:right w:type="dxa" w:w="120"/>
            </w:tcMar>
          </w:tcPr>
          <w:p>
            <w:r>
              <w:rPr>
                <w:sz w:val="19"/>
                <w:szCs w:val="19"/>
              </w:rPr>
              <w:t xml:space="preserve">Under ~10 round trips per stock over 5.5 years</w:t>
            </w:r>
          </w:p>
        </w:tc>
        <w:tc>
          <w:tcPr>
            <w:tcW w:type="dxa" w:w="4400"/>
            <w:shd w:fill="FFFFFF" w:val="clear"/>
            <w:tcMar>
              <w:top w:type="dxa" w:w="70"/>
              <w:left w:type="dxa" w:w="120"/>
              <w:bottom w:type="dxa" w:w="70"/>
              <w:right w:type="dxa" w:w="120"/>
            </w:tcMar>
          </w:tcPr>
          <w:p>
            <w:r>
              <w:rPr>
                <w:sz w:val="19"/>
                <w:szCs w:val="19"/>
              </w:rPr>
              <w:t xml:space="preserve">Costs and taxes make frequent trading self-defeating</w:t>
            </w:r>
          </w:p>
        </w:tc>
      </w:tr>
      <w:tr>
        <w:tc>
          <w:tcPr>
            <w:tcW w:type="dxa" w:w="1900"/>
            <w:shd w:fill="F5F8FB" w:val="clear"/>
            <w:tcMar>
              <w:top w:type="dxa" w:w="70"/>
              <w:left w:type="dxa" w:w="120"/>
              <w:bottom w:type="dxa" w:w="70"/>
              <w:right w:type="dxa" w:w="120"/>
            </w:tcMar>
          </w:tcPr>
          <w:p>
            <w:r>
              <w:rPr>
                <w:sz w:val="19"/>
                <w:szCs w:val="19"/>
              </w:rPr>
              <w:t xml:space="preserve">Data</w:t>
            </w:r>
          </w:p>
        </w:tc>
        <w:tc>
          <w:tcPr>
            <w:tcW w:type="dxa" w:w="2700"/>
            <w:shd w:fill="F5F8FB" w:val="clear"/>
            <w:tcMar>
              <w:top w:type="dxa" w:w="70"/>
              <w:left w:type="dxa" w:w="120"/>
              <w:bottom w:type="dxa" w:w="70"/>
              <w:right w:type="dxa" w:w="120"/>
            </w:tcMar>
          </w:tcPr>
          <w:p>
            <w:r>
              <w:rPr>
                <w:sz w:val="19"/>
                <w:szCs w:val="19"/>
              </w:rPr>
              <w:t xml:space="preserve">End-of-day daily bars</w:t>
            </w:r>
          </w:p>
        </w:tc>
        <w:tc>
          <w:tcPr>
            <w:tcW w:type="dxa" w:w="4400"/>
            <w:shd w:fill="F5F8FB" w:val="clear"/>
            <w:tcMar>
              <w:top w:type="dxa" w:w="70"/>
              <w:left w:type="dxa" w:w="120"/>
              <w:bottom w:type="dxa" w:w="70"/>
              <w:right w:type="dxa" w:w="120"/>
            </w:tcMar>
          </w:tcPr>
          <w:p>
            <w:r>
              <w:rPr>
                <w:sz w:val="19"/>
                <w:szCs w:val="19"/>
              </w:rPr>
              <w:t xml:space="preserve">No intraday data required</w:t>
            </w:r>
          </w:p>
        </w:tc>
      </w:tr>
      <w:tr>
        <w:tc>
          <w:tcPr>
            <w:tcW w:type="dxa" w:w="1900"/>
            <w:shd w:fill="FFFFFF" w:val="clear"/>
            <w:tcMar>
              <w:top w:type="dxa" w:w="70"/>
              <w:left w:type="dxa" w:w="120"/>
              <w:bottom w:type="dxa" w:w="70"/>
              <w:right w:type="dxa" w:w="120"/>
            </w:tcMar>
          </w:tcPr>
          <w:p>
            <w:r>
              <w:rPr>
                <w:sz w:val="19"/>
                <w:szCs w:val="19"/>
              </w:rPr>
              <w:t xml:space="preserve">Capital</w:t>
            </w:r>
          </w:p>
        </w:tc>
        <w:tc>
          <w:tcPr>
            <w:tcW w:type="dxa" w:w="2700"/>
            <w:shd w:fill="FFFFFF" w:val="clear"/>
            <w:tcMar>
              <w:top w:type="dxa" w:w="70"/>
              <w:left w:type="dxa" w:w="120"/>
              <w:bottom w:type="dxa" w:w="70"/>
              <w:right w:type="dxa" w:w="120"/>
            </w:tcMar>
          </w:tcPr>
          <w:p>
            <w:r>
              <w:rPr>
                <w:sz w:val="19"/>
                <w:szCs w:val="19"/>
              </w:rPr>
              <w:t xml:space="preserve">₹10,00,000, no leverage</w:t>
            </w:r>
          </w:p>
        </w:tc>
        <w:tc>
          <w:tcPr>
            <w:tcW w:type="dxa" w:w="4400"/>
            <w:shd w:fill="FFFFFF" w:val="clear"/>
            <w:tcMar>
              <w:top w:type="dxa" w:w="70"/>
              <w:left w:type="dxa" w:w="120"/>
              <w:bottom w:type="dxa" w:w="70"/>
              <w:right w:type="dxa" w:w="120"/>
            </w:tcMar>
          </w:tcPr>
          <w:p>
            <w:r>
              <w:rPr>
                <w:sz w:val="19"/>
                <w:szCs w:val="19"/>
              </w:rPr>
              <w:t xml:space="preserve">Fixed budget; position sizes must be whole shares</w:t>
            </w:r>
          </w:p>
        </w:tc>
      </w:tr>
      <w:tr>
        <w:tc>
          <w:tcPr>
            <w:tcW w:type="dxa" w:w="1900"/>
            <w:shd w:fill="F5F8FB" w:val="clear"/>
            <w:tcMar>
              <w:top w:type="dxa" w:w="70"/>
              <w:left w:type="dxa" w:w="120"/>
              <w:bottom w:type="dxa" w:w="70"/>
              <w:right w:type="dxa" w:w="120"/>
            </w:tcMar>
          </w:tcPr>
          <w:p>
            <w:r>
              <w:rPr>
                <w:sz w:val="19"/>
                <w:szCs w:val="19"/>
              </w:rPr>
              <w:t xml:space="preserve">Look-ahead</w:t>
            </w:r>
          </w:p>
        </w:tc>
        <w:tc>
          <w:tcPr>
            <w:tcW w:type="dxa" w:w="2700"/>
            <w:shd w:fill="F5F8FB" w:val="clear"/>
            <w:tcMar>
              <w:top w:type="dxa" w:w="70"/>
              <w:left w:type="dxa" w:w="120"/>
              <w:bottom w:type="dxa" w:w="70"/>
              <w:right w:type="dxa" w:w="120"/>
            </w:tcMar>
          </w:tcPr>
          <w:p>
            <w:r>
              <w:rPr>
                <w:sz w:val="19"/>
                <w:szCs w:val="19"/>
              </w:rPr>
              <w:t xml:space="preserve">Strictly forbidden, enforced by tests</w:t>
            </w:r>
          </w:p>
        </w:tc>
        <w:tc>
          <w:tcPr>
            <w:tcW w:type="dxa" w:w="4400"/>
            <w:shd w:fill="F5F8FB" w:val="clear"/>
            <w:tcMar>
              <w:top w:type="dxa" w:w="70"/>
              <w:left w:type="dxa" w:w="120"/>
              <w:bottom w:type="dxa" w:w="70"/>
              <w:right w:type="dxa" w:w="120"/>
            </w:tcMar>
          </w:tcPr>
          <w:p>
            <w:r>
              <w:rPr>
                <w:sz w:val="19"/>
                <w:szCs w:val="19"/>
              </w:rPr>
              <w:t xml:space="preserve">See section 3.3 — this is the single easiest way to fool yourself</w:t>
            </w:r>
          </w:p>
        </w:tc>
      </w:tr>
    </w:tbl>
    <w:p>
      <w:r>
        <w:br w:type="page"/>
      </w:r>
    </w:p>
    <w:p>
      <w:pPr>
        <w:pStyle w:val="Heading1"/>
        <w:spacing w:after="160" w:before="360"/>
      </w:pPr>
      <w:r>
        <w:t xml:space="preserve">2. Concepts you need, explained plainly</w:t>
      </w:r>
    </w:p>
    <w:p>
      <w:pPr>
        <w:spacing w:after="120" w:line="300"/>
      </w:pPr>
      <w:r>
        <w:t xml:space="preserve">This section assumes basic familiarity with markets and machine learning, and fills in the specific ideas this project leans on.</w:t>
      </w:r>
    </w:p>
    <w:p>
      <w:pPr>
        <w:pStyle w:val="Heading2"/>
        <w:spacing w:after="120" w:before="280"/>
      </w:pPr>
      <w:r>
        <w:t xml:space="preserve">2.1 Isolation Forest, and what it actually does</w:t>
      </w:r>
    </w:p>
    <w:p>
      <w:pPr>
        <w:spacing w:after="120" w:line="300"/>
      </w:pPr>
      <w:r>
        <w:t xml:space="preserve">Isolation Forest is an unsupervised anomaly detector. Unsupervised means nobody hands it labelled examples of crashes; it never sees a crash and is told “this is a crash”. It only learns what ordinary looks like, and then flags whatever fails to resemble that.</w:t>
      </w:r>
    </w:p>
    <w:p>
      <w:pPr>
        <w:spacing w:after="120" w:line="300"/>
      </w:pPr>
      <w:r>
        <w:t xml:space="preserve">The mechanism is unusual and worth understanding, because it explains the score. The algorithm builds many random decision trees. At each step it picks a feature at random and a split value at random, cutting the data in half over and over until every point sits alone in its own leaf. It then counts how many cuts each point needed.</w:t>
      </w:r>
    </w:p>
    <w:p>
      <w:pPr>
        <w:spacing w:after="120" w:line="300"/>
      </w:pPr>
      <w:r>
        <w:t xml:space="preserve">The insight is that </w:t>
      </w:r>
      <w:r>
        <w:rPr>
          <w:b/>
          <w:bCs/>
        </w:rPr>
        <w:t xml:space="preserve">outliers get isolated quickly</w:t>
      </w:r>
      <w:r>
        <w:t xml:space="preserve">. A point sitting far from everything else gets separated after only a few random cuts. A point buried in a dense cluster needs many cuts before it is alone. So the average number of cuts — the </w:t>
      </w:r>
      <w:r>
        <w:rPr>
          <w:i/>
          <w:iCs/>
        </w:rPr>
        <w:t xml:space="preserve">path length</w:t>
      </w:r>
      <w:r>
        <w:t xml:space="preserve"> — is a direct measure of how anomalous a point is. Short path means anomalous. This is why the method is fast: it never has to model what normal looks like, it just measures how easy something is to cut away.</w:t>
      </w:r>
    </w:p>
    <w:tbl>
      <w:tblPr>
        <w:tblW w:type="dxa" w:w="9000"/>
        <w:tblBorders>
          <w:top w:val="single" w:color="1F4E79" w:sz="2"/>
          <w:left w:val="single" w:color="1F4E79" w:sz="18"/>
          <w:bottom w:val="single" w:color="1F4E79" w:sz="2"/>
          <w:right w:val="single" w:color="1F4E79" w:sz="2"/>
          <w:insideH w:val="none"/>
          <w:insideV w:val="none"/>
        </w:tblBorders>
      </w:tblPr>
      <w:tblGrid>
        <w:gridCol w:w="9000"/>
      </w:tblGrid>
      <w:tr>
        <w:tc>
          <w:tcPr>
            <w:tcW w:type="dxa" w:w="9000"/>
            <w:shd w:fill="F7FAFD" w:val="clear"/>
            <w:tcMar>
              <w:top w:type="dxa" w:w="140"/>
              <w:left w:type="dxa" w:w="200"/>
              <w:bottom w:type="dxa" w:w="140"/>
              <w:right w:type="dxa" w:w="200"/>
            </w:tcMar>
          </w:tcPr>
          <w:p>
            <w:pPr>
              <w:spacing w:after="60"/>
            </w:pPr>
            <w:r>
              <w:rPr>
                <w:b/>
                <w:bCs/>
                <w:color w:val="1F4E79"/>
              </w:rPr>
              <w:t xml:space="preserve">The single most important caveat</w:t>
            </w:r>
          </w:p>
          <w:p>
            <w:pPr>
              <w:spacing w:after="40" w:line="300"/>
            </w:pPr>
            <w:r>
              <w:t xml:space="preserve">Isolation Forest is direction-blind. It flags unusual, not unusually bad. A violent rally is exactly as anomalous as a violent crash — both are far from ordinary.</w:t>
            </w:r>
          </w:p>
          <w:p>
            <w:pPr>
              <w:spacing w:after="40" w:line="300"/>
            </w:pPr>
            <w:r>
              <w:t xml:space="preserve">This means anomaly score alone can never produce a buy or a sell signal. It tells us something is happening. Slope tells us which direction. Acceleration tells us whether it is building or exhausting.</w:t>
            </w:r>
          </w:p>
          <w:p>
            <w:pPr>
              <w:spacing w:after="40" w:line="300"/>
            </w:pPr>
            <w:r>
              <w:t xml:space="preserve">That is the entire reason the slope/acceleration module exists.</w:t>
            </w:r>
          </w:p>
        </w:tc>
      </w:tr>
    </w:tbl>
    <w:p>
      <w:pPr>
        <w:pStyle w:val="Heading2"/>
        <w:spacing w:after="120" w:before="280"/>
      </w:pPr>
      <w:r>
        <w:t xml:space="preserve">2.2 Anomaly intensity: turning the score into something usable</w:t>
      </w:r>
    </w:p>
    <w:p>
      <w:pPr>
        <w:spacing w:after="120" w:line="300"/>
      </w:pPr>
      <w:r>
        <w:t xml:space="preserve">The raw score from scikit-learn is not stable across models. Its scale shifts with the </w:t>
      </w:r>
      <w:r>
        <w:rPr>
          <w:rFonts w:ascii="Consolas" w:cs="Consolas" w:eastAsia="Consolas" w:hAnsi="Consolas"/>
          <w:shd w:fill="F2F2F2" w:val="clear"/>
        </w:rPr>
        <w:t xml:space="preserve">contamination</w:t>
      </w:r>
      <w:r>
        <w:t xml:space="preserve"> setting, with the trees that happened to be built, and with the training window. Since we plan to compare four different retraining schemes, a fixed cutoff on the raw score would mean four different things and the comparison would be meaningless.</w:t>
      </w:r>
    </w:p>
    <w:p>
      <w:pPr>
        <w:spacing w:after="120" w:line="300"/>
      </w:pPr>
      <w:r>
        <w:t xml:space="preserve">So we convert the score into a percentile rank against the training data:</w:t>
      </w:r>
    </w:p>
    <w:p>
      <w:pPr>
        <w:shd w:fill="F2F2F2" w:val="clear"/>
        <w:spacing w:after="0" w:before="60"/>
        <w:ind w:left="240"/>
      </w:pPr>
      <w:r>
        <w:rPr>
          <w:rFonts w:ascii="Consolas" w:cs="Consolas" w:eastAsia="Consolas" w:hAnsi="Consolas"/>
          <w:sz w:val="18"/>
          <w:szCs w:val="18"/>
        </w:rPr>
        <w:t xml:space="preserve">intensity(x) = fraction of TRAINING days that were less anomalous than x</w:t>
      </w:r>
    </w:p>
    <w:p>
      <w:pPr>
        <w:shd w:fill="F2F2F2" w:val="clear"/>
        <w:spacing w:after="0" w:before="0"/>
        <w:ind w:left="240"/>
      </w:pPr>
      <w:r>
        <w:rPr>
          <w:rFonts w:ascii="Consolas" w:cs="Consolas" w:eastAsia="Consolas" w:hAnsi="Consolas"/>
          <w:sz w:val="18"/>
          <w:szCs w:val="18"/>
        </w:rPr>
        <w:t xml:space="preserve"> </w:t>
      </w:r>
    </w:p>
    <w:p>
      <w:pPr>
        <w:shd w:fill="F2F2F2" w:val="clear"/>
        <w:spacing w:after="0" w:before="0"/>
        <w:ind w:left="240"/>
      </w:pPr>
      <w:r>
        <w:rPr>
          <w:rFonts w:ascii="Consolas" w:cs="Consolas" w:eastAsia="Consolas" w:hAnsi="Consolas"/>
          <w:sz w:val="18"/>
          <w:szCs w:val="18"/>
        </w:rPr>
        <w:t xml:space="preserve">  intensity = 0.99  -&gt;  more unusual than 99% of training days</w:t>
      </w:r>
    </w:p>
    <w:p>
      <w:pPr>
        <w:shd w:fill="F2F2F2" w:val="clear"/>
        <w:spacing w:after="160" w:before="0"/>
        <w:ind w:left="240"/>
      </w:pPr>
      <w:r>
        <w:rPr>
          <w:rFonts w:ascii="Consolas" w:cs="Consolas" w:eastAsia="Consolas" w:hAnsi="Consolas"/>
          <w:sz w:val="18"/>
          <w:szCs w:val="18"/>
        </w:rPr>
        <w:t xml:space="preserve">  intensity = 0.50  -&gt;  a perfectly ordinary day</w:t>
      </w:r>
    </w:p>
    <w:p>
      <w:pPr>
        <w:spacing w:after="120" w:line="300"/>
      </w:pPr>
      <w:r>
        <w:t xml:space="preserve">This gives three properties we need. It means the same thing across all four retraining schemes. It means the same thing for HDFCBANK and for ADANIENT. And it is directly interpretable as an alert budget: a 0.99 threshold implies roughly two or three alerts per year before any confirmation is applied.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5300"/>
      </w:tblGrid>
      <w:tr>
        <w:trPr>
          <w:tblHeader/>
        </w:trPr>
        <w:tc>
          <w:tcPr>
            <w:tcW w:type="dxa" w:w="1500"/>
            <w:shd w:fill="1F4E79" w:val="clear"/>
            <w:tcMar>
              <w:top w:type="dxa" w:w="80"/>
              <w:left w:type="dxa" w:w="120"/>
              <w:bottom w:type="dxa" w:w="80"/>
              <w:right w:type="dxa" w:w="120"/>
            </w:tcMar>
          </w:tcPr>
          <w:p>
            <w:r>
              <w:rPr>
                <w:b/>
                <w:bCs/>
                <w:color w:val="FFFFFF"/>
                <w:sz w:val="19"/>
                <w:szCs w:val="19"/>
              </w:rPr>
              <w:t xml:space="preserve">Band</w:t>
            </w:r>
          </w:p>
        </w:tc>
        <w:tc>
          <w:tcPr>
            <w:tcW w:type="dxa" w:w="2200"/>
            <w:shd w:fill="1F4E79" w:val="clear"/>
            <w:tcMar>
              <w:top w:type="dxa" w:w="80"/>
              <w:left w:type="dxa" w:w="120"/>
              <w:bottom w:type="dxa" w:w="80"/>
              <w:right w:type="dxa" w:w="120"/>
            </w:tcMar>
          </w:tcPr>
          <w:p>
            <w:r>
              <w:rPr>
                <w:b/>
                <w:bCs/>
                <w:color w:val="FFFFFF"/>
                <w:sz w:val="19"/>
                <w:szCs w:val="19"/>
              </w:rPr>
              <w:t xml:space="preserve">Intensity</w:t>
            </w:r>
          </w:p>
        </w:tc>
        <w:tc>
          <w:tcPr>
            <w:tcW w:type="dxa" w:w="5300"/>
            <w:shd w:fill="1F4E79" w:val="clear"/>
            <w:tcMar>
              <w:top w:type="dxa" w:w="80"/>
              <w:left w:type="dxa" w:w="120"/>
              <w:bottom w:type="dxa" w:w="80"/>
              <w:right w:type="dxa" w:w="120"/>
            </w:tcMar>
          </w:tcPr>
          <w:p>
            <w:r>
              <w:rPr>
                <w:b/>
                <w:bCs/>
                <w:color w:val="FFFFFF"/>
                <w:sz w:val="19"/>
                <w:szCs w:val="19"/>
              </w:rPr>
              <w:t xml:space="preserve">What we do</w:t>
            </w:r>
          </w:p>
        </w:tc>
      </w:tr>
      <w:tr>
        <w:tc>
          <w:tcPr>
            <w:tcW w:type="dxa" w:w="1500"/>
            <w:shd w:fill="F5F8FB" w:val="clear"/>
            <w:tcMar>
              <w:top w:type="dxa" w:w="70"/>
              <w:left w:type="dxa" w:w="120"/>
              <w:bottom w:type="dxa" w:w="70"/>
              <w:right w:type="dxa" w:w="120"/>
            </w:tcMar>
          </w:tcPr>
          <w:p>
            <w:r>
              <w:rPr>
                <w:sz w:val="19"/>
                <w:szCs w:val="19"/>
              </w:rPr>
              <w:t xml:space="preserve">High</w:t>
            </w:r>
          </w:p>
        </w:tc>
        <w:tc>
          <w:tcPr>
            <w:tcW w:type="dxa" w:w="2200"/>
            <w:shd w:fill="F5F8FB" w:val="clear"/>
            <w:tcMar>
              <w:top w:type="dxa" w:w="70"/>
              <w:left w:type="dxa" w:w="120"/>
              <w:bottom w:type="dxa" w:w="70"/>
              <w:right w:type="dxa" w:w="120"/>
            </w:tcMar>
          </w:tcPr>
          <w:p>
            <w:r>
              <w:rPr>
                <w:sz w:val="19"/>
                <w:szCs w:val="19"/>
              </w:rPr>
              <w:t xml:space="preserve">≥ 0.99</w:t>
            </w:r>
          </w:p>
        </w:tc>
        <w:tc>
          <w:tcPr>
            <w:tcW w:type="dxa" w:w="5300"/>
            <w:shd w:fill="F5F8FB" w:val="clear"/>
            <w:tcMar>
              <w:top w:type="dxa" w:w="70"/>
              <w:left w:type="dxa" w:w="120"/>
              <w:bottom w:type="dxa" w:w="70"/>
              <w:right w:type="dxa" w:w="120"/>
            </w:tcMar>
          </w:tcPr>
          <w:p>
            <w:r>
              <w:rPr>
                <w:sz w:val="19"/>
                <w:szCs w:val="19"/>
              </w:rPr>
              <w:t xml:space="preserve">Act, if slope and acceleration confirm</w:t>
            </w:r>
          </w:p>
        </w:tc>
      </w:tr>
      <w:tr>
        <w:tc>
          <w:tcPr>
            <w:tcW w:type="dxa" w:w="1500"/>
            <w:shd w:fill="FFFFFF" w:val="clear"/>
            <w:tcMar>
              <w:top w:type="dxa" w:w="70"/>
              <w:left w:type="dxa" w:w="120"/>
              <w:bottom w:type="dxa" w:w="70"/>
              <w:right w:type="dxa" w:w="120"/>
            </w:tcMar>
          </w:tcPr>
          <w:p>
            <w:r>
              <w:rPr>
                <w:sz w:val="19"/>
                <w:szCs w:val="19"/>
              </w:rPr>
              <w:t xml:space="preserve">Moderate</w:t>
            </w:r>
          </w:p>
        </w:tc>
        <w:tc>
          <w:tcPr>
            <w:tcW w:type="dxa" w:w="2200"/>
            <w:shd w:fill="FFFFFF" w:val="clear"/>
            <w:tcMar>
              <w:top w:type="dxa" w:w="70"/>
              <w:left w:type="dxa" w:w="120"/>
              <w:bottom w:type="dxa" w:w="70"/>
              <w:right w:type="dxa" w:w="120"/>
            </w:tcMar>
          </w:tcPr>
          <w:p>
            <w:r>
              <w:rPr>
                <w:sz w:val="19"/>
                <w:szCs w:val="19"/>
              </w:rPr>
              <w:t xml:space="preserve">0.95 – 0.99</w:t>
            </w:r>
          </w:p>
        </w:tc>
        <w:tc>
          <w:tcPr>
            <w:tcW w:type="dxa" w:w="5300"/>
            <w:shd w:fill="FFFFFF" w:val="clear"/>
            <w:tcMar>
              <w:top w:type="dxa" w:w="70"/>
              <w:left w:type="dxa" w:w="120"/>
              <w:bottom w:type="dxa" w:w="70"/>
              <w:right w:type="dxa" w:w="120"/>
            </w:tcMar>
          </w:tcPr>
          <w:p>
            <w:r>
              <w:rPr>
                <w:sz w:val="19"/>
                <w:szCs w:val="19"/>
              </w:rPr>
              <w:t xml:space="preserve">Do not act. Watch for 3–5 days and see which way it resolves</w:t>
            </w:r>
          </w:p>
        </w:tc>
      </w:tr>
      <w:tr>
        <w:tc>
          <w:tcPr>
            <w:tcW w:type="dxa" w:w="1500"/>
            <w:shd w:fill="F5F8FB" w:val="clear"/>
            <w:tcMar>
              <w:top w:type="dxa" w:w="70"/>
              <w:left w:type="dxa" w:w="120"/>
              <w:bottom w:type="dxa" w:w="70"/>
              <w:right w:type="dxa" w:w="120"/>
            </w:tcMar>
          </w:tcPr>
          <w:p>
            <w:r>
              <w:rPr>
                <w:sz w:val="19"/>
                <w:szCs w:val="19"/>
              </w:rPr>
              <w:t xml:space="preserve">Low</w:t>
            </w:r>
          </w:p>
        </w:tc>
        <w:tc>
          <w:tcPr>
            <w:tcW w:type="dxa" w:w="2200"/>
            <w:shd w:fill="F5F8FB" w:val="clear"/>
            <w:tcMar>
              <w:top w:type="dxa" w:w="70"/>
              <w:left w:type="dxa" w:w="120"/>
              <w:bottom w:type="dxa" w:w="70"/>
              <w:right w:type="dxa" w:w="120"/>
            </w:tcMar>
          </w:tcPr>
          <w:p>
            <w:r>
              <w:rPr>
                <w:sz w:val="19"/>
                <w:szCs w:val="19"/>
              </w:rPr>
              <w:t xml:space="preserve">0.90 – 0.95</w:t>
            </w:r>
          </w:p>
        </w:tc>
        <w:tc>
          <w:tcPr>
            <w:tcW w:type="dxa" w:w="5300"/>
            <w:shd w:fill="F5F8FB" w:val="clear"/>
            <w:tcMar>
              <w:top w:type="dxa" w:w="70"/>
              <w:left w:type="dxa" w:w="120"/>
              <w:bottom w:type="dxa" w:w="70"/>
              <w:right w:type="dxa" w:w="120"/>
            </w:tcMar>
          </w:tcPr>
          <w:p>
            <w:r>
              <w:rPr>
                <w:sz w:val="19"/>
                <w:szCs w:val="19"/>
              </w:rPr>
              <w:t xml:space="preserve">Record only</w:t>
            </w:r>
          </w:p>
        </w:tc>
      </w:tr>
    </w:tbl>
    <w:p>
      <w:pPr>
        <w:pStyle w:val="Heading2"/>
        <w:spacing w:after="120" w:before="280"/>
      </w:pPr>
      <w:r>
        <w:t xml:space="preserve">2.3 Slope and acceleration</w:t>
      </w:r>
    </w:p>
    <w:p>
      <w:pPr>
        <w:spacing w:after="120" w:line="300"/>
      </w:pPr>
      <w:r>
        <w:t xml:space="preserve">If you plot a stock price, slope is how steeply it is moving and acceleration is whether that steepness is increasing or easing off. In calculus terms they are the first and second derivative.</w:t>
      </w:r>
    </w:p>
    <w:p>
      <w:pPr>
        <w:spacing w:after="120" w:line="300"/>
      </w:pPr>
      <w:r>
        <w:t xml:space="preserve">We measure both on the </w:t>
      </w:r>
      <w:r>
        <w:rPr>
          <w:b/>
          <w:bCs/>
        </w:rPr>
        <w:t xml:space="preserve">logarithm</w:t>
      </w:r>
      <w:r>
        <w:t xml:space="preserve"> of price rather than on price itself. The reason is comparability: a ₹10 move means something very different for a ₹200 stock than for a ₹20,000 stock. The slope of log price is percentage change per day, which means the same thing everywhere. It also makes the measure immune to stock splits.</w:t>
      </w:r>
    </w:p>
    <w:p>
      <w:pPr>
        <w:spacing w:after="120" w:line="300"/>
      </w:pPr>
      <w:r>
        <w:t xml:space="preserve">The sign of the pair is the whole signal logic: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500"/>
        <w:gridCol w:w="3600"/>
      </w:tblGrid>
      <w:tr>
        <w:trPr>
          <w:tblHeader/>
        </w:trPr>
        <w:tc>
          <w:tcPr>
            <w:tcW w:type="dxa" w:w="1300"/>
            <w:shd w:fill="1F4E79" w:val="clear"/>
            <w:tcMar>
              <w:top w:type="dxa" w:w="80"/>
              <w:left w:type="dxa" w:w="120"/>
              <w:bottom w:type="dxa" w:w="80"/>
              <w:right w:type="dxa" w:w="120"/>
            </w:tcMar>
          </w:tcPr>
          <w:p>
            <w:r>
              <w:rPr>
                <w:b/>
                <w:bCs/>
                <w:color w:val="FFFFFF"/>
                <w:sz w:val="19"/>
                <w:szCs w:val="19"/>
              </w:rPr>
              <w:t xml:space="preserve">Slope</w:t>
            </w:r>
          </w:p>
        </w:tc>
        <w:tc>
          <w:tcPr>
            <w:tcW w:type="dxa" w:w="1600"/>
            <w:shd w:fill="1F4E79" w:val="clear"/>
            <w:tcMar>
              <w:top w:type="dxa" w:w="80"/>
              <w:left w:type="dxa" w:w="120"/>
              <w:bottom w:type="dxa" w:w="80"/>
              <w:right w:type="dxa" w:w="120"/>
            </w:tcMar>
          </w:tcPr>
          <w:p>
            <w:r>
              <w:rPr>
                <w:b/>
                <w:bCs/>
                <w:color w:val="FFFFFF"/>
                <w:sz w:val="19"/>
                <w:szCs w:val="19"/>
              </w:rPr>
              <w:t xml:space="preserve">Acceleration</w:t>
            </w:r>
          </w:p>
        </w:tc>
        <w:tc>
          <w:tcPr>
            <w:tcW w:type="dxa" w:w="2500"/>
            <w:shd w:fill="1F4E79" w:val="clear"/>
            <w:tcMar>
              <w:top w:type="dxa" w:w="80"/>
              <w:left w:type="dxa" w:w="120"/>
              <w:bottom w:type="dxa" w:w="80"/>
              <w:right w:type="dxa" w:w="120"/>
            </w:tcMar>
          </w:tcPr>
          <w:p>
            <w:r>
              <w:rPr>
                <w:b/>
                <w:bCs/>
                <w:color w:val="FFFFFF"/>
                <w:sz w:val="19"/>
                <w:szCs w:val="19"/>
              </w:rPr>
              <w:t xml:space="preserve">Phase</w:t>
            </w:r>
          </w:p>
        </w:tc>
        <w:tc>
          <w:tcPr>
            <w:tcW w:type="dxa" w:w="3600"/>
            <w:shd w:fill="1F4E79" w:val="clear"/>
            <w:tcMar>
              <w:top w:type="dxa" w:w="80"/>
              <w:left w:type="dxa" w:w="120"/>
              <w:bottom w:type="dxa" w:w="80"/>
              <w:right w:type="dxa" w:w="120"/>
            </w:tcMar>
          </w:tcPr>
          <w:p>
            <w:r>
              <w:rPr>
                <w:b/>
                <w:bCs/>
                <w:color w:val="FFFFFF"/>
                <w:sz w:val="19"/>
                <w:szCs w:val="19"/>
              </w:rPr>
              <w:t xml:space="preserve">Reading</w:t>
            </w:r>
          </w:p>
        </w:tc>
      </w:tr>
      <w:tr>
        <w:tc>
          <w:tcPr>
            <w:tcW w:type="dxa" w:w="1300"/>
            <w:shd w:fill="F5F8FB" w:val="clear"/>
            <w:tcMar>
              <w:top w:type="dxa" w:w="70"/>
              <w:left w:type="dxa" w:w="120"/>
              <w:bottom w:type="dxa" w:w="70"/>
              <w:right w:type="dxa" w:w="120"/>
            </w:tcMar>
          </w:tcPr>
          <w:p>
            <w:r>
              <w:rPr>
                <w:sz w:val="19"/>
                <w:szCs w:val="19"/>
              </w:rPr>
              <w:t xml:space="preserve">Negative</w:t>
            </w:r>
          </w:p>
        </w:tc>
        <w:tc>
          <w:tcPr>
            <w:tcW w:type="dxa" w:w="1600"/>
            <w:shd w:fill="F5F8FB" w:val="clear"/>
            <w:tcMar>
              <w:top w:type="dxa" w:w="70"/>
              <w:left w:type="dxa" w:w="120"/>
              <w:bottom w:type="dxa" w:w="70"/>
              <w:right w:type="dxa" w:w="120"/>
            </w:tcMar>
          </w:tcPr>
          <w:p>
            <w:r>
              <w:rPr>
                <w:sz w:val="19"/>
                <w:szCs w:val="19"/>
              </w:rPr>
              <w:t xml:space="preserve">Negative</w:t>
            </w:r>
          </w:p>
        </w:tc>
        <w:tc>
          <w:tcPr>
            <w:tcW w:type="dxa" w:w="2500"/>
            <w:shd w:fill="F5F8FB" w:val="clear"/>
            <w:tcMar>
              <w:top w:type="dxa" w:w="70"/>
              <w:left w:type="dxa" w:w="120"/>
              <w:bottom w:type="dxa" w:w="70"/>
              <w:right w:type="dxa" w:w="120"/>
            </w:tcMar>
          </w:tcPr>
          <w:p>
            <w:r>
              <w:rPr>
                <w:sz w:val="19"/>
                <w:szCs w:val="19"/>
              </w:rPr>
              <w:t xml:space="preserve">AcceleratingDecline</w:t>
            </w:r>
          </w:p>
        </w:tc>
        <w:tc>
          <w:tcPr>
            <w:tcW w:type="dxa" w:w="3600"/>
            <w:shd w:fill="F5F8FB" w:val="clear"/>
            <w:tcMar>
              <w:top w:type="dxa" w:w="70"/>
              <w:left w:type="dxa" w:w="120"/>
              <w:bottom w:type="dxa" w:w="70"/>
              <w:right w:type="dxa" w:w="120"/>
            </w:tcMar>
          </w:tcPr>
          <w:p>
            <w:r>
              <w:rPr>
                <w:sz w:val="19"/>
                <w:szCs w:val="19"/>
              </w:rPr>
              <w:t xml:space="preserve">Falling and getting worse — crash developing, EXIT</w:t>
            </w:r>
          </w:p>
        </w:tc>
      </w:tr>
      <w:tr>
        <w:tc>
          <w:tcPr>
            <w:tcW w:type="dxa" w:w="1300"/>
            <w:shd w:fill="FFFFFF" w:val="clear"/>
            <w:tcMar>
              <w:top w:type="dxa" w:w="70"/>
              <w:left w:type="dxa" w:w="120"/>
              <w:bottom w:type="dxa" w:w="70"/>
              <w:right w:type="dxa" w:w="120"/>
            </w:tcMar>
          </w:tcPr>
          <w:p>
            <w:r>
              <w:rPr>
                <w:sz w:val="19"/>
                <w:szCs w:val="19"/>
              </w:rPr>
              <w:t xml:space="preserve">Negative</w:t>
            </w:r>
          </w:p>
        </w:tc>
        <w:tc>
          <w:tcPr>
            <w:tcW w:type="dxa" w:w="1600"/>
            <w:shd w:fill="FFFFFF" w:val="clear"/>
            <w:tcMar>
              <w:top w:type="dxa" w:w="70"/>
              <w:left w:type="dxa" w:w="120"/>
              <w:bottom w:type="dxa" w:w="70"/>
              <w:right w:type="dxa" w:w="120"/>
            </w:tcMar>
          </w:tcPr>
          <w:p>
            <w:r>
              <w:rPr>
                <w:sz w:val="19"/>
                <w:szCs w:val="19"/>
              </w:rPr>
              <w:t xml:space="preserve">Positive</w:t>
            </w:r>
          </w:p>
        </w:tc>
        <w:tc>
          <w:tcPr>
            <w:tcW w:type="dxa" w:w="2500"/>
            <w:shd w:fill="FFFFFF" w:val="clear"/>
            <w:tcMar>
              <w:top w:type="dxa" w:w="70"/>
              <w:left w:type="dxa" w:w="120"/>
              <w:bottom w:type="dxa" w:w="70"/>
              <w:right w:type="dxa" w:w="120"/>
            </w:tcMar>
          </w:tcPr>
          <w:p>
            <w:r>
              <w:rPr>
                <w:sz w:val="19"/>
                <w:szCs w:val="19"/>
              </w:rPr>
              <w:t xml:space="preserve">DeceleratingDecline</w:t>
            </w:r>
          </w:p>
        </w:tc>
        <w:tc>
          <w:tcPr>
            <w:tcW w:type="dxa" w:w="3600"/>
            <w:shd w:fill="FFFFFF" w:val="clear"/>
            <w:tcMar>
              <w:top w:type="dxa" w:w="70"/>
              <w:left w:type="dxa" w:w="120"/>
              <w:bottom w:type="dxa" w:w="70"/>
              <w:right w:type="dxa" w:w="120"/>
            </w:tcMar>
          </w:tcPr>
          <w:p>
            <w:r>
              <w:rPr>
                <w:sz w:val="19"/>
                <w:szCs w:val="19"/>
              </w:rPr>
              <w:t xml:space="preserve">Still falling but easing — selloff exhausting, watch</w:t>
            </w:r>
          </w:p>
        </w:tc>
      </w:tr>
      <w:tr>
        <w:tc>
          <w:tcPr>
            <w:tcW w:type="dxa" w:w="1300"/>
            <w:shd w:fill="F5F8FB" w:val="clear"/>
            <w:tcMar>
              <w:top w:type="dxa" w:w="70"/>
              <w:left w:type="dxa" w:w="120"/>
              <w:bottom w:type="dxa" w:w="70"/>
              <w:right w:type="dxa" w:w="120"/>
            </w:tcMar>
          </w:tcPr>
          <w:p>
            <w:r>
              <w:rPr>
                <w:sz w:val="19"/>
                <w:szCs w:val="19"/>
              </w:rPr>
              <w:t xml:space="preserve">Positive</w:t>
            </w:r>
          </w:p>
        </w:tc>
        <w:tc>
          <w:tcPr>
            <w:tcW w:type="dxa" w:w="1600"/>
            <w:shd w:fill="F5F8FB" w:val="clear"/>
            <w:tcMar>
              <w:top w:type="dxa" w:w="70"/>
              <w:left w:type="dxa" w:w="120"/>
              <w:bottom w:type="dxa" w:w="70"/>
              <w:right w:type="dxa" w:w="120"/>
            </w:tcMar>
          </w:tcPr>
          <w:p>
            <w:r>
              <w:rPr>
                <w:sz w:val="19"/>
                <w:szCs w:val="19"/>
              </w:rPr>
              <w:t xml:space="preserve">Positive</w:t>
            </w:r>
          </w:p>
        </w:tc>
        <w:tc>
          <w:tcPr>
            <w:tcW w:type="dxa" w:w="2500"/>
            <w:shd w:fill="F5F8FB" w:val="clear"/>
            <w:tcMar>
              <w:top w:type="dxa" w:w="70"/>
              <w:left w:type="dxa" w:w="120"/>
              <w:bottom w:type="dxa" w:w="70"/>
              <w:right w:type="dxa" w:w="120"/>
            </w:tcMar>
          </w:tcPr>
          <w:p>
            <w:r>
              <w:rPr>
                <w:sz w:val="19"/>
                <w:szCs w:val="19"/>
              </w:rPr>
              <w:t xml:space="preserve">AcceleratingAdvance</w:t>
            </w:r>
          </w:p>
        </w:tc>
        <w:tc>
          <w:tcPr>
            <w:tcW w:type="dxa" w:w="3600"/>
            <w:shd w:fill="F5F8FB" w:val="clear"/>
            <w:tcMar>
              <w:top w:type="dxa" w:w="70"/>
              <w:left w:type="dxa" w:w="120"/>
              <w:bottom w:type="dxa" w:w="70"/>
              <w:right w:type="dxa" w:w="120"/>
            </w:tcMar>
          </w:tcPr>
          <w:p>
            <w:r>
              <w:rPr>
                <w:sz w:val="19"/>
                <w:szCs w:val="19"/>
              </w:rPr>
              <w:t xml:space="preserve">Rising and speeding up — rally developing, ENTER</w:t>
            </w:r>
          </w:p>
        </w:tc>
      </w:tr>
      <w:tr>
        <w:tc>
          <w:tcPr>
            <w:tcW w:type="dxa" w:w="1300"/>
            <w:shd w:fill="FFFFFF" w:val="clear"/>
            <w:tcMar>
              <w:top w:type="dxa" w:w="70"/>
              <w:left w:type="dxa" w:w="120"/>
              <w:bottom w:type="dxa" w:w="70"/>
              <w:right w:type="dxa" w:w="120"/>
            </w:tcMar>
          </w:tcPr>
          <w:p>
            <w:r>
              <w:rPr>
                <w:sz w:val="19"/>
                <w:szCs w:val="19"/>
              </w:rPr>
              <w:t xml:space="preserve">Positive</w:t>
            </w:r>
          </w:p>
        </w:tc>
        <w:tc>
          <w:tcPr>
            <w:tcW w:type="dxa" w:w="1600"/>
            <w:shd w:fill="FFFFFF" w:val="clear"/>
            <w:tcMar>
              <w:top w:type="dxa" w:w="70"/>
              <w:left w:type="dxa" w:w="120"/>
              <w:bottom w:type="dxa" w:w="70"/>
              <w:right w:type="dxa" w:w="120"/>
            </w:tcMar>
          </w:tcPr>
          <w:p>
            <w:r>
              <w:rPr>
                <w:sz w:val="19"/>
                <w:szCs w:val="19"/>
              </w:rPr>
              <w:t xml:space="preserve">Negative</w:t>
            </w:r>
          </w:p>
        </w:tc>
        <w:tc>
          <w:tcPr>
            <w:tcW w:type="dxa" w:w="2500"/>
            <w:shd w:fill="FFFFFF" w:val="clear"/>
            <w:tcMar>
              <w:top w:type="dxa" w:w="70"/>
              <w:left w:type="dxa" w:w="120"/>
              <w:bottom w:type="dxa" w:w="70"/>
              <w:right w:type="dxa" w:w="120"/>
            </w:tcMar>
          </w:tcPr>
          <w:p>
            <w:r>
              <w:rPr>
                <w:sz w:val="19"/>
                <w:szCs w:val="19"/>
              </w:rPr>
              <w:t xml:space="preserve">DeceleratingAdvance</w:t>
            </w:r>
          </w:p>
        </w:tc>
        <w:tc>
          <w:tcPr>
            <w:tcW w:type="dxa" w:w="3600"/>
            <w:shd w:fill="FFFFFF" w:val="clear"/>
            <w:tcMar>
              <w:top w:type="dxa" w:w="70"/>
              <w:left w:type="dxa" w:w="120"/>
              <w:bottom w:type="dxa" w:w="70"/>
              <w:right w:type="dxa" w:w="120"/>
            </w:tcMar>
          </w:tcPr>
          <w:p>
            <w:r>
              <w:rPr>
                <w:sz w:val="19"/>
                <w:szCs w:val="19"/>
              </w:rPr>
              <w:t xml:space="preserve">Still rising but tiring — topping out, caution</w:t>
            </w:r>
          </w:p>
        </w:tc>
      </w:tr>
    </w:tbl>
    <w:p>
      <w:pPr>
        <w:pStyle w:val="Heading2"/>
        <w:spacing w:after="120" w:before="280"/>
      </w:pPr>
      <w:r>
        <w:t xml:space="preserve">2.4 Normalising by volatility, and a trap inside it</w:t>
      </w:r>
    </w:p>
    <w:p>
      <w:pPr>
        <w:spacing w:after="120" w:line="300"/>
      </w:pPr>
      <w:r>
        <w:t xml:space="preserve">A slope of minus one percent per day is a routine Tuesday for a volatile stock and a genuine emergency for a stable one. To compare across the universe we divide slope by the stock's own recent volatility, giving a reading in units of “daily standard deviations”. That lets one global threshold serve all 100 stocks instead of 100 hand-tuned ones.</w:t>
      </w:r>
    </w:p>
    <w:tbl>
      <w:tblPr>
        <w:tblW w:type="dxa" w:w="9000"/>
        <w:tblBorders>
          <w:top w:val="single" w:color="1F4E79" w:sz="2"/>
          <w:left w:val="single" w:color="1F4E79" w:sz="18"/>
          <w:bottom w:val="single" w:color="1F4E79" w:sz="2"/>
          <w:right w:val="single" w:color="1F4E79" w:sz="2"/>
          <w:insideH w:val="none"/>
          <w:insideV w:val="none"/>
        </w:tblBorders>
      </w:tblPr>
      <w:tblGrid>
        <w:gridCol w:w="9000"/>
      </w:tblGrid>
      <w:tr>
        <w:tc>
          <w:tcPr>
            <w:tcW w:type="dxa" w:w="9000"/>
            <w:shd w:fill="F7FAFD" w:val="clear"/>
            <w:tcMar>
              <w:top w:type="dxa" w:w="140"/>
              <w:left w:type="dxa" w:w="200"/>
              <w:bottom w:type="dxa" w:w="140"/>
              <w:right w:type="dxa" w:w="200"/>
            </w:tcMar>
          </w:tcPr>
          <w:p>
            <w:pPr>
              <w:spacing w:after="60"/>
            </w:pPr>
            <w:r>
              <w:rPr>
                <w:b/>
                <w:bCs/>
                <w:color w:val="1F4E79"/>
              </w:rPr>
              <w:t xml:space="preserve">A bug this project actually hit</w:t>
            </w:r>
          </w:p>
          <w:p>
            <w:pPr>
              <w:spacing w:after="40" w:line="300"/>
            </w:pPr>
            <w:r>
              <w:t xml:space="preserve">The first version divided by volatility measured over the most recent 60 days. On real RELIANCE data the COVID crash then scored only -1.67 sigma, when it plainly deserved worse.</w:t>
            </w:r>
          </w:p>
          <w:p>
            <w:pPr>
              <w:spacing w:after="40" w:line="300"/>
            </w:pPr>
            <w:r>
              <w:t xml:space="preserve">The reason: by mid-March 2020 the 60-day volatility window was itself full of crash days. The denominator had grown, so the crash was quietly dividing away its own signal.</w:t>
            </w:r>
          </w:p>
          <w:p>
            <w:pPr>
              <w:spacing w:after="40" w:line="300"/>
            </w:pPr>
            <w:r>
              <w:t xml:space="preserve">The fix is to lag the volatility estimate by 20 days, so it describes the calm the move is departing FROM rather than the chaos it is creating. The same crash then scores -3.01 sigma. There is a regression test pinning this.</w:t>
            </w:r>
          </w:p>
        </w:tc>
      </w:tr>
    </w:tbl>
    <w:p>
      <w:pPr>
        <w:pStyle w:val="Heading2"/>
        <w:spacing w:after="120" w:before="280"/>
      </w:pPr>
      <w:r>
        <w:t xml:space="preserve">2.5 Drawdown</w:t>
      </w:r>
    </w:p>
    <w:p>
      <w:pPr>
        <w:spacing w:after="120" w:line="300"/>
      </w:pPr>
      <w:r>
        <w:t xml:space="preserve">Drawdown is how far you are below your best-ever value. If your portfolio peaked at ₹12 lakh and now sits at ₹9 lakh, you are in a 25% drawdown. Maximum drawdown is the worst such figure over the whole period, and it is the number that decides whether a strategy is actually livable.</w:t>
      </w:r>
    </w:p>
    <w:p>
      <w:pPr>
        <w:shd w:fill="F2F2F2" w:val="clear"/>
        <w:spacing w:after="0" w:before="60"/>
        <w:ind w:left="240"/>
      </w:pPr>
      <w:r>
        <w:rPr>
          <w:rFonts w:ascii="Consolas" w:cs="Consolas" w:eastAsia="Consolas" w:hAnsi="Consolas"/>
          <w:sz w:val="18"/>
          <w:szCs w:val="18"/>
        </w:rPr>
        <w:t xml:space="preserve">equity_t = portfolio value on day t, after all costs</w:t>
      </w:r>
    </w:p>
    <w:p>
      <w:pPr>
        <w:shd w:fill="F2F2F2" w:val="clear"/>
        <w:spacing w:after="0" w:before="0"/>
        <w:ind w:left="240"/>
      </w:pPr>
      <w:r>
        <w:rPr>
          <w:rFonts w:ascii="Consolas" w:cs="Consolas" w:eastAsia="Consolas" w:hAnsi="Consolas"/>
          <w:sz w:val="18"/>
          <w:szCs w:val="18"/>
        </w:rPr>
        <w:t xml:space="preserve">peak_t   = highest equity seen up to day t</w:t>
      </w:r>
    </w:p>
    <w:p>
      <w:pPr>
        <w:shd w:fill="F2F2F2" w:val="clear"/>
        <w:spacing w:after="0" w:before="0"/>
        <w:ind w:left="240"/>
      </w:pPr>
      <w:r>
        <w:rPr>
          <w:rFonts w:ascii="Consolas" w:cs="Consolas" w:eastAsia="Consolas" w:hAnsi="Consolas"/>
          <w:sz w:val="18"/>
          <w:szCs w:val="18"/>
        </w:rPr>
        <w:t xml:space="preserve">dd_t     = equity_t / peak_t - 1        (always &lt;= 0)</w:t>
      </w:r>
    </w:p>
    <w:p>
      <w:pPr>
        <w:shd w:fill="F2F2F2" w:val="clear"/>
        <w:spacing w:after="160" w:before="0"/>
        <w:ind w:left="240"/>
      </w:pPr>
      <w:r>
        <w:rPr>
          <w:rFonts w:ascii="Consolas" w:cs="Consolas" w:eastAsia="Consolas" w:hAnsi="Consolas"/>
          <w:sz w:val="18"/>
          <w:szCs w:val="18"/>
        </w:rPr>
        <w:t xml:space="preserve">max_dd   = the most negative dd_t</w:t>
      </w:r>
    </w:p>
    <w:p>
      <w:pPr>
        <w:spacing w:after="120" w:line="300"/>
      </w:pPr>
      <w:r>
        <w:t xml:space="preserve">We also report time under water (how many days spent below the previous peak) and time to recovery. Those two are reliability metrics, which is what lets the cyber-physical-systems framing in the research paper be literal rather than decorative.</w:t>
      </w:r>
    </w:p>
    <w:p>
      <w:r>
        <w:br w:type="page"/>
      </w:r>
    </w:p>
    <w:p>
      <w:pPr>
        <w:pStyle w:val="Heading1"/>
        <w:spacing w:after="160" w:before="360"/>
      </w:pPr>
      <w:r>
        <w:t xml:space="preserve">3. Phase 0 — Data audit</w:t>
      </w:r>
    </w:p>
    <w:p>
      <w:pPr>
        <w:spacing w:after="120" w:line="300"/>
      </w:pPr>
      <w:r>
        <w:t xml:space="preserve">Before writing any model code we audited the 100 supplied CSV files. Five defects were found, each of which would have silently corrupted results.</w:t>
      </w:r>
    </w:p>
    <w:p>
      <w:pPr>
        <w:pStyle w:val="Heading2"/>
        <w:spacing w:after="120" w:before="280"/>
      </w:pPr>
      <w:r>
        <w:t xml:space="preserve">3.1 What was found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3400"/>
        <w:gridCol w:w="2800"/>
      </w:tblGrid>
      <w:tr>
        <w:trPr>
          <w:tblHeader/>
        </w:trPr>
        <w:tc>
          <w:tcPr>
            <w:tcW w:type="dxa" w:w="500"/>
            <w:shd w:fill="1F4E79" w:val="clear"/>
            <w:tcMar>
              <w:top w:type="dxa" w:w="80"/>
              <w:left w:type="dxa" w:w="120"/>
              <w:bottom w:type="dxa" w:w="80"/>
              <w:right w:type="dxa" w:w="120"/>
            </w:tcMar>
          </w:tcPr>
          <w:p>
            <w:r>
              <w:rPr>
                <w:b/>
                <w:bCs/>
                <w:color w:val="FFFFFF"/>
                <w:sz w:val="19"/>
                <w:szCs w:val="19"/>
              </w:rPr>
              <w:t xml:space="preserve">#</w:t>
            </w:r>
          </w:p>
        </w:tc>
        <w:tc>
          <w:tcPr>
            <w:tcW w:type="dxa" w:w="2300"/>
            <w:shd w:fill="1F4E79" w:val="clear"/>
            <w:tcMar>
              <w:top w:type="dxa" w:w="80"/>
              <w:left w:type="dxa" w:w="120"/>
              <w:bottom w:type="dxa" w:w="80"/>
              <w:right w:type="dxa" w:w="120"/>
            </w:tcMar>
          </w:tcPr>
          <w:p>
            <w:r>
              <w:rPr>
                <w:b/>
                <w:bCs/>
                <w:color w:val="FFFFFF"/>
                <w:sz w:val="19"/>
                <w:szCs w:val="19"/>
              </w:rPr>
              <w:t xml:space="preserve">Defect</w:t>
            </w:r>
          </w:p>
        </w:tc>
        <w:tc>
          <w:tcPr>
            <w:tcW w:type="dxa" w:w="3400"/>
            <w:shd w:fill="1F4E79" w:val="clear"/>
            <w:tcMar>
              <w:top w:type="dxa" w:w="80"/>
              <w:left w:type="dxa" w:w="120"/>
              <w:bottom w:type="dxa" w:w="80"/>
              <w:right w:type="dxa" w:w="120"/>
            </w:tcMar>
          </w:tcPr>
          <w:p>
            <w:r>
              <w:rPr>
                <w:b/>
                <w:bCs/>
                <w:color w:val="FFFFFF"/>
                <w:sz w:val="19"/>
                <w:szCs w:val="19"/>
              </w:rPr>
              <w:t xml:space="preserve">Evidence</w:t>
            </w:r>
          </w:p>
        </w:tc>
        <w:tc>
          <w:tcPr>
            <w:tcW w:type="dxa" w:w="2800"/>
            <w:shd w:fill="1F4E79" w:val="clear"/>
            <w:tcMar>
              <w:top w:type="dxa" w:w="80"/>
              <w:left w:type="dxa" w:w="120"/>
              <w:bottom w:type="dxa" w:w="80"/>
              <w:right w:type="dxa" w:w="120"/>
            </w:tcMar>
          </w:tcPr>
          <w:p>
            <w:r>
              <w:rPr>
                <w:b/>
                <w:bCs/>
                <w:color w:val="FFFFFF"/>
                <w:sz w:val="19"/>
                <w:szCs w:val="19"/>
              </w:rPr>
              <w:t xml:space="preserve">Consequence if ignored</w:t>
            </w:r>
          </w:p>
        </w:tc>
      </w:tr>
      <w:tr>
        <w:tc>
          <w:tcPr>
            <w:tcW w:type="dxa" w:w="500"/>
            <w:shd w:fill="F5F8FB" w:val="clear"/>
            <w:tcMar>
              <w:top w:type="dxa" w:w="70"/>
              <w:left w:type="dxa" w:w="120"/>
              <w:bottom w:type="dxa" w:w="70"/>
              <w:right w:type="dxa" w:w="120"/>
            </w:tcMar>
          </w:tcPr>
          <w:p>
            <w:r>
              <w:rPr>
                <w:sz w:val="19"/>
                <w:szCs w:val="19"/>
              </w:rPr>
              <w:t xml:space="preserve">1</w:t>
            </w:r>
          </w:p>
        </w:tc>
        <w:tc>
          <w:tcPr>
            <w:tcW w:type="dxa" w:w="2300"/>
            <w:shd w:fill="F5F8FB" w:val="clear"/>
            <w:tcMar>
              <w:top w:type="dxa" w:w="70"/>
              <w:left w:type="dxa" w:w="120"/>
              <w:bottom w:type="dxa" w:w="70"/>
              <w:right w:type="dxa" w:w="120"/>
            </w:tcMar>
          </w:tcPr>
          <w:p>
            <w:r>
              <w:rPr>
                <w:sz w:val="19"/>
                <w:szCs w:val="19"/>
              </w:rPr>
              <w:t xml:space="preserve">adj_close is not an adjusted series</w:t>
            </w:r>
          </w:p>
        </w:tc>
        <w:tc>
          <w:tcPr>
            <w:tcW w:type="dxa" w:w="3400"/>
            <w:shd w:fill="F5F8FB" w:val="clear"/>
            <w:tcMar>
              <w:top w:type="dxa" w:w="70"/>
              <w:left w:type="dxa" w:w="120"/>
              <w:bottom w:type="dxa" w:w="70"/>
              <w:right w:type="dxa" w:w="120"/>
            </w:tcMar>
          </w:tcPr>
          <w:p>
            <w:r>
              <w:rPr>
                <w:sz w:val="19"/>
                <w:szCs w:val="19"/>
              </w:rPr>
              <w:t xml:space="preserve">Differs from close on ~30 of ~5,800 bars; a real adjustment factor differs on every bar before the last corporate action</w:t>
            </w:r>
          </w:p>
        </w:tc>
        <w:tc>
          <w:tcPr>
            <w:tcW w:type="dxa" w:w="2800"/>
            <w:shd w:fill="F5F8FB" w:val="clear"/>
            <w:tcMar>
              <w:top w:type="dxa" w:w="70"/>
              <w:left w:type="dxa" w:w="120"/>
              <w:bottom w:type="dxa" w:w="70"/>
              <w:right w:type="dxa" w:w="120"/>
            </w:tcMar>
          </w:tcPr>
          <w:p>
            <w:r>
              <w:rPr>
                <w:sz w:val="19"/>
                <w:szCs w:val="19"/>
              </w:rPr>
              <w:t xml:space="preserve">Wrong returns around splits and bonuses</w:t>
            </w:r>
          </w:p>
        </w:tc>
      </w:tr>
      <w:tr>
        <w:tc>
          <w:tcPr>
            <w:tcW w:type="dxa" w:w="500"/>
            <w:shd w:fill="FFFFFF" w:val="clear"/>
            <w:tcMar>
              <w:top w:type="dxa" w:w="70"/>
              <w:left w:type="dxa" w:w="120"/>
              <w:bottom w:type="dxa" w:w="70"/>
              <w:right w:type="dxa" w:w="120"/>
            </w:tcMar>
          </w:tcPr>
          <w:p>
            <w:r>
              <w:rPr>
                <w:sz w:val="19"/>
                <w:szCs w:val="19"/>
              </w:rPr>
              <w:t xml:space="preserve">2</w:t>
            </w:r>
          </w:p>
        </w:tc>
        <w:tc>
          <w:tcPr>
            <w:tcW w:type="dxa" w:w="2300"/>
            <w:shd w:fill="FFFFFF" w:val="clear"/>
            <w:tcMar>
              <w:top w:type="dxa" w:w="70"/>
              <w:left w:type="dxa" w:w="120"/>
              <w:bottom w:type="dxa" w:w="70"/>
              <w:right w:type="dxa" w:w="120"/>
            </w:tcMar>
          </w:tcPr>
          <w:p>
            <w:r>
              <w:rPr>
                <w:sz w:val="19"/>
                <w:szCs w:val="19"/>
              </w:rPr>
              <w:t xml:space="preserve">Fabricated pre-IPO history</w:t>
            </w:r>
          </w:p>
        </w:tc>
        <w:tc>
          <w:tcPr>
            <w:tcW w:type="dxa" w:w="3400"/>
            <w:shd w:fill="FFFFFF" w:val="clear"/>
            <w:tcMar>
              <w:top w:type="dxa" w:w="70"/>
              <w:left w:type="dxa" w:w="120"/>
              <w:bottom w:type="dxa" w:w="70"/>
              <w:right w:type="dxa" w:w="120"/>
            </w:tcMar>
          </w:tcPr>
          <w:p>
            <w:r>
              <w:rPr>
                <w:sz w:val="19"/>
                <w:szCs w:val="19"/>
              </w:rPr>
              <w:t xml:space="preserve">MAZDOCK carries monthly-spaced bars from 2017 though it listed Oct 2020. Same in DMART, SBILIFE, VBL</w:t>
            </w:r>
          </w:p>
        </w:tc>
        <w:tc>
          <w:tcPr>
            <w:tcW w:type="dxa" w:w="2800"/>
            <w:shd w:fill="FFFFFF" w:val="clear"/>
            <w:tcMar>
              <w:top w:type="dxa" w:w="70"/>
              <w:left w:type="dxa" w:w="120"/>
              <w:bottom w:type="dxa" w:w="70"/>
              <w:right w:type="dxa" w:w="120"/>
            </w:tcMar>
          </w:tcPr>
          <w:p>
            <w:r>
              <w:rPr>
                <w:sz w:val="19"/>
                <w:szCs w:val="19"/>
              </w:rPr>
              <w:t xml:space="preserve">Model trains on prices that never existed</w:t>
            </w:r>
          </w:p>
        </w:tc>
      </w:tr>
      <w:tr>
        <w:tc>
          <w:tcPr>
            <w:tcW w:type="dxa" w:w="500"/>
            <w:shd w:fill="F5F8FB" w:val="clear"/>
            <w:tcMar>
              <w:top w:type="dxa" w:w="70"/>
              <w:left w:type="dxa" w:w="120"/>
              <w:bottom w:type="dxa" w:w="70"/>
              <w:right w:type="dxa" w:w="120"/>
            </w:tcMar>
          </w:tcPr>
          <w:p>
            <w:r>
              <w:rPr>
                <w:sz w:val="19"/>
                <w:szCs w:val="19"/>
              </w:rPr>
              <w:t xml:space="preserve">3</w:t>
            </w:r>
          </w:p>
        </w:tc>
        <w:tc>
          <w:tcPr>
            <w:tcW w:type="dxa" w:w="2300"/>
            <w:shd w:fill="F5F8FB" w:val="clear"/>
            <w:tcMar>
              <w:top w:type="dxa" w:w="70"/>
              <w:left w:type="dxa" w:w="120"/>
              <w:bottom w:type="dxa" w:w="70"/>
              <w:right w:type="dxa" w:w="120"/>
            </w:tcMar>
          </w:tcPr>
          <w:p>
            <w:r>
              <w:rPr>
                <w:sz w:val="19"/>
                <w:szCs w:val="19"/>
              </w:rPr>
              <w:t xml:space="preserve">Zero-range bars</w:t>
            </w:r>
          </w:p>
        </w:tc>
        <w:tc>
          <w:tcPr>
            <w:tcW w:type="dxa" w:w="3400"/>
            <w:shd w:fill="F5F8FB" w:val="clear"/>
            <w:tcMar>
              <w:top w:type="dxa" w:w="70"/>
              <w:left w:type="dxa" w:w="120"/>
              <w:bottom w:type="dxa" w:w="70"/>
              <w:right w:type="dxa" w:w="120"/>
            </w:tcMar>
          </w:tcPr>
          <w:p>
            <w:r>
              <w:rPr>
                <w:sz w:val="19"/>
                <w:szCs w:val="19"/>
              </w:rPr>
              <w:t xml:space="preserve">BAJFINANCE has 1,092 of 5,803 bars with open=high=low=close</w:t>
            </w:r>
          </w:p>
        </w:tc>
        <w:tc>
          <w:tcPr>
            <w:tcW w:type="dxa" w:w="2800"/>
            <w:shd w:fill="F5F8FB" w:val="clear"/>
            <w:tcMar>
              <w:top w:type="dxa" w:w="70"/>
              <w:left w:type="dxa" w:w="120"/>
              <w:bottom w:type="dxa" w:w="70"/>
              <w:right w:type="dxa" w:w="120"/>
            </w:tcMar>
          </w:tcPr>
          <w:p>
            <w:r>
              <w:rPr>
                <w:sz w:val="19"/>
                <w:szCs w:val="19"/>
              </w:rPr>
              <w:t xml:space="preserve">Any range or volatility feature is corrupted</w:t>
            </w:r>
          </w:p>
        </w:tc>
      </w:tr>
      <w:tr>
        <w:tc>
          <w:tcPr>
            <w:tcW w:type="dxa" w:w="500"/>
            <w:shd w:fill="FFFFFF" w:val="clear"/>
            <w:tcMar>
              <w:top w:type="dxa" w:w="70"/>
              <w:left w:type="dxa" w:w="120"/>
              <w:bottom w:type="dxa" w:w="70"/>
              <w:right w:type="dxa" w:w="120"/>
            </w:tcMar>
          </w:tcPr>
          <w:p>
            <w:r>
              <w:rPr>
                <w:sz w:val="19"/>
                <w:szCs w:val="19"/>
              </w:rPr>
              <w:t xml:space="preserve">4</w:t>
            </w:r>
          </w:p>
        </w:tc>
        <w:tc>
          <w:tcPr>
            <w:tcW w:type="dxa" w:w="2300"/>
            <w:shd w:fill="FFFFFF" w:val="clear"/>
            <w:tcMar>
              <w:top w:type="dxa" w:w="70"/>
              <w:left w:type="dxa" w:w="120"/>
              <w:bottom w:type="dxa" w:w="70"/>
              <w:right w:type="dxa" w:w="120"/>
            </w:tcMar>
          </w:tcPr>
          <w:p>
            <w:r>
              <w:rPr>
                <w:sz w:val="19"/>
                <w:szCs w:val="19"/>
              </w:rPr>
              <w:t xml:space="preserve">Ragged end dates</w:t>
            </w:r>
          </w:p>
        </w:tc>
        <w:tc>
          <w:tcPr>
            <w:tcW w:type="dxa" w:w="3400"/>
            <w:shd w:fill="FFFFFF" w:val="clear"/>
            <w:tcMar>
              <w:top w:type="dxa" w:w="70"/>
              <w:left w:type="dxa" w:w="120"/>
              <w:bottom w:type="dxa" w:w="70"/>
              <w:right w:type="dxa" w:w="120"/>
            </w:tcMar>
          </w:tcPr>
          <w:p>
            <w:r>
              <w:rPr>
                <w:sz w:val="19"/>
                <w:szCs w:val="19"/>
              </w:rPr>
              <w:t xml:space="preserve">Files end anywhere from 2026-06-03 to 2026-06-22</w:t>
            </w:r>
          </w:p>
        </w:tc>
        <w:tc>
          <w:tcPr>
            <w:tcW w:type="dxa" w:w="2800"/>
            <w:shd w:fill="FFFFFF" w:val="clear"/>
            <w:tcMar>
              <w:top w:type="dxa" w:w="70"/>
              <w:left w:type="dxa" w:w="120"/>
              <w:bottom w:type="dxa" w:w="70"/>
              <w:right w:type="dxa" w:w="120"/>
            </w:tcMar>
          </w:tcPr>
          <w:p>
            <w:r>
              <w:rPr>
                <w:sz w:val="19"/>
                <w:szCs w:val="19"/>
              </w:rPr>
              <w:t xml:space="preserve">Cross-sectional breadth becomes unreliable at the edge</w:t>
            </w:r>
          </w:p>
        </w:tc>
      </w:tr>
      <w:tr>
        <w:tc>
          <w:tcPr>
            <w:tcW w:type="dxa" w:w="500"/>
            <w:shd w:fill="F5F8FB" w:val="clear"/>
            <w:tcMar>
              <w:top w:type="dxa" w:w="70"/>
              <w:left w:type="dxa" w:w="120"/>
              <w:bottom w:type="dxa" w:w="70"/>
              <w:right w:type="dxa" w:w="120"/>
            </w:tcMar>
          </w:tcPr>
          <w:p>
            <w:r>
              <w:rPr>
                <w:sz w:val="19"/>
                <w:szCs w:val="19"/>
              </w:rPr>
              <w:t xml:space="preserve">5</w:t>
            </w:r>
          </w:p>
        </w:tc>
        <w:tc>
          <w:tcPr>
            <w:tcW w:type="dxa" w:w="2300"/>
            <w:shd w:fill="F5F8FB" w:val="clear"/>
            <w:tcMar>
              <w:top w:type="dxa" w:w="70"/>
              <w:left w:type="dxa" w:w="120"/>
              <w:bottom w:type="dxa" w:w="70"/>
              <w:right w:type="dxa" w:w="120"/>
            </w:tcMar>
          </w:tcPr>
          <w:p>
            <w:r>
              <w:rPr>
                <w:sz w:val="19"/>
                <w:szCs w:val="19"/>
              </w:rPr>
              <w:t xml:space="preserve">Survivorship bias</w:t>
            </w:r>
          </w:p>
        </w:tc>
        <w:tc>
          <w:tcPr>
            <w:tcW w:type="dxa" w:w="3400"/>
            <w:shd w:fill="F5F8FB" w:val="clear"/>
            <w:tcMar>
              <w:top w:type="dxa" w:w="70"/>
              <w:left w:type="dxa" w:w="120"/>
              <w:bottom w:type="dxa" w:w="70"/>
              <w:right w:type="dxa" w:w="120"/>
            </w:tcMar>
          </w:tcPr>
          <w:p>
            <w:r>
              <w:rPr>
                <w:sz w:val="19"/>
                <w:szCs w:val="19"/>
              </w:rPr>
              <w:t xml:space="preserve">The universe is today's NIFTY 100, not the historical membership</w:t>
            </w:r>
          </w:p>
        </w:tc>
        <w:tc>
          <w:tcPr>
            <w:tcW w:type="dxa" w:w="2800"/>
            <w:shd w:fill="F5F8FB" w:val="clear"/>
            <w:tcMar>
              <w:top w:type="dxa" w:w="70"/>
              <w:left w:type="dxa" w:w="120"/>
              <w:bottom w:type="dxa" w:w="70"/>
              <w:right w:type="dxa" w:w="120"/>
            </w:tcMar>
          </w:tcPr>
          <w:p>
            <w:r>
              <w:rPr>
                <w:sz w:val="19"/>
                <w:szCs w:val="19"/>
              </w:rPr>
              <w:t xml:space="preserve">Results flatter both strategy and benchmark</w:t>
            </w:r>
          </w:p>
        </w:tc>
      </w:tr>
    </w:tbl>
    <w:p>
      <w:pPr>
        <w:pStyle w:val="Heading2"/>
        <w:spacing w:after="120" w:before="280"/>
      </w:pPr>
      <w:r>
        <w:t xml:space="preserve">3.2 Decisions taken</w:t>
      </w:r>
    </w:p>
    <w:p>
      <w:pPr>
        <w:pStyle w:val="ListParagraph"/>
        <w:numPr>
          <w:ilvl w:val="0"/>
          <w:numId w:val="2"/>
        </w:numPr>
        <w:spacing w:after="80" w:line="290"/>
      </w:pPr>
      <w:r>
        <w:t xml:space="preserve">Use close, discard adj_close. Verification on RELIANCE across the Sept-2017 bonus shows close is already fully back-adjusted.</w:t>
      </w:r>
    </w:p>
    <w:p>
      <w:pPr>
        <w:pStyle w:val="ListParagraph"/>
        <w:numPr>
          <w:ilvl w:val="0"/>
          <w:numId w:val="2"/>
        </w:numPr>
        <w:spacing w:after="80" w:line="290"/>
      </w:pPr>
      <w:r>
        <w:t xml:space="preserve">Truncate fabricated history using a calendar-gap rule (section 4.2).</w:t>
      </w:r>
    </w:p>
    <w:p>
      <w:pPr>
        <w:pStyle w:val="ListParagraph"/>
        <w:numPr>
          <w:ilvl w:val="0"/>
          <w:numId w:val="2"/>
        </w:numPr>
        <w:spacing w:after="80" w:line="290"/>
      </w:pPr>
      <w:r>
        <w:t xml:space="preserve">Flag zero-range bars rather than deleting them — deleting a row silently shifts every rolling window that spans it.</w:t>
      </w:r>
    </w:p>
    <w:p>
      <w:pPr>
        <w:pStyle w:val="ListParagraph"/>
        <w:numPr>
          <w:ilvl w:val="0"/>
          <w:numId w:val="2"/>
        </w:numPr>
        <w:spacing w:after="80" w:line="290"/>
      </w:pPr>
      <w:r>
        <w:t xml:space="preserve">Trim all series to a common end date of 2026-06-05, which 98 of 100 symbols reach.</w:t>
      </w:r>
    </w:p>
    <w:p>
      <w:pPr>
        <w:pStyle w:val="ListParagraph"/>
        <w:numPr>
          <w:ilvl w:val="0"/>
          <w:numId w:val="2"/>
        </w:numPr>
        <w:spacing w:after="80" w:line="290"/>
      </w:pPr>
      <w:r>
        <w:t xml:space="preserve">Accept survivorship bias and document it. Because our claim is drawdown reduction rather than stock-picking skill, the bias inflates the buy-and-hold benchmark at least as much as the strategy, which makes the result harder to achieve rather than easier.</w:t>
      </w:r>
    </w:p>
    <w:p>
      <w:pPr>
        <w:pStyle w:val="Heading2"/>
        <w:spacing w:after="120" w:before="280"/>
      </w:pPr>
      <w:r>
        <w:t xml:space="preserve">3.3 Look-ahead bias: the mistake that matters most</w:t>
      </w:r>
    </w:p>
    <w:p>
      <w:pPr>
        <w:spacing w:after="120" w:line="300"/>
      </w:pPr>
      <w:r>
        <w:t xml:space="preserve">Look-ahead bias means using information that would not have been available at the time. It is the single easiest way to produce a backtest that looks superb and loses money in production, because the model is effectively being graded on an exam whose answers it has already seen.</w:t>
      </w:r>
    </w:p>
    <w:p>
      <w:pPr>
        <w:spacing w:after="120" w:line="300"/>
      </w:pPr>
      <w:r>
        <w:t xml:space="preserve">A real example from this project. The team's existing regime detection module classified each day by comparing it against percentile thresholds — but it computed those thresholds from the entire price history at once, including years that had not happened yet, and then applied them to every day including the earliest. Its own documentation stated it was causal. It was not.</w:t>
      </w:r>
    </w:p>
    <w:p>
      <w:pPr>
        <w:spacing w:after="120" w:line="300"/>
      </w:pPr>
      <w:r>
        <w:t xml:space="preserve">Measured on RELIANCE from 2016 to 2026, 9.9% of regime labels change once the calculation is made properly causal. More tellingly, the biased version produced MORE “Rally” and MORE “Crashing” calls, because knowing the full distribution let it place days into the tails with unearned confidence. Those are precisely the labels that drive entries and exits.</w:t>
      </w:r>
    </w:p>
    <w:tbl>
      <w:tblPr>
        <w:tblW w:type="dxa" w:w="9000"/>
        <w:tblBorders>
          <w:top w:val="single" w:color="1F4E79" w:sz="2"/>
          <w:left w:val="single" w:color="1F4E79" w:sz="18"/>
          <w:bottom w:val="single" w:color="1F4E79" w:sz="2"/>
          <w:right w:val="single" w:color="1F4E79" w:sz="2"/>
          <w:insideH w:val="none"/>
          <w:insideV w:val="none"/>
        </w:tblBorders>
      </w:tblPr>
      <w:tblGrid>
        <w:gridCol w:w="9000"/>
      </w:tblGrid>
      <w:tr>
        <w:tc>
          <w:tcPr>
            <w:tcW w:type="dxa" w:w="9000"/>
            <w:shd w:fill="F7FAFD" w:val="clear"/>
            <w:tcMar>
              <w:top w:type="dxa" w:w="140"/>
              <w:left w:type="dxa" w:w="200"/>
              <w:bottom w:type="dxa" w:w="140"/>
              <w:right w:type="dxa" w:w="200"/>
            </w:tcMar>
          </w:tcPr>
          <w:p>
            <w:pPr>
              <w:spacing w:after="60"/>
            </w:pPr>
            <w:r>
              <w:rPr>
                <w:b/>
                <w:bCs/>
                <w:color w:val="1F4E79"/>
              </w:rPr>
              <w:t xml:space="preserve">How we prevent this from recurring</w:t>
            </w:r>
          </w:p>
          <w:p>
            <w:pPr>
              <w:spacing w:after="40" w:line="300"/>
            </w:pPr>
            <w:r>
              <w:t xml:space="preserve">Every feature has a future-perturbation test: take the data, compute the feature, then violently rewrite the future portion and recompute. Every value before the change must be bit-for-bit identical.</w:t>
            </w:r>
          </w:p>
          <w:p>
            <w:pPr>
              <w:spacing w:after="40" w:line="300"/>
            </w:pPr>
            <w:r>
              <w:t xml:space="preserve">If a calculation is peeking ahead, this test fails immediately and unambiguously. It requires no judgement to interpret.</w:t>
            </w:r>
          </w:p>
          <w:p>
            <w:pPr>
              <w:spacing w:after="40" w:line="300"/>
            </w:pPr>
            <w:r>
              <w:t xml:space="preserve">There is also a streaming-equals-batch test: feeding data one day at a time must reproduce exactly what the full-history computation produced. That is the live-trading contract.</w:t>
            </w:r>
          </w:p>
        </w:tc>
      </w:tr>
    </w:tbl>
    <w:p>
      <w:r>
        <w:br w:type="page"/>
      </w:r>
    </w:p>
    <w:p>
      <w:pPr>
        <w:pStyle w:val="Heading1"/>
        <w:spacing w:after="160" w:before="360"/>
      </w:pPr>
      <w:r>
        <w:t xml:space="preserve">4. Phase 1 — The data layer</w:t>
      </w:r>
    </w:p>
    <w:p>
      <w:pPr>
        <w:spacing w:after="120" w:line="300"/>
      </w:pPr>
      <w:r>
        <w:t xml:space="preserve">Phase 1 turns 100 raw CSV files into a panel that can be trusted, and installs an automated gate so that trust does not decay over time.</w:t>
      </w:r>
    </w:p>
    <w:p>
      <w:pPr>
        <w:pStyle w:val="Heading2"/>
        <w:spacing w:after="120" w:before="280"/>
      </w:pPr>
      <w:r>
        <w:t xml:space="preserve">4.1 Modules built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F4E79" w:val="clear"/>
            <w:tcMar>
              <w:top w:type="dxa" w:w="80"/>
              <w:left w:type="dxa" w:w="120"/>
              <w:bottom w:type="dxa" w:w="80"/>
              <w:right w:type="dxa" w:w="120"/>
            </w:tcMar>
          </w:tcPr>
          <w:p>
            <w:r>
              <w:rPr>
                <w:b/>
                <w:bCs/>
                <w:color w:val="FFFFFF"/>
                <w:sz w:val="19"/>
                <w:szCs w:val="19"/>
              </w:rPr>
              <w:t xml:space="preserve">Module</w:t>
            </w:r>
          </w:p>
        </w:tc>
        <w:tc>
          <w:tcPr>
            <w:tcW w:type="dxa" w:w="6600"/>
            <w:shd w:fill="1F4E79" w:val="clear"/>
            <w:tcMar>
              <w:top w:type="dxa" w:w="80"/>
              <w:left w:type="dxa" w:w="120"/>
              <w:bottom w:type="dxa" w:w="80"/>
              <w:right w:type="dxa" w:w="120"/>
            </w:tcMar>
          </w:tcPr>
          <w:p>
            <w:r>
              <w:rPr>
                <w:b/>
                <w:bCs/>
                <w:color w:val="FFFFFF"/>
                <w:sz w:val="19"/>
                <w:szCs w:val="19"/>
              </w:rPr>
              <w:t xml:space="preserve">Responsibility</w:t>
            </w:r>
          </w:p>
        </w:tc>
      </w:tr>
      <w:tr>
        <w:tc>
          <w:tcPr>
            <w:tcW w:type="dxa" w:w="2400"/>
            <w:shd w:fill="F5F8FB" w:val="clear"/>
            <w:tcMar>
              <w:top w:type="dxa" w:w="70"/>
              <w:left w:type="dxa" w:w="120"/>
              <w:bottom w:type="dxa" w:w="70"/>
              <w:right w:type="dxa" w:w="120"/>
            </w:tcMar>
          </w:tcPr>
          <w:p>
            <w:r>
              <w:rPr>
                <w:sz w:val="19"/>
                <w:szCs w:val="19"/>
              </w:rPr>
              <w:t xml:space="preserve">config.py</w:t>
            </w:r>
          </w:p>
        </w:tc>
        <w:tc>
          <w:tcPr>
            <w:tcW w:type="dxa" w:w="6600"/>
            <w:shd w:fill="F5F8FB" w:val="clear"/>
            <w:tcMar>
              <w:top w:type="dxa" w:w="70"/>
              <w:left w:type="dxa" w:w="120"/>
              <w:bottom w:type="dxa" w:w="70"/>
              <w:right w:type="dxa" w:w="120"/>
            </w:tcMar>
          </w:tcPr>
          <w:p>
            <w:r>
              <w:rPr>
                <w:sz w:val="19"/>
                <w:szCs w:val="19"/>
              </w:rPr>
              <w:t xml:space="preserve">Every path, date window and threshold in one place, so no number can disagree with itself</w:t>
            </w:r>
          </w:p>
        </w:tc>
      </w:tr>
      <w:tr>
        <w:tc>
          <w:tcPr>
            <w:tcW w:type="dxa" w:w="2400"/>
            <w:shd w:fill="FFFFFF" w:val="clear"/>
            <w:tcMar>
              <w:top w:type="dxa" w:w="70"/>
              <w:left w:type="dxa" w:w="120"/>
              <w:bottom w:type="dxa" w:w="70"/>
              <w:right w:type="dxa" w:w="120"/>
            </w:tcMar>
          </w:tcPr>
          <w:p>
            <w:r>
              <w:rPr>
                <w:sz w:val="19"/>
                <w:szCs w:val="19"/>
              </w:rPr>
              <w:t xml:space="preserve">data/loader.py</w:t>
            </w:r>
          </w:p>
        </w:tc>
        <w:tc>
          <w:tcPr>
            <w:tcW w:type="dxa" w:w="6600"/>
            <w:shd w:fill="FFFFFF" w:val="clear"/>
            <w:tcMar>
              <w:top w:type="dxa" w:w="70"/>
              <w:left w:type="dxa" w:w="120"/>
              <w:bottom w:type="dxa" w:w="70"/>
              <w:right w:type="dxa" w:w="120"/>
            </w:tcMar>
          </w:tcPr>
          <w:p>
            <w:r>
              <w:rPr>
                <w:sz w:val="19"/>
                <w:szCs w:val="19"/>
              </w:rPr>
              <w:t xml:space="preserve">Raw CSV to clean per-symbol frame; repairs the five audited defects</w:t>
            </w:r>
          </w:p>
        </w:tc>
      </w:tr>
      <w:tr>
        <w:tc>
          <w:tcPr>
            <w:tcW w:type="dxa" w:w="2400"/>
            <w:shd w:fill="F5F8FB" w:val="clear"/>
            <w:tcMar>
              <w:top w:type="dxa" w:w="70"/>
              <w:left w:type="dxa" w:w="120"/>
              <w:bottom w:type="dxa" w:w="70"/>
              <w:right w:type="dxa" w:w="120"/>
            </w:tcMar>
          </w:tcPr>
          <w:p>
            <w:r>
              <w:rPr>
                <w:sz w:val="19"/>
                <w:szCs w:val="19"/>
              </w:rPr>
              <w:t xml:space="preserve">data/calendar.py</w:t>
            </w:r>
          </w:p>
        </w:tc>
        <w:tc>
          <w:tcPr>
            <w:tcW w:type="dxa" w:w="6600"/>
            <w:shd w:fill="F5F8FB" w:val="clear"/>
            <w:tcMar>
              <w:top w:type="dxa" w:w="70"/>
              <w:left w:type="dxa" w:w="120"/>
              <w:bottom w:type="dxa" w:w="70"/>
              <w:right w:type="dxa" w:w="120"/>
            </w:tcMar>
          </w:tcPr>
          <w:p>
            <w:r>
              <w:rPr>
                <w:sz w:val="19"/>
                <w:szCs w:val="19"/>
              </w:rPr>
              <w:t xml:space="preserve">The master trading calendar, plus a listing mask marking when each symbol actually existed</w:t>
            </w:r>
          </w:p>
        </w:tc>
      </w:tr>
      <w:tr>
        <w:tc>
          <w:tcPr>
            <w:tcW w:type="dxa" w:w="2400"/>
            <w:shd w:fill="FFFFFF" w:val="clear"/>
            <w:tcMar>
              <w:top w:type="dxa" w:w="70"/>
              <w:left w:type="dxa" w:w="120"/>
              <w:bottom w:type="dxa" w:w="70"/>
              <w:right w:type="dxa" w:w="120"/>
            </w:tcMar>
          </w:tcPr>
          <w:p>
            <w:r>
              <w:rPr>
                <w:sz w:val="19"/>
                <w:szCs w:val="19"/>
              </w:rPr>
              <w:t xml:space="preserve">data/quality.py</w:t>
            </w:r>
          </w:p>
        </w:tc>
        <w:tc>
          <w:tcPr>
            <w:tcW w:type="dxa" w:w="6600"/>
            <w:shd w:fill="FFFFFF" w:val="clear"/>
            <w:tcMar>
              <w:top w:type="dxa" w:w="70"/>
              <w:left w:type="dxa" w:w="120"/>
              <w:bottom w:type="dxa" w:w="70"/>
              <w:right w:type="dxa" w:w="120"/>
            </w:tcMar>
          </w:tcPr>
          <w:p>
            <w:r>
              <w:rPr>
                <w:sz w:val="19"/>
                <w:szCs w:val="19"/>
              </w:rPr>
              <w:t xml:space="preserve">The Phase 0 audit encoded as pass/fail checks that block the pipeline</w:t>
            </w:r>
          </w:p>
        </w:tc>
      </w:tr>
      <w:tr>
        <w:tc>
          <w:tcPr>
            <w:tcW w:type="dxa" w:w="2400"/>
            <w:shd w:fill="F5F8FB" w:val="clear"/>
            <w:tcMar>
              <w:top w:type="dxa" w:w="70"/>
              <w:left w:type="dxa" w:w="120"/>
              <w:bottom w:type="dxa" w:w="70"/>
              <w:right w:type="dxa" w:w="120"/>
            </w:tcMar>
          </w:tcPr>
          <w:p>
            <w:r>
              <w:rPr>
                <w:sz w:val="19"/>
                <w:szCs w:val="19"/>
              </w:rPr>
              <w:t xml:space="preserve">scripts/run_phase1.py</w:t>
            </w:r>
          </w:p>
        </w:tc>
        <w:tc>
          <w:tcPr>
            <w:tcW w:type="dxa" w:w="6600"/>
            <w:shd w:fill="F5F8FB" w:val="clear"/>
            <w:tcMar>
              <w:top w:type="dxa" w:w="70"/>
              <w:left w:type="dxa" w:w="120"/>
              <w:bottom w:type="dxa" w:w="70"/>
              <w:right w:type="dxa" w:w="120"/>
            </w:tcMar>
          </w:tcPr>
          <w:p>
            <w:r>
              <w:rPr>
                <w:sz w:val="19"/>
                <w:szCs w:val="19"/>
              </w:rPr>
              <w:t xml:space="preserve">Entry point: load, validate, persist</w:t>
            </w:r>
          </w:p>
        </w:tc>
      </w:tr>
    </w:tbl>
    <w:p>
      <w:pPr>
        <w:pStyle w:val="Heading2"/>
        <w:spacing w:after="120" w:before="280"/>
      </w:pPr>
      <w:r>
        <w:t xml:space="preserve">4.2 The gap rule, and why we trust it</w:t>
      </w:r>
    </w:p>
    <w:p>
      <w:pPr>
        <w:spacing w:after="120" w:line="300"/>
      </w:pPr>
      <w:r>
        <w:t xml:space="preserve">To find where a symbol's genuine history begins, we look for gaps longer than 10 calendar days. The NSE has never closed for ten consecutive days, so such a gap is always a data artefact — it means the vendor stitched sparse or monthly data in front of the real listing. The first genuine bar is the one immediately following the last such gap.</w:t>
      </w:r>
    </w:p>
    <w:p>
      <w:pPr>
        <w:spacing w:after="120" w:line="300"/>
      </w:pPr>
      <w:r>
        <w:t xml:space="preserve">This rule was validated against externally known listing dates, and it recovers all four exactly: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800"/>
        <w:gridCol w:w="1600"/>
      </w:tblGrid>
      <w:tr>
        <w:trPr>
          <w:tblHeader/>
        </w:trPr>
        <w:tc>
          <w:tcPr>
            <w:tcW w:type="dxa" w:w="2000"/>
            <w:shd w:fill="1F4E79" w:val="clear"/>
            <w:tcMar>
              <w:top w:type="dxa" w:w="80"/>
              <w:left w:type="dxa" w:w="120"/>
              <w:bottom w:type="dxa" w:w="80"/>
              <w:right w:type="dxa" w:w="120"/>
            </w:tcMar>
          </w:tcPr>
          <w:p>
            <w:r>
              <w:rPr>
                <w:b/>
                <w:bCs/>
                <w:color w:val="FFFFFF"/>
                <w:sz w:val="19"/>
                <w:szCs w:val="19"/>
              </w:rPr>
              <w:t xml:space="preserve">Symbol</w:t>
            </w:r>
          </w:p>
        </w:tc>
        <w:tc>
          <w:tcPr>
            <w:tcW w:type="dxa" w:w="2600"/>
            <w:shd w:fill="1F4E79" w:val="clear"/>
            <w:tcMar>
              <w:top w:type="dxa" w:w="80"/>
              <w:left w:type="dxa" w:w="120"/>
              <w:bottom w:type="dxa" w:w="80"/>
              <w:right w:type="dxa" w:w="120"/>
            </w:tcMar>
          </w:tcPr>
          <w:p>
            <w:r>
              <w:rPr>
                <w:b/>
                <w:bCs/>
                <w:color w:val="FFFFFF"/>
                <w:sz w:val="19"/>
                <w:szCs w:val="19"/>
              </w:rPr>
              <w:t xml:space="preserve">Rule detected</w:t>
            </w:r>
          </w:p>
        </w:tc>
        <w:tc>
          <w:tcPr>
            <w:tcW w:type="dxa" w:w="2800"/>
            <w:shd w:fill="1F4E79" w:val="clear"/>
            <w:tcMar>
              <w:top w:type="dxa" w:w="80"/>
              <w:left w:type="dxa" w:w="120"/>
              <w:bottom w:type="dxa" w:w="80"/>
              <w:right w:type="dxa" w:w="120"/>
            </w:tcMar>
          </w:tcPr>
          <w:p>
            <w:r>
              <w:rPr>
                <w:b/>
                <w:bCs/>
                <w:color w:val="FFFFFF"/>
                <w:sz w:val="19"/>
                <w:szCs w:val="19"/>
              </w:rPr>
              <w:t xml:space="preserve">Actual NSE listing</w:t>
            </w:r>
          </w:p>
        </w:tc>
        <w:tc>
          <w:tcPr>
            <w:tcW w:type="dxa" w:w="1600"/>
            <w:shd w:fill="1F4E79" w:val="clear"/>
            <w:tcMar>
              <w:top w:type="dxa" w:w="80"/>
              <w:left w:type="dxa" w:w="120"/>
              <w:bottom w:type="dxa" w:w="80"/>
              <w:right w:type="dxa" w:w="120"/>
            </w:tcMar>
          </w:tcPr>
          <w:p>
            <w:r>
              <w:rPr>
                <w:b/>
                <w:bCs/>
                <w:color w:val="FFFFFF"/>
                <w:sz w:val="19"/>
                <w:szCs w:val="19"/>
              </w:rPr>
              <w:t xml:space="preserve">Match</w:t>
            </w:r>
          </w:p>
        </w:tc>
      </w:tr>
      <w:tr>
        <w:tc>
          <w:tcPr>
            <w:tcW w:type="dxa" w:w="2000"/>
            <w:shd w:fill="F5F8FB" w:val="clear"/>
            <w:tcMar>
              <w:top w:type="dxa" w:w="70"/>
              <w:left w:type="dxa" w:w="120"/>
              <w:bottom w:type="dxa" w:w="70"/>
              <w:right w:type="dxa" w:w="120"/>
            </w:tcMar>
          </w:tcPr>
          <w:p>
            <w:r>
              <w:rPr>
                <w:sz w:val="19"/>
                <w:szCs w:val="19"/>
              </w:rPr>
              <w:t xml:space="preserve">VBL</w:t>
            </w:r>
          </w:p>
        </w:tc>
        <w:tc>
          <w:tcPr>
            <w:tcW w:type="dxa" w:w="2600"/>
            <w:shd w:fill="F5F8FB" w:val="clear"/>
            <w:tcMar>
              <w:top w:type="dxa" w:w="70"/>
              <w:left w:type="dxa" w:w="120"/>
              <w:bottom w:type="dxa" w:w="70"/>
              <w:right w:type="dxa" w:w="120"/>
            </w:tcMar>
          </w:tcPr>
          <w:p>
            <w:r>
              <w:rPr>
                <w:sz w:val="19"/>
                <w:szCs w:val="19"/>
              </w:rPr>
              <w:t xml:space="preserve">2016-11-08</w:t>
            </w:r>
          </w:p>
        </w:tc>
        <w:tc>
          <w:tcPr>
            <w:tcW w:type="dxa" w:w="2800"/>
            <w:shd w:fill="F5F8FB" w:val="clear"/>
            <w:tcMar>
              <w:top w:type="dxa" w:w="70"/>
              <w:left w:type="dxa" w:w="120"/>
              <w:bottom w:type="dxa" w:w="70"/>
              <w:right w:type="dxa" w:w="120"/>
            </w:tcMar>
          </w:tcPr>
          <w:p>
            <w:r>
              <w:rPr>
                <w:sz w:val="19"/>
                <w:szCs w:val="19"/>
              </w:rPr>
              <w:t xml:space="preserve">2016-11-08</w:t>
            </w:r>
          </w:p>
        </w:tc>
        <w:tc>
          <w:tcPr>
            <w:tcW w:type="dxa" w:w="1600"/>
            <w:shd w:fill="F5F8FB" w:val="clear"/>
            <w:tcMar>
              <w:top w:type="dxa" w:w="70"/>
              <w:left w:type="dxa" w:w="120"/>
              <w:bottom w:type="dxa" w:w="70"/>
              <w:right w:type="dxa" w:w="120"/>
            </w:tcMar>
          </w:tcPr>
          <w:p>
            <w:r>
              <w:rPr>
                <w:sz w:val="19"/>
                <w:szCs w:val="19"/>
              </w:rPr>
              <w:t xml:space="preserve">Exact</w:t>
            </w:r>
          </w:p>
        </w:tc>
      </w:tr>
      <w:tr>
        <w:tc>
          <w:tcPr>
            <w:tcW w:type="dxa" w:w="2000"/>
            <w:shd w:fill="FFFFFF" w:val="clear"/>
            <w:tcMar>
              <w:top w:type="dxa" w:w="70"/>
              <w:left w:type="dxa" w:w="120"/>
              <w:bottom w:type="dxa" w:w="70"/>
              <w:right w:type="dxa" w:w="120"/>
            </w:tcMar>
          </w:tcPr>
          <w:p>
            <w:r>
              <w:rPr>
                <w:sz w:val="19"/>
                <w:szCs w:val="19"/>
              </w:rPr>
              <w:t xml:space="preserve">DMART</w:t>
            </w:r>
          </w:p>
        </w:tc>
        <w:tc>
          <w:tcPr>
            <w:tcW w:type="dxa" w:w="2600"/>
            <w:shd w:fill="FFFFFF" w:val="clear"/>
            <w:tcMar>
              <w:top w:type="dxa" w:w="70"/>
              <w:left w:type="dxa" w:w="120"/>
              <w:bottom w:type="dxa" w:w="70"/>
              <w:right w:type="dxa" w:w="120"/>
            </w:tcMar>
          </w:tcPr>
          <w:p>
            <w:r>
              <w:rPr>
                <w:sz w:val="19"/>
                <w:szCs w:val="19"/>
              </w:rPr>
              <w:t xml:space="preserve">2017-03-21</w:t>
            </w:r>
          </w:p>
        </w:tc>
        <w:tc>
          <w:tcPr>
            <w:tcW w:type="dxa" w:w="2800"/>
            <w:shd w:fill="FFFFFF" w:val="clear"/>
            <w:tcMar>
              <w:top w:type="dxa" w:w="70"/>
              <w:left w:type="dxa" w:w="120"/>
              <w:bottom w:type="dxa" w:w="70"/>
              <w:right w:type="dxa" w:w="120"/>
            </w:tcMar>
          </w:tcPr>
          <w:p>
            <w:r>
              <w:rPr>
                <w:sz w:val="19"/>
                <w:szCs w:val="19"/>
              </w:rPr>
              <w:t xml:space="preserve">2017-03-21</w:t>
            </w:r>
          </w:p>
        </w:tc>
        <w:tc>
          <w:tcPr>
            <w:tcW w:type="dxa" w:w="1600"/>
            <w:shd w:fill="FFFFFF" w:val="clear"/>
            <w:tcMar>
              <w:top w:type="dxa" w:w="70"/>
              <w:left w:type="dxa" w:w="120"/>
              <w:bottom w:type="dxa" w:w="70"/>
              <w:right w:type="dxa" w:w="120"/>
            </w:tcMar>
          </w:tcPr>
          <w:p>
            <w:r>
              <w:rPr>
                <w:sz w:val="19"/>
                <w:szCs w:val="19"/>
              </w:rPr>
              <w:t xml:space="preserve">Exact</w:t>
            </w:r>
          </w:p>
        </w:tc>
      </w:tr>
      <w:tr>
        <w:tc>
          <w:tcPr>
            <w:tcW w:type="dxa" w:w="2000"/>
            <w:shd w:fill="F5F8FB" w:val="clear"/>
            <w:tcMar>
              <w:top w:type="dxa" w:w="70"/>
              <w:left w:type="dxa" w:w="120"/>
              <w:bottom w:type="dxa" w:w="70"/>
              <w:right w:type="dxa" w:w="120"/>
            </w:tcMar>
          </w:tcPr>
          <w:p>
            <w:r>
              <w:rPr>
                <w:sz w:val="19"/>
                <w:szCs w:val="19"/>
              </w:rPr>
              <w:t xml:space="preserve">SBILIFE</w:t>
            </w:r>
          </w:p>
        </w:tc>
        <w:tc>
          <w:tcPr>
            <w:tcW w:type="dxa" w:w="2600"/>
            <w:shd w:fill="F5F8FB" w:val="clear"/>
            <w:tcMar>
              <w:top w:type="dxa" w:w="70"/>
              <w:left w:type="dxa" w:w="120"/>
              <w:bottom w:type="dxa" w:w="70"/>
              <w:right w:type="dxa" w:w="120"/>
            </w:tcMar>
          </w:tcPr>
          <w:p>
            <w:r>
              <w:rPr>
                <w:sz w:val="19"/>
                <w:szCs w:val="19"/>
              </w:rPr>
              <w:t xml:space="preserve">2017-10-03</w:t>
            </w:r>
          </w:p>
        </w:tc>
        <w:tc>
          <w:tcPr>
            <w:tcW w:type="dxa" w:w="2800"/>
            <w:shd w:fill="F5F8FB" w:val="clear"/>
            <w:tcMar>
              <w:top w:type="dxa" w:w="70"/>
              <w:left w:type="dxa" w:w="120"/>
              <w:bottom w:type="dxa" w:w="70"/>
              <w:right w:type="dxa" w:w="120"/>
            </w:tcMar>
          </w:tcPr>
          <w:p>
            <w:r>
              <w:rPr>
                <w:sz w:val="19"/>
                <w:szCs w:val="19"/>
              </w:rPr>
              <w:t xml:space="preserve">2017-10-03</w:t>
            </w:r>
          </w:p>
        </w:tc>
        <w:tc>
          <w:tcPr>
            <w:tcW w:type="dxa" w:w="1600"/>
            <w:shd w:fill="F5F8FB" w:val="clear"/>
            <w:tcMar>
              <w:top w:type="dxa" w:w="70"/>
              <w:left w:type="dxa" w:w="120"/>
              <w:bottom w:type="dxa" w:w="70"/>
              <w:right w:type="dxa" w:w="120"/>
            </w:tcMar>
          </w:tcPr>
          <w:p>
            <w:r>
              <w:rPr>
                <w:sz w:val="19"/>
                <w:szCs w:val="19"/>
              </w:rPr>
              <w:t xml:space="preserve">Exact</w:t>
            </w:r>
          </w:p>
        </w:tc>
      </w:tr>
      <w:tr>
        <w:tc>
          <w:tcPr>
            <w:tcW w:type="dxa" w:w="2000"/>
            <w:shd w:fill="FFFFFF" w:val="clear"/>
            <w:tcMar>
              <w:top w:type="dxa" w:w="70"/>
              <w:left w:type="dxa" w:w="120"/>
              <w:bottom w:type="dxa" w:w="70"/>
              <w:right w:type="dxa" w:w="120"/>
            </w:tcMar>
          </w:tcPr>
          <w:p>
            <w:r>
              <w:rPr>
                <w:sz w:val="19"/>
                <w:szCs w:val="19"/>
              </w:rPr>
              <w:t xml:space="preserve">MAZDOCK</w:t>
            </w:r>
          </w:p>
        </w:tc>
        <w:tc>
          <w:tcPr>
            <w:tcW w:type="dxa" w:w="2600"/>
            <w:shd w:fill="FFFFFF" w:val="clear"/>
            <w:tcMar>
              <w:top w:type="dxa" w:w="70"/>
              <w:left w:type="dxa" w:w="120"/>
              <w:bottom w:type="dxa" w:w="70"/>
              <w:right w:type="dxa" w:w="120"/>
            </w:tcMar>
          </w:tcPr>
          <w:p>
            <w:r>
              <w:rPr>
                <w:sz w:val="19"/>
                <w:szCs w:val="19"/>
              </w:rPr>
              <w:t xml:space="preserve">2020-10-12</w:t>
            </w:r>
          </w:p>
        </w:tc>
        <w:tc>
          <w:tcPr>
            <w:tcW w:type="dxa" w:w="2800"/>
            <w:shd w:fill="FFFFFF" w:val="clear"/>
            <w:tcMar>
              <w:top w:type="dxa" w:w="70"/>
              <w:left w:type="dxa" w:w="120"/>
              <w:bottom w:type="dxa" w:w="70"/>
              <w:right w:type="dxa" w:w="120"/>
            </w:tcMar>
          </w:tcPr>
          <w:p>
            <w:r>
              <w:rPr>
                <w:sz w:val="19"/>
                <w:szCs w:val="19"/>
              </w:rPr>
              <w:t xml:space="preserve">2020-10-12</w:t>
            </w:r>
          </w:p>
        </w:tc>
        <w:tc>
          <w:tcPr>
            <w:tcW w:type="dxa" w:w="1600"/>
            <w:shd w:fill="FFFFFF" w:val="clear"/>
            <w:tcMar>
              <w:top w:type="dxa" w:w="70"/>
              <w:left w:type="dxa" w:w="120"/>
              <w:bottom w:type="dxa" w:w="70"/>
              <w:right w:type="dxa" w:w="120"/>
            </w:tcMar>
          </w:tcPr>
          <w:p>
            <w:r>
              <w:rPr>
                <w:sz w:val="19"/>
                <w:szCs w:val="19"/>
              </w:rPr>
              <w:t xml:space="preserve">Exact</w:t>
            </w:r>
          </w:p>
        </w:tc>
      </w:tr>
    </w:tbl>
    <w:p>
      <w:pPr>
        <w:spacing w:after="120" w:line="300"/>
      </w:pPr>
      <w:r>
        <w:rPr>
          <w:i/>
          <w:iCs/>
        </w:rPr>
        <w:t xml:space="preserve">Validating against dates sourced independently of the code, rather than against the code's own output, is what makes this a real check.</w:t>
      </w:r>
    </w:p>
    <w:p>
      <w:pPr>
        <w:pStyle w:val="Heading2"/>
        <w:spacing w:after="120" w:before="280"/>
      </w:pPr>
      <w:r>
        <w:t xml:space="preserve">4.3 Why gaps are never filled in</w:t>
      </w:r>
    </w:p>
    <w:p>
      <w:pPr>
        <w:spacing w:after="120" w:line="300"/>
      </w:pPr>
      <w:r>
        <w:t xml:space="preserve">Where a stock has no bar, the value stays empty. It is tempting to carry the last price forward, but a forward-filled price manufactures a return of exactly zero — and a run of zero returns reads to the model as a stretch of unnatural calm. That is a quiet lie which survives most sanity checks and biases every volatility estimate downward. An empty value propagates visibly instead and forces an honest decision.</w:t>
      </w:r>
    </w:p>
    <w:p>
      <w:pPr>
        <w:pStyle w:val="Heading2"/>
        <w:spacing w:after="120" w:before="280"/>
      </w:pPr>
      <w:r>
        <w:t xml:space="preserve">4.4 Results</w:t>
      </w:r>
    </w:p>
    <w:p>
      <w:pPr>
        <w:shd w:fill="F2F2F2" w:val="clear"/>
        <w:spacing w:after="0" w:before="60"/>
        <w:ind w:left="240"/>
      </w:pPr>
      <w:r>
        <w:rPr>
          <w:rFonts w:ascii="Consolas" w:cs="Consolas" w:eastAsia="Consolas" w:hAnsi="Consolas"/>
          <w:sz w:val="18"/>
          <w:szCs w:val="18"/>
        </w:rPr>
        <w:t xml:space="preserve">loading universe ...</w:t>
      </w:r>
    </w:p>
    <w:p>
      <w:pPr>
        <w:shd w:fill="F2F2F2" w:val="clear"/>
        <w:spacing w:after="0" w:before="0"/>
        <w:ind w:left="240"/>
      </w:pPr>
      <w:r>
        <w:rPr>
          <w:rFonts w:ascii="Consolas" w:cs="Consolas" w:eastAsia="Consolas" w:hAnsi="Consolas"/>
          <w:sz w:val="18"/>
          <w:szCs w:val="18"/>
        </w:rPr>
        <w:t xml:space="preserve">  96 usable symbols, 5820 trading days</w:t>
      </w:r>
    </w:p>
    <w:p>
      <w:pPr>
        <w:shd w:fill="F2F2F2" w:val="clear"/>
        <w:spacing w:after="0" w:before="0"/>
        <w:ind w:left="240"/>
      </w:pPr>
      <w:r>
        <w:rPr>
          <w:rFonts w:ascii="Consolas" w:cs="Consolas" w:eastAsia="Consolas" w:hAnsi="Consolas"/>
          <w:sz w:val="18"/>
          <w:szCs w:val="18"/>
        </w:rPr>
        <w:t xml:space="preserve"> </w:t>
      </w:r>
    </w:p>
    <w:p>
      <w:pPr>
        <w:shd w:fill="F2F2F2" w:val="clear"/>
        <w:spacing w:after="0" w:before="0"/>
        <w:ind w:left="240"/>
      </w:pPr>
      <w:r>
        <w:rPr>
          <w:rFonts w:ascii="Consolas" w:cs="Consolas" w:eastAsia="Consolas" w:hAnsi="Consolas"/>
          <w:sz w:val="18"/>
          <w:szCs w:val="18"/>
        </w:rPr>
        <w:t xml:space="preserve">[PASS] universe_size            96 usable symbols loaded (need &gt;= 80)</w:t>
      </w:r>
    </w:p>
    <w:p>
      <w:pPr>
        <w:shd w:fill="F2F2F2" w:val="clear"/>
        <w:spacing w:after="0" w:before="0"/>
        <w:ind w:left="240"/>
      </w:pPr>
      <w:r>
        <w:rPr>
          <w:rFonts w:ascii="Consolas" w:cs="Consolas" w:eastAsia="Consolas" w:hAnsi="Consolas"/>
          <w:sz w:val="18"/>
          <w:szCs w:val="18"/>
        </w:rPr>
        <w:t xml:space="preserve">[PASS] calendar_nonempty        5820 trading days in master calendar</w:t>
      </w:r>
    </w:p>
    <w:p>
      <w:pPr>
        <w:shd w:fill="F2F2F2" w:val="clear"/>
        <w:spacing w:after="0" w:before="0"/>
        <w:ind w:left="240"/>
      </w:pPr>
      <w:r>
        <w:rPr>
          <w:rFonts w:ascii="Consolas" w:cs="Consolas" w:eastAsia="Consolas" w:hAnsi="Consolas"/>
          <w:sz w:val="18"/>
          <w:szCs w:val="18"/>
        </w:rPr>
        <w:t xml:space="preserve">[PASS] no_residual_gaps         no calendar gaps remain after truncation</w:t>
      </w:r>
    </w:p>
    <w:p>
      <w:pPr>
        <w:shd w:fill="F2F2F2" w:val="clear"/>
        <w:spacing w:after="0" w:before="0"/>
        <w:ind w:left="240"/>
      </w:pPr>
      <w:r>
        <w:rPr>
          <w:rFonts w:ascii="Consolas" w:cs="Consolas" w:eastAsia="Consolas" w:hAnsi="Consolas"/>
          <w:sz w:val="18"/>
          <w:szCs w:val="18"/>
        </w:rPr>
        <w:t xml:space="preserve">[PASS] dates_sorted             all symbol indices sorted</w:t>
      </w:r>
    </w:p>
    <w:p>
      <w:pPr>
        <w:shd w:fill="F2F2F2" w:val="clear"/>
        <w:spacing w:after="0" w:before="0"/>
        <w:ind w:left="240"/>
      </w:pPr>
      <w:r>
        <w:rPr>
          <w:rFonts w:ascii="Consolas" w:cs="Consolas" w:eastAsia="Consolas" w:hAnsi="Consolas"/>
          <w:sz w:val="18"/>
          <w:szCs w:val="18"/>
        </w:rPr>
        <w:t xml:space="preserve">[PASS] dates_unique             no duplicate dates</w:t>
      </w:r>
    </w:p>
    <w:p>
      <w:pPr>
        <w:shd w:fill="F2F2F2" w:val="clear"/>
        <w:spacing w:after="0" w:before="0"/>
        <w:ind w:left="240"/>
      </w:pPr>
      <w:r>
        <w:rPr>
          <w:rFonts w:ascii="Consolas" w:cs="Consolas" w:eastAsia="Consolas" w:hAnsi="Consolas"/>
          <w:sz w:val="18"/>
          <w:szCs w:val="18"/>
        </w:rPr>
        <w:t xml:space="preserve">[PASS] prices_positive          all closes &gt; 0</w:t>
      </w:r>
    </w:p>
    <w:p>
      <w:pPr>
        <w:shd w:fill="F2F2F2" w:val="clear"/>
        <w:spacing w:after="0" w:before="0"/>
        <w:ind w:left="240"/>
      </w:pPr>
      <w:r>
        <w:rPr>
          <w:rFonts w:ascii="Consolas" w:cs="Consolas" w:eastAsia="Consolas" w:hAnsi="Consolas"/>
          <w:sz w:val="18"/>
          <w:szCs w:val="18"/>
        </w:rPr>
        <w:t xml:space="preserve">[PASS] ohlc_consistent          high/low bracket open/close everywhere</w:t>
      </w:r>
    </w:p>
    <w:p>
      <w:pPr>
        <w:shd w:fill="F2F2F2" w:val="clear"/>
        <w:spacing w:after="0" w:before="0"/>
        <w:ind w:left="240"/>
      </w:pPr>
      <w:r>
        <w:rPr>
          <w:rFonts w:ascii="Consolas" w:cs="Consolas" w:eastAsia="Consolas" w:hAnsi="Consolas"/>
          <w:sz w:val="18"/>
          <w:szCs w:val="18"/>
        </w:rPr>
        <w:t xml:space="preserve">[PASS] end_dates_aligned        last-bar dates span 2 days</w:t>
      </w:r>
    </w:p>
    <w:p>
      <w:pPr>
        <w:shd w:fill="F2F2F2" w:val="clear"/>
        <w:spacing w:after="0" w:before="0"/>
        <w:ind w:left="240"/>
      </w:pPr>
      <w:r>
        <w:rPr>
          <w:rFonts w:ascii="Consolas" w:cs="Consolas" w:eastAsia="Consolas" w:hAnsi="Consolas"/>
          <w:sz w:val="18"/>
          <w:szCs w:val="18"/>
        </w:rPr>
        <w:t xml:space="preserve">[PASS] train_window_coverage    82 symbols have history at 2016-01-01</w:t>
      </w:r>
    </w:p>
    <w:p>
      <w:pPr>
        <w:shd w:fill="F2F2F2" w:val="clear"/>
        <w:spacing w:after="0" w:before="0"/>
        <w:ind w:left="240"/>
      </w:pPr>
      <w:r>
        <w:rPr>
          <w:rFonts w:ascii="Consolas" w:cs="Consolas" w:eastAsia="Consolas" w:hAnsi="Consolas"/>
          <w:sz w:val="18"/>
          <w:szCs w:val="18"/>
        </w:rPr>
        <w:t xml:space="preserve">[WARN] flat_bar_burden          BAJFINANCE 1092 zero-range bars</w:t>
      </w:r>
    </w:p>
    <w:p>
      <w:pPr>
        <w:shd w:fill="F2F2F2" w:val="clear"/>
        <w:spacing w:after="0" w:before="0"/>
        <w:ind w:left="240"/>
      </w:pPr>
      <w:r>
        <w:rPr>
          <w:rFonts w:ascii="Consolas" w:cs="Consolas" w:eastAsia="Consolas" w:hAnsi="Consolas"/>
          <w:sz w:val="18"/>
          <w:szCs w:val="18"/>
        </w:rPr>
        <w:t xml:space="preserve">[WARN] prelisting_truncation    10 symbols truncated</w:t>
      </w:r>
    </w:p>
    <w:p>
      <w:pPr>
        <w:shd w:fill="F2F2F2" w:val="clear"/>
        <w:spacing w:after="160" w:before="0"/>
        <w:ind w:left="240"/>
      </w:pPr>
      <w:r>
        <w:rPr>
          <w:rFonts w:ascii="Consolas" w:cs="Consolas" w:eastAsia="Consolas" w:hAnsi="Consolas"/>
          <w:sz w:val="18"/>
          <w:szCs w:val="18"/>
        </w:rPr>
        <w:t xml:space="preserve">[WARN] symbols_dropped          ENRIN, TATACAP, TMCV (too little history)</w:t>
      </w:r>
    </w:p>
    <w:p>
      <w:pPr>
        <w:spacing w:after="120" w:line="300"/>
      </w:pPr>
      <w:r>
        <w:t xml:space="preserve">Three symbols are excluded for having fewer than 300 bars, which cannot support a 60-day volatility warmup plus a meaningful backtest. Errors stop the pipeline; warnings are recorded and allowed through.</w:t>
      </w:r>
    </w:p>
    <w:p>
      <w:pPr>
        <w:pStyle w:val="Heading2"/>
        <w:spacing w:after="120" w:before="280"/>
      </w:pPr>
      <w:r>
        <w:t xml:space="preserve">4.5 The quality gate</w:t>
      </w:r>
    </w:p>
    <w:p>
      <w:pPr>
        <w:spacing w:after="120" w:line="300"/>
      </w:pPr>
      <w:r>
        <w:t xml:space="preserve">The audit is not a document, it is a test that runs every time. Data gets refreshed, a vendor changes a format, and six weeks later a backtest is quietly wrong. Encoding the audit as a gate means a regression fails loudly instead of producing a slightly different Sharpe ratio that nobody questions.</w:t>
      </w:r>
    </w:p>
    <w:p>
      <w:r>
        <w:br w:type="page"/>
      </w:r>
    </w:p>
    <w:p>
      <w:pPr>
        <w:pStyle w:val="Heading1"/>
        <w:spacing w:after="160" w:before="360"/>
      </w:pPr>
      <w:r>
        <w:t xml:space="preserve">5. Phase 2 (part) — Slope and acceleration</w:t>
      </w:r>
    </w:p>
    <w:p>
      <w:pPr>
        <w:spacing w:after="120" w:line="300"/>
      </w:pPr>
      <w:r>
        <w:t xml:space="preserve">Built ahead of schedule because the signal logic depends on it and because it removed a blocking dependency on the P-spline smoother.</w:t>
      </w:r>
    </w:p>
    <w:p>
      <w:pPr>
        <w:pStyle w:val="Heading2"/>
        <w:spacing w:after="120" w:before="280"/>
      </w:pPr>
      <w:r>
        <w:t xml:space="preserve">5.1 How it is computed</w:t>
      </w:r>
    </w:p>
    <w:p>
      <w:pPr>
        <w:spacing w:after="120" w:line="300"/>
      </w:pPr>
      <w:r>
        <w:t xml:space="preserve">Slope is a least-squares straight-line fit through the last few days of log price. Acceleration is the curvature term from a single quadratic fit — deliberately not the difference between two slope readings, because stacking two smoothers roughly doubles the lag, and lag is exactly what we cannot afford when the goal is seeing a turn several days early.</w:t>
      </w:r>
    </w:p>
    <w:p>
      <w:pPr>
        <w:spacing w:after="120" w:line="300"/>
      </w:pPr>
      <w:r>
        <w:t xml:space="preserve">Because the trailing window is evenly spaced in time, both regressions collapse mathematically to a fixed set of weights. Each feature is therefore a single weighted sum over the trailing window. This is not merely fast: it makes causality structural. There is no code path that could look forward, so it cannot be broken by a later edit.</w:t>
      </w:r>
    </w:p>
    <w:p>
      <w:pPr>
        <w:pStyle w:val="Heading2"/>
        <w:spacing w:after="120" w:before="280"/>
      </w:pPr>
      <w:r>
        <w:t xml:space="preserve">5.2 Validation on the real universe</w:t>
      </w:r>
    </w:p>
    <w:p>
      <w:pPr>
        <w:spacing w:after="120" w:line="300"/>
      </w:pPr>
      <w:r>
        <w:t xml:space="preserve">With no tuning at all, the fraction of the universe in AcceleratingDecline picks out genuine market events: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400"/>
        <w:gridCol w:w="2500"/>
      </w:tblGrid>
      <w:tr>
        <w:trPr>
          <w:tblHeader/>
        </w:trPr>
        <w:tc>
          <w:tcPr>
            <w:tcW w:type="dxa" w:w="1700"/>
            <w:shd w:fill="1F4E79" w:val="clear"/>
            <w:tcMar>
              <w:top w:type="dxa" w:w="80"/>
              <w:left w:type="dxa" w:w="120"/>
              <w:bottom w:type="dxa" w:w="80"/>
              <w:right w:type="dxa" w:w="120"/>
            </w:tcMar>
          </w:tcPr>
          <w:p>
            <w:r>
              <w:rPr>
                <w:b/>
                <w:bCs/>
                <w:color w:val="FFFFFF"/>
                <w:sz w:val="19"/>
                <w:szCs w:val="19"/>
              </w:rPr>
              <w:t xml:space="preserve">Date</w:t>
            </w:r>
          </w:p>
        </w:tc>
        <w:tc>
          <w:tcPr>
            <w:tcW w:type="dxa" w:w="2400"/>
            <w:shd w:fill="1F4E79" w:val="clear"/>
            <w:tcMar>
              <w:top w:type="dxa" w:w="80"/>
              <w:left w:type="dxa" w:w="120"/>
              <w:bottom w:type="dxa" w:w="80"/>
              <w:right w:type="dxa" w:w="120"/>
            </w:tcMar>
          </w:tcPr>
          <w:p>
            <w:r>
              <w:rPr>
                <w:b/>
                <w:bCs/>
                <w:color w:val="FFFFFF"/>
                <w:sz w:val="19"/>
                <w:szCs w:val="19"/>
              </w:rPr>
              <w:t xml:space="preserve">% of universe declining</w:t>
            </w:r>
          </w:p>
        </w:tc>
        <w:tc>
          <w:tcPr>
            <w:tcW w:type="dxa" w:w="2400"/>
            <w:shd w:fill="1F4E79" w:val="clear"/>
            <w:tcMar>
              <w:top w:type="dxa" w:w="80"/>
              <w:left w:type="dxa" w:w="120"/>
              <w:bottom w:type="dxa" w:w="80"/>
              <w:right w:type="dxa" w:w="120"/>
            </w:tcMar>
          </w:tcPr>
          <w:p>
            <w:r>
              <w:rPr>
                <w:b/>
                <w:bCs/>
                <w:color w:val="FFFFFF"/>
                <w:sz w:val="19"/>
                <w:szCs w:val="19"/>
              </w:rPr>
              <w:t xml:space="preserve">Median slope (sigma/day)</w:t>
            </w:r>
          </w:p>
        </w:tc>
        <w:tc>
          <w:tcPr>
            <w:tcW w:type="dxa" w:w="2500"/>
            <w:shd w:fill="1F4E79" w:val="clear"/>
            <w:tcMar>
              <w:top w:type="dxa" w:w="80"/>
              <w:left w:type="dxa" w:w="120"/>
              <w:bottom w:type="dxa" w:w="80"/>
              <w:right w:type="dxa" w:w="120"/>
            </w:tcMar>
          </w:tcPr>
          <w:p>
            <w:r>
              <w:rPr>
                <w:b/>
                <w:bCs/>
                <w:color w:val="FFFFFF"/>
                <w:sz w:val="19"/>
                <w:szCs w:val="19"/>
              </w:rPr>
              <w:t xml:space="preserve">Event</w:t>
            </w:r>
          </w:p>
        </w:tc>
      </w:tr>
      <w:tr>
        <w:tc>
          <w:tcPr>
            <w:tcW w:type="dxa" w:w="1700"/>
            <w:shd w:fill="F5F8FB" w:val="clear"/>
            <w:tcMar>
              <w:top w:type="dxa" w:w="70"/>
              <w:left w:type="dxa" w:w="120"/>
              <w:bottom w:type="dxa" w:w="70"/>
              <w:right w:type="dxa" w:w="120"/>
            </w:tcMar>
          </w:tcPr>
          <w:p>
            <w:r>
              <w:rPr>
                <w:sz w:val="19"/>
                <w:szCs w:val="19"/>
              </w:rPr>
              <w:t xml:space="preserve">2020-03-12</w:t>
            </w:r>
          </w:p>
        </w:tc>
        <w:tc>
          <w:tcPr>
            <w:tcW w:type="dxa" w:w="2400"/>
            <w:shd w:fill="F5F8FB" w:val="clear"/>
            <w:tcMar>
              <w:top w:type="dxa" w:w="70"/>
              <w:left w:type="dxa" w:w="120"/>
              <w:bottom w:type="dxa" w:w="70"/>
              <w:right w:type="dxa" w:w="120"/>
            </w:tcMar>
          </w:tcPr>
          <w:p>
            <w:r>
              <w:rPr>
                <w:sz w:val="19"/>
                <w:szCs w:val="19"/>
              </w:rPr>
              <w:t xml:space="preserve">92.1%</w:t>
            </w:r>
          </w:p>
        </w:tc>
        <w:tc>
          <w:tcPr>
            <w:tcW w:type="dxa" w:w="2400"/>
            <w:shd w:fill="F5F8FB" w:val="clear"/>
            <w:tcMar>
              <w:top w:type="dxa" w:w="70"/>
              <w:left w:type="dxa" w:w="120"/>
              <w:bottom w:type="dxa" w:w="70"/>
              <w:right w:type="dxa" w:w="120"/>
            </w:tcMar>
          </w:tcPr>
          <w:p>
            <w:r>
              <w:rPr>
                <w:sz w:val="19"/>
                <w:szCs w:val="19"/>
              </w:rPr>
              <w:t xml:space="preserve">-2.11</w:t>
            </w:r>
          </w:p>
        </w:tc>
        <w:tc>
          <w:tcPr>
            <w:tcW w:type="dxa" w:w="2500"/>
            <w:shd w:fill="F5F8FB" w:val="clear"/>
            <w:tcMar>
              <w:top w:type="dxa" w:w="70"/>
              <w:left w:type="dxa" w:w="120"/>
              <w:bottom w:type="dxa" w:w="70"/>
              <w:right w:type="dxa" w:w="120"/>
            </w:tcMar>
          </w:tcPr>
          <w:p>
            <w:r>
              <w:rPr>
                <w:sz w:val="19"/>
                <w:szCs w:val="19"/>
              </w:rPr>
              <w:t xml:space="preserve">COVID crash</w:t>
            </w:r>
          </w:p>
        </w:tc>
      </w:tr>
      <w:tr>
        <w:tc>
          <w:tcPr>
            <w:tcW w:type="dxa" w:w="1700"/>
            <w:shd w:fill="FFFFFF" w:val="clear"/>
            <w:tcMar>
              <w:top w:type="dxa" w:w="70"/>
              <w:left w:type="dxa" w:w="120"/>
              <w:bottom w:type="dxa" w:w="70"/>
              <w:right w:type="dxa" w:w="120"/>
            </w:tcMar>
          </w:tcPr>
          <w:p>
            <w:r>
              <w:rPr>
                <w:sz w:val="19"/>
                <w:szCs w:val="19"/>
              </w:rPr>
              <w:t xml:space="preserve">2026-03-31</w:t>
            </w:r>
          </w:p>
        </w:tc>
        <w:tc>
          <w:tcPr>
            <w:tcW w:type="dxa" w:w="2400"/>
            <w:shd w:fill="FFFFFF" w:val="clear"/>
            <w:tcMar>
              <w:top w:type="dxa" w:w="70"/>
              <w:left w:type="dxa" w:w="120"/>
              <w:bottom w:type="dxa" w:w="70"/>
              <w:right w:type="dxa" w:w="120"/>
            </w:tcMar>
          </w:tcPr>
          <w:p>
            <w:r>
              <w:rPr>
                <w:sz w:val="19"/>
                <w:szCs w:val="19"/>
              </w:rPr>
              <w:t xml:space="preserve">90.5%</w:t>
            </w:r>
          </w:p>
        </w:tc>
        <w:tc>
          <w:tcPr>
            <w:tcW w:type="dxa" w:w="2400"/>
            <w:shd w:fill="FFFFFF" w:val="clear"/>
            <w:tcMar>
              <w:top w:type="dxa" w:w="70"/>
              <w:left w:type="dxa" w:w="120"/>
              <w:bottom w:type="dxa" w:w="70"/>
              <w:right w:type="dxa" w:w="120"/>
            </w:tcMar>
          </w:tcPr>
          <w:p>
            <w:r>
              <w:rPr>
                <w:sz w:val="19"/>
                <w:szCs w:val="19"/>
              </w:rPr>
              <w:t xml:space="preserve">-0.79</w:t>
            </w:r>
          </w:p>
        </w:tc>
        <w:tc>
          <w:tcPr>
            <w:tcW w:type="dxa" w:w="2500"/>
            <w:shd w:fill="FFFFFF" w:val="clear"/>
            <w:tcMar>
              <w:top w:type="dxa" w:w="70"/>
              <w:left w:type="dxa" w:w="120"/>
              <w:bottom w:type="dxa" w:w="70"/>
              <w:right w:type="dxa" w:w="120"/>
            </w:tcMar>
          </w:tcPr>
          <w:p>
            <w:r>
              <w:rPr>
                <w:sz w:val="19"/>
                <w:szCs w:val="19"/>
              </w:rPr>
              <w:t xml:space="preserve">—</w:t>
            </w:r>
          </w:p>
        </w:tc>
      </w:tr>
      <w:tr>
        <w:tc>
          <w:tcPr>
            <w:tcW w:type="dxa" w:w="1700"/>
            <w:shd w:fill="F5F8FB" w:val="clear"/>
            <w:tcMar>
              <w:top w:type="dxa" w:w="70"/>
              <w:left w:type="dxa" w:w="120"/>
              <w:bottom w:type="dxa" w:w="70"/>
              <w:right w:type="dxa" w:w="120"/>
            </w:tcMar>
          </w:tcPr>
          <w:p>
            <w:r>
              <w:rPr>
                <w:sz w:val="19"/>
                <w:szCs w:val="19"/>
              </w:rPr>
              <w:t xml:space="preserve">2016-02-11</w:t>
            </w:r>
          </w:p>
        </w:tc>
        <w:tc>
          <w:tcPr>
            <w:tcW w:type="dxa" w:w="2400"/>
            <w:shd w:fill="F5F8FB" w:val="clear"/>
            <w:tcMar>
              <w:top w:type="dxa" w:w="70"/>
              <w:left w:type="dxa" w:w="120"/>
              <w:bottom w:type="dxa" w:w="70"/>
              <w:right w:type="dxa" w:w="120"/>
            </w:tcMar>
          </w:tcPr>
          <w:p>
            <w:r>
              <w:rPr>
                <w:sz w:val="19"/>
                <w:szCs w:val="19"/>
              </w:rPr>
              <w:t xml:space="preserve">90.1%</w:t>
            </w:r>
          </w:p>
        </w:tc>
        <w:tc>
          <w:tcPr>
            <w:tcW w:type="dxa" w:w="2400"/>
            <w:shd w:fill="F5F8FB" w:val="clear"/>
            <w:tcMar>
              <w:top w:type="dxa" w:w="70"/>
              <w:left w:type="dxa" w:w="120"/>
              <w:bottom w:type="dxa" w:w="70"/>
              <w:right w:type="dxa" w:w="120"/>
            </w:tcMar>
          </w:tcPr>
          <w:p>
            <w:r>
              <w:rPr>
                <w:sz w:val="19"/>
                <w:szCs w:val="19"/>
              </w:rPr>
              <w:t xml:space="preserve">-0.94</w:t>
            </w:r>
          </w:p>
        </w:tc>
        <w:tc>
          <w:tcPr>
            <w:tcW w:type="dxa" w:w="2500"/>
            <w:shd w:fill="F5F8FB" w:val="clear"/>
            <w:tcMar>
              <w:top w:type="dxa" w:w="70"/>
              <w:left w:type="dxa" w:w="120"/>
              <w:bottom w:type="dxa" w:w="70"/>
              <w:right w:type="dxa" w:w="120"/>
            </w:tcMar>
          </w:tcPr>
          <w:p>
            <w:r>
              <w:rPr>
                <w:sz w:val="19"/>
                <w:szCs w:val="19"/>
              </w:rPr>
              <w:t xml:space="preserve">Feb-2016 global selloff</w:t>
            </w:r>
          </w:p>
        </w:tc>
      </w:tr>
      <w:tr>
        <w:tc>
          <w:tcPr>
            <w:tcW w:type="dxa" w:w="1700"/>
            <w:shd w:fill="FFFFFF" w:val="clear"/>
            <w:tcMar>
              <w:top w:type="dxa" w:w="70"/>
              <w:left w:type="dxa" w:w="120"/>
              <w:bottom w:type="dxa" w:w="70"/>
              <w:right w:type="dxa" w:w="120"/>
            </w:tcMar>
          </w:tcPr>
          <w:p>
            <w:r>
              <w:rPr>
                <w:sz w:val="19"/>
                <w:szCs w:val="19"/>
              </w:rPr>
              <w:t xml:space="preserve">2022-09-26</w:t>
            </w:r>
          </w:p>
        </w:tc>
        <w:tc>
          <w:tcPr>
            <w:tcW w:type="dxa" w:w="2400"/>
            <w:shd w:fill="FFFFFF" w:val="clear"/>
            <w:tcMar>
              <w:top w:type="dxa" w:w="70"/>
              <w:left w:type="dxa" w:w="120"/>
              <w:bottom w:type="dxa" w:w="70"/>
              <w:right w:type="dxa" w:w="120"/>
            </w:tcMar>
          </w:tcPr>
          <w:p>
            <w:r>
              <w:rPr>
                <w:sz w:val="19"/>
                <w:szCs w:val="19"/>
              </w:rPr>
              <w:t xml:space="preserve">87.2%</w:t>
            </w:r>
          </w:p>
        </w:tc>
        <w:tc>
          <w:tcPr>
            <w:tcW w:type="dxa" w:w="2400"/>
            <w:shd w:fill="FFFFFF" w:val="clear"/>
            <w:tcMar>
              <w:top w:type="dxa" w:w="70"/>
              <w:left w:type="dxa" w:w="120"/>
              <w:bottom w:type="dxa" w:w="70"/>
              <w:right w:type="dxa" w:w="120"/>
            </w:tcMar>
          </w:tcPr>
          <w:p>
            <w:r>
              <w:rPr>
                <w:sz w:val="19"/>
                <w:szCs w:val="19"/>
              </w:rPr>
              <w:t xml:space="preserve">-0.67</w:t>
            </w:r>
          </w:p>
        </w:tc>
        <w:tc>
          <w:tcPr>
            <w:tcW w:type="dxa" w:w="2500"/>
            <w:shd w:fill="FFFFFF" w:val="clear"/>
            <w:tcMar>
              <w:top w:type="dxa" w:w="70"/>
              <w:left w:type="dxa" w:w="120"/>
              <w:bottom w:type="dxa" w:w="70"/>
              <w:right w:type="dxa" w:w="120"/>
            </w:tcMar>
          </w:tcPr>
          <w:p>
            <w:r>
              <w:rPr>
                <w:sz w:val="19"/>
                <w:szCs w:val="19"/>
              </w:rPr>
              <w:t xml:space="preserve">Fed / GBP crisis</w:t>
            </w:r>
          </w:p>
        </w:tc>
      </w:tr>
      <w:tr>
        <w:tc>
          <w:tcPr>
            <w:tcW w:type="dxa" w:w="1700"/>
            <w:shd w:fill="F5F8FB" w:val="clear"/>
            <w:tcMar>
              <w:top w:type="dxa" w:w="70"/>
              <w:left w:type="dxa" w:w="120"/>
              <w:bottom w:type="dxa" w:w="70"/>
              <w:right w:type="dxa" w:w="120"/>
            </w:tcMar>
          </w:tcPr>
          <w:p>
            <w:r>
              <w:rPr>
                <w:sz w:val="19"/>
                <w:szCs w:val="19"/>
              </w:rPr>
              <w:t xml:space="preserve">2021-12-20</w:t>
            </w:r>
          </w:p>
        </w:tc>
        <w:tc>
          <w:tcPr>
            <w:tcW w:type="dxa" w:w="2400"/>
            <w:shd w:fill="F5F8FB" w:val="clear"/>
            <w:tcMar>
              <w:top w:type="dxa" w:w="70"/>
              <w:left w:type="dxa" w:w="120"/>
              <w:bottom w:type="dxa" w:w="70"/>
              <w:right w:type="dxa" w:w="120"/>
            </w:tcMar>
          </w:tcPr>
          <w:p>
            <w:r>
              <w:rPr>
                <w:sz w:val="19"/>
                <w:szCs w:val="19"/>
              </w:rPr>
              <w:t xml:space="preserve">86.2%</w:t>
            </w:r>
          </w:p>
        </w:tc>
        <w:tc>
          <w:tcPr>
            <w:tcW w:type="dxa" w:w="2400"/>
            <w:shd w:fill="F5F8FB" w:val="clear"/>
            <w:tcMar>
              <w:top w:type="dxa" w:w="70"/>
              <w:left w:type="dxa" w:w="120"/>
              <w:bottom w:type="dxa" w:w="70"/>
              <w:right w:type="dxa" w:w="120"/>
            </w:tcMar>
          </w:tcPr>
          <w:p>
            <w:r>
              <w:rPr>
                <w:sz w:val="19"/>
                <w:szCs w:val="19"/>
              </w:rPr>
              <w:t xml:space="preserve">-0.82</w:t>
            </w:r>
          </w:p>
        </w:tc>
        <w:tc>
          <w:tcPr>
            <w:tcW w:type="dxa" w:w="2500"/>
            <w:shd w:fill="F5F8FB" w:val="clear"/>
            <w:tcMar>
              <w:top w:type="dxa" w:w="70"/>
              <w:left w:type="dxa" w:w="120"/>
              <w:bottom w:type="dxa" w:w="70"/>
              <w:right w:type="dxa" w:w="120"/>
            </w:tcMar>
          </w:tcPr>
          <w:p>
            <w:r>
              <w:rPr>
                <w:sz w:val="19"/>
                <w:szCs w:val="19"/>
              </w:rPr>
              <w:t xml:space="preserve">Omicron</w:t>
            </w:r>
          </w:p>
        </w:tc>
      </w:tr>
      <w:tr>
        <w:tc>
          <w:tcPr>
            <w:tcW w:type="dxa" w:w="1700"/>
            <w:shd w:fill="FFFFFF" w:val="clear"/>
            <w:tcMar>
              <w:top w:type="dxa" w:w="70"/>
              <w:left w:type="dxa" w:w="120"/>
              <w:bottom w:type="dxa" w:w="70"/>
              <w:right w:type="dxa" w:w="120"/>
            </w:tcMar>
          </w:tcPr>
          <w:p>
            <w:r>
              <w:rPr>
                <w:sz w:val="19"/>
                <w:szCs w:val="19"/>
              </w:rPr>
              <w:t xml:space="preserve">2017-09-25</w:t>
            </w:r>
          </w:p>
        </w:tc>
        <w:tc>
          <w:tcPr>
            <w:tcW w:type="dxa" w:w="2400"/>
            <w:shd w:fill="FFFFFF" w:val="clear"/>
            <w:tcMar>
              <w:top w:type="dxa" w:w="70"/>
              <w:left w:type="dxa" w:w="120"/>
              <w:bottom w:type="dxa" w:w="70"/>
              <w:right w:type="dxa" w:w="120"/>
            </w:tcMar>
          </w:tcPr>
          <w:p>
            <w:r>
              <w:rPr>
                <w:sz w:val="19"/>
                <w:szCs w:val="19"/>
              </w:rPr>
              <w:t xml:space="preserve">84.5%</w:t>
            </w:r>
          </w:p>
        </w:tc>
        <w:tc>
          <w:tcPr>
            <w:tcW w:type="dxa" w:w="2400"/>
            <w:shd w:fill="FFFFFF" w:val="clear"/>
            <w:tcMar>
              <w:top w:type="dxa" w:w="70"/>
              <w:left w:type="dxa" w:w="120"/>
              <w:bottom w:type="dxa" w:w="70"/>
              <w:right w:type="dxa" w:w="120"/>
            </w:tcMar>
          </w:tcPr>
          <w:p>
            <w:r>
              <w:rPr>
                <w:sz w:val="19"/>
                <w:szCs w:val="19"/>
              </w:rPr>
              <w:t xml:space="preserve">-0.72</w:t>
            </w:r>
          </w:p>
        </w:tc>
        <w:tc>
          <w:tcPr>
            <w:tcW w:type="dxa" w:w="2500"/>
            <w:shd w:fill="FFFFFF" w:val="clear"/>
            <w:tcMar>
              <w:top w:type="dxa" w:w="70"/>
              <w:left w:type="dxa" w:w="120"/>
              <w:bottom w:type="dxa" w:w="70"/>
              <w:right w:type="dxa" w:w="120"/>
            </w:tcMar>
          </w:tcPr>
          <w:p>
            <w:r>
              <w:rPr>
                <w:sz w:val="19"/>
                <w:szCs w:val="19"/>
              </w:rPr>
              <w:t xml:space="preserve">—</w:t>
            </w:r>
          </w:p>
        </w:tc>
      </w:tr>
    </w:tbl>
    <w:tbl>
      <w:tblPr>
        <w:tblW w:type="dxa" w:w="9000"/>
        <w:tblBorders>
          <w:top w:val="single" w:color="1F4E79" w:sz="2"/>
          <w:left w:val="single" w:color="1F4E79" w:sz="18"/>
          <w:bottom w:val="single" w:color="1F4E79" w:sz="2"/>
          <w:right w:val="single" w:color="1F4E79" w:sz="2"/>
          <w:insideH w:val="none"/>
          <w:insideV w:val="none"/>
        </w:tblBorders>
      </w:tblPr>
      <w:tblGrid>
        <w:gridCol w:w="9000"/>
      </w:tblGrid>
      <w:tr>
        <w:tc>
          <w:tcPr>
            <w:tcW w:type="dxa" w:w="9000"/>
            <w:shd w:fill="F7FAFD" w:val="clear"/>
            <w:tcMar>
              <w:top w:type="dxa" w:w="140"/>
              <w:left w:type="dxa" w:w="200"/>
              <w:bottom w:type="dxa" w:w="140"/>
              <w:right w:type="dxa" w:w="200"/>
            </w:tcMar>
          </w:tcPr>
          <w:p>
            <w:pPr>
              <w:spacing w:after="60"/>
            </w:pPr>
            <w:r>
              <w:rPr>
                <w:b/>
                <w:bCs/>
                <w:color w:val="1F4E79"/>
              </w:rPr>
              <w:t xml:space="preserve">What this told us about the market-wide signal</w:t>
            </w:r>
          </w:p>
          <w:p>
            <w:pPr>
              <w:spacing w:after="40" w:line="300"/>
            </w:pPr>
            <w:r>
              <w:t xml:space="preserve">Breadth alone is not enough. Around 90% of the universe was falling on both the COVID crash and on mild pullbacks.</w:t>
            </w:r>
          </w:p>
          <w:p>
            <w:pPr>
              <w:spacing w:after="40" w:line="300"/>
            </w:pPr>
            <w:r>
              <w:t xml:space="preserve">Only the median slope separates them: -2.11 sigma for COVID versus roughly -0.8 for the others.</w:t>
            </w:r>
          </w:p>
          <w:p>
            <w:pPr>
              <w:spacing w:after="40" w:line="300"/>
            </w:pPr>
            <w:r>
              <w:t xml:space="preserve">So the market-wide trigger needs BOTH conditions: breadth at or above 75% AND median slope at or below -1.5 sigma. This threshold was calibrated from measured data rather than guessed.</w:t>
            </w:r>
          </w:p>
        </w:tc>
      </w:tr>
    </w:tbl>
    <w:p>
      <w:r>
        <w:br w:type="page"/>
      </w:r>
    </w:p>
    <w:p>
      <w:pPr>
        <w:pStyle w:val="Heading1"/>
        <w:spacing w:after="160" w:before="360"/>
      </w:pPr>
      <w:r>
        <w:t xml:space="preserve">6. Regime detection</w:t>
      </w:r>
    </w:p>
    <w:p>
      <w:pPr>
        <w:spacing w:after="120" w:line="300"/>
      </w:pPr>
      <w:r>
        <w:t xml:space="preserve">The team's existing regime module has been brought into the codebase with the look-ahead bug of section 3.3 fixed, and with its public interface left unchanged so that the HMM version now being built elsewhere can drop straight in.</w:t>
      </w:r>
    </w:p>
    <w:p>
      <w:pPr>
        <w:pStyle w:val="Heading2"/>
        <w:spacing w:after="120" w:before="280"/>
      </w:pPr>
      <w:r>
        <w:t xml:space="preserve">6.1 Changes made</w:t>
      </w:r>
    </w:p>
    <w:p>
      <w:pPr>
        <w:pStyle w:val="ListParagraph"/>
        <w:numPr>
          <w:ilvl w:val="0"/>
          <w:numId w:val="3"/>
        </w:numPr>
        <w:spacing w:after="80" w:line="290"/>
      </w:pPr>
      <w:r>
        <w:t xml:space="preserve">Look-ahead fixed. Percentile thresholds are now computed from a trailing window instead of from the whole series.</w:t>
      </w:r>
    </w:p>
    <w:p>
      <w:pPr>
        <w:pStyle w:val="ListParagraph"/>
        <w:numPr>
          <w:ilvl w:val="0"/>
          <w:numId w:val="3"/>
        </w:numPr>
        <w:spacing w:after="80" w:line="290"/>
      </w:pPr>
      <w:r>
        <w:t xml:space="preserve">Rolling rather than expanding. A three-year trailing window keeps thresholds adaptive; ranking a 2026 day against the 2003 distribution ignores how much Indian market volatility has structurally shifted.</w:t>
      </w:r>
    </w:p>
    <w:p>
      <w:pPr>
        <w:pStyle w:val="ListParagraph"/>
        <w:numPr>
          <w:ilvl w:val="0"/>
          <w:numId w:val="3"/>
        </w:numPr>
        <w:spacing w:after="80" w:line="290"/>
      </w:pPr>
      <w:r>
        <w:t xml:space="preserve">Warmup added for the market regime, which previously had none and so fitted early thresholds on a handful of points.</w:t>
      </w:r>
    </w:p>
    <w:p>
      <w:pPr>
        <w:pStyle w:val="ListParagraph"/>
        <w:numPr>
          <w:ilvl w:val="0"/>
          <w:numId w:val="3"/>
        </w:numPr>
        <w:spacing w:after="80" w:line="290"/>
      </w:pPr>
      <w:r>
        <w:t xml:space="preserve">Vectorised. The original recomputed percentiles over a growing slice on every bar.</w:t>
      </w:r>
    </w:p>
    <w:p>
      <w:pPr>
        <w:pStyle w:val="ListParagraph"/>
        <w:numPr>
          <w:ilvl w:val="0"/>
          <w:numId w:val="3"/>
        </w:numPr>
        <w:spacing w:after="80" w:line="290"/>
      </w:pPr>
      <w:r>
        <w:t xml:space="preserve">The P-spline input is now optional. Raw close works and is preferred, because a smoother fitted over the full sample would reintroduce look-ahead through the back door.</w:t>
      </w:r>
    </w:p>
    <w:p>
      <w:pPr>
        <w:pStyle w:val="Heading2"/>
        <w:spacing w:after="120" w:before="280"/>
      </w:pPr>
      <w:r>
        <w:t xml:space="preserve">6.2 Regime is context, not a trigger</w:t>
      </w:r>
    </w:p>
    <w:p>
      <w:pPr>
        <w:spacing w:after="120" w:line="300"/>
      </w:pPr>
      <w:r>
        <w:t xml:space="preserve">Regime uses a 20-day window, so it cannot say “Crashing” until a crash is largely over. That is acceptable and by design: Isolation Forest fires fast, and regime confirms slowly. Attempting to speed regime up would only make it noisy.</w:t>
      </w:r>
    </w:p>
    <w:p>
      <w:pPr>
        <w:pStyle w:val="Heading2"/>
        <w:spacing w:after="120" w:before="280"/>
      </w:pPr>
      <w:r>
        <w:t xml:space="preserve">6.3 Note for the HMM team</w:t>
      </w:r>
    </w:p>
    <w:p>
      <w:pPr>
        <w:spacing w:after="120" w:line="300"/>
      </w:pPr>
      <w:r>
        <w:t xml:space="preserve">A </w:t>
      </w:r>
      <w:r>
        <w:rPr>
          <w:rFonts w:ascii="Consolas" w:cs="Consolas" w:eastAsia="Consolas" w:hAnsi="Consolas"/>
          <w:shd w:fill="F2F2F2" w:val="clear"/>
        </w:rPr>
        <w:t xml:space="preserve">RegimeDetector</w:t>
      </w:r>
      <w:r>
        <w:t xml:space="preserve"> interface is defined in the module. Any replacement must satisfy two rules. First, it must be causal: for an HMM this means refitting as you go, or at minimum using </w:t>
      </w:r>
      <w:r>
        <w:rPr>
          <w:b/>
          <w:bCs/>
        </w:rPr>
        <w:t xml:space="preserve">filtered</w:t>
      </w:r>
      <w:r>
        <w:t xml:space="preserve"> state probabilities — the probability of today's state given data up to today — rather than </w:t>
      </w:r>
      <w:r>
        <w:rPr>
          <w:b/>
          <w:bCs/>
        </w:rPr>
        <w:t xml:space="preserve">smoothed</w:t>
      </w:r>
      <w:r>
        <w:t xml:space="preserve"> ones, which use the entire series. Fitting an HMM on all the data and then decoding it is the same look-ahead bug in a more sophisticated costume, and it is the usual way this goes wrong. Second, warmup bars must return the neutral defaults so downstream code never sees a null.</w:t>
      </w:r>
    </w:p>
    <w:p>
      <w:pPr>
        <w:spacing w:after="120" w:line="300"/>
      </w:pPr>
      <w:r>
        <w:t xml:space="preserve">The future-perturbation test in tests/test_regime.py can be pointed at any detector satisfying the interface. Run it against the HMM before wiring it in.</w:t>
      </w:r>
    </w:p>
    <w:p>
      <w:r>
        <w:br w:type="page"/>
      </w:r>
    </w:p>
    <w:p>
      <w:pPr>
        <w:pStyle w:val="Heading1"/>
        <w:spacing w:after="160" w:before="360"/>
      </w:pPr>
      <w:r>
        <w:t xml:space="preserve">7. Roadmap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6300"/>
        <w:gridCol w:w="1800"/>
      </w:tblGrid>
      <w:tr>
        <w:trPr>
          <w:tblHeader/>
        </w:trPr>
        <w:tc>
          <w:tcPr>
            <w:tcW w:type="dxa" w:w="900"/>
            <w:shd w:fill="1F4E79" w:val="clear"/>
            <w:tcMar>
              <w:top w:type="dxa" w:w="80"/>
              <w:left w:type="dxa" w:w="120"/>
              <w:bottom w:type="dxa" w:w="80"/>
              <w:right w:type="dxa" w:w="120"/>
            </w:tcMar>
          </w:tcPr>
          <w:p>
            <w:r>
              <w:rPr>
                <w:b/>
                <w:bCs/>
                <w:color w:val="FFFFFF"/>
                <w:sz w:val="19"/>
                <w:szCs w:val="19"/>
              </w:rPr>
              <w:t xml:space="preserve">Phase</w:t>
            </w:r>
          </w:p>
        </w:tc>
        <w:tc>
          <w:tcPr>
            <w:tcW w:type="dxa" w:w="6300"/>
            <w:shd w:fill="1F4E79" w:val="clear"/>
            <w:tcMar>
              <w:top w:type="dxa" w:w="80"/>
              <w:left w:type="dxa" w:w="120"/>
              <w:bottom w:type="dxa" w:w="80"/>
              <w:right w:type="dxa" w:w="120"/>
            </w:tcMar>
          </w:tcPr>
          <w:p>
            <w:r>
              <w:rPr>
                <w:b/>
                <w:bCs/>
                <w:color w:val="FFFFFF"/>
                <w:sz w:val="19"/>
                <w:szCs w:val="19"/>
              </w:rPr>
              <w:t xml:space="preserve">Deliverable</w:t>
            </w:r>
          </w:p>
        </w:tc>
        <w:tc>
          <w:tcPr>
            <w:tcW w:type="dxa" w:w="1800"/>
            <w:shd w:fill="1F4E79" w:val="clear"/>
            <w:tcMar>
              <w:top w:type="dxa" w:w="80"/>
              <w:left w:type="dxa" w:w="120"/>
              <w:bottom w:type="dxa" w:w="80"/>
              <w:right w:type="dxa" w:w="120"/>
            </w:tcMar>
          </w:tcPr>
          <w:p>
            <w:r>
              <w:rPr>
                <w:b/>
                <w:bCs/>
                <w:color w:val="FFFFFF"/>
                <w:sz w:val="19"/>
                <w:szCs w:val="19"/>
              </w:rPr>
              <w:t xml:space="preserve">Status</w:t>
            </w:r>
          </w:p>
        </w:tc>
      </w:tr>
      <w:tr>
        <w:tc>
          <w:tcPr>
            <w:tcW w:type="dxa" w:w="900"/>
            <w:shd w:fill="F5F8FB" w:val="clear"/>
            <w:tcMar>
              <w:top w:type="dxa" w:w="70"/>
              <w:left w:type="dxa" w:w="120"/>
              <w:bottom w:type="dxa" w:w="70"/>
              <w:right w:type="dxa" w:w="120"/>
            </w:tcMar>
          </w:tcPr>
          <w:p>
            <w:r>
              <w:rPr>
                <w:sz w:val="19"/>
                <w:szCs w:val="19"/>
              </w:rPr>
              <w:t xml:space="preserve">0</w:t>
            </w:r>
          </w:p>
        </w:tc>
        <w:tc>
          <w:tcPr>
            <w:tcW w:type="dxa" w:w="6300"/>
            <w:shd w:fill="F5F8FB" w:val="clear"/>
            <w:tcMar>
              <w:top w:type="dxa" w:w="70"/>
              <w:left w:type="dxa" w:w="120"/>
              <w:bottom w:type="dxa" w:w="70"/>
              <w:right w:type="dxa" w:w="120"/>
            </w:tcMar>
          </w:tcPr>
          <w:p>
            <w:r>
              <w:rPr>
                <w:sz w:val="19"/>
                <w:szCs w:val="19"/>
              </w:rPr>
              <w:t xml:space="preserve">Data audit — five defects identified</w:t>
            </w:r>
          </w:p>
        </w:tc>
        <w:tc>
          <w:tcPr>
            <w:tcW w:type="dxa" w:w="1800"/>
            <w:shd w:fill="F5F8FB" w:val="clear"/>
            <w:tcMar>
              <w:top w:type="dxa" w:w="70"/>
              <w:left w:type="dxa" w:w="120"/>
              <w:bottom w:type="dxa" w:w="70"/>
              <w:right w:type="dxa" w:w="120"/>
            </w:tcMar>
          </w:tcPr>
          <w:p>
            <w:r>
              <w:rPr>
                <w:sz w:val="19"/>
                <w:szCs w:val="19"/>
              </w:rPr>
              <w:t xml:space="preserve">Done</w:t>
            </w:r>
          </w:p>
        </w:tc>
      </w:tr>
      <w:tr>
        <w:tc>
          <w:tcPr>
            <w:tcW w:type="dxa" w:w="900"/>
            <w:shd w:fill="FFFFFF" w:val="clear"/>
            <w:tcMar>
              <w:top w:type="dxa" w:w="70"/>
              <w:left w:type="dxa" w:w="120"/>
              <w:bottom w:type="dxa" w:w="70"/>
              <w:right w:type="dxa" w:w="120"/>
            </w:tcMar>
          </w:tcPr>
          <w:p>
            <w:r>
              <w:rPr>
                <w:sz w:val="19"/>
                <w:szCs w:val="19"/>
              </w:rPr>
              <w:t xml:space="preserve">1</w:t>
            </w:r>
          </w:p>
        </w:tc>
        <w:tc>
          <w:tcPr>
            <w:tcW w:type="dxa" w:w="6300"/>
            <w:shd w:fill="FFFFFF" w:val="clear"/>
            <w:tcMar>
              <w:top w:type="dxa" w:w="70"/>
              <w:left w:type="dxa" w:w="120"/>
              <w:bottom w:type="dxa" w:w="70"/>
              <w:right w:type="dxa" w:w="120"/>
            </w:tcMar>
          </w:tcPr>
          <w:p>
            <w:r>
              <w:rPr>
                <w:sz w:val="19"/>
                <w:szCs w:val="19"/>
              </w:rPr>
              <w:t xml:space="preserve">Data layer — loader, calendar, quality gate</w:t>
            </w:r>
          </w:p>
        </w:tc>
        <w:tc>
          <w:tcPr>
            <w:tcW w:type="dxa" w:w="1800"/>
            <w:shd w:fill="FFFFFF" w:val="clear"/>
            <w:tcMar>
              <w:top w:type="dxa" w:w="70"/>
              <w:left w:type="dxa" w:w="120"/>
              <w:bottom w:type="dxa" w:w="70"/>
              <w:right w:type="dxa" w:w="120"/>
            </w:tcMar>
          </w:tcPr>
          <w:p>
            <w:r>
              <w:rPr>
                <w:sz w:val="19"/>
                <w:szCs w:val="19"/>
              </w:rPr>
              <w:t xml:space="preserve">Done</w:t>
            </w:r>
          </w:p>
        </w:tc>
      </w:tr>
      <w:tr>
        <w:tc>
          <w:tcPr>
            <w:tcW w:type="dxa" w:w="900"/>
            <w:shd w:fill="F5F8FB" w:val="clear"/>
            <w:tcMar>
              <w:top w:type="dxa" w:w="70"/>
              <w:left w:type="dxa" w:w="120"/>
              <w:bottom w:type="dxa" w:w="70"/>
              <w:right w:type="dxa" w:w="120"/>
            </w:tcMar>
          </w:tcPr>
          <w:p>
            <w:r>
              <w:rPr>
                <w:sz w:val="19"/>
                <w:szCs w:val="19"/>
              </w:rPr>
              <w:t xml:space="preserve">2</w:t>
            </w:r>
          </w:p>
        </w:tc>
        <w:tc>
          <w:tcPr>
            <w:tcW w:type="dxa" w:w="6300"/>
            <w:shd w:fill="F5F8FB" w:val="clear"/>
            <w:tcMar>
              <w:top w:type="dxa" w:w="70"/>
              <w:left w:type="dxa" w:w="120"/>
              <w:bottom w:type="dxa" w:w="70"/>
              <w:right w:type="dxa" w:w="120"/>
            </w:tcMar>
          </w:tcPr>
          <w:p>
            <w:r>
              <w:rPr>
                <w:sz w:val="19"/>
                <w:szCs w:val="19"/>
              </w:rPr>
              <w:t xml:space="preserve">Features — slope/accel done; precursors and cross-sectional pending</w:t>
            </w:r>
          </w:p>
        </w:tc>
        <w:tc>
          <w:tcPr>
            <w:tcW w:type="dxa" w:w="1800"/>
            <w:shd w:fill="F5F8FB" w:val="clear"/>
            <w:tcMar>
              <w:top w:type="dxa" w:w="70"/>
              <w:left w:type="dxa" w:w="120"/>
              <w:bottom w:type="dxa" w:w="70"/>
              <w:right w:type="dxa" w:w="120"/>
            </w:tcMar>
          </w:tcPr>
          <w:p>
            <w:r>
              <w:rPr>
                <w:sz w:val="19"/>
                <w:szCs w:val="19"/>
              </w:rPr>
              <w:t xml:space="preserve">Part done</w:t>
            </w:r>
          </w:p>
        </w:tc>
      </w:tr>
      <w:tr>
        <w:tc>
          <w:tcPr>
            <w:tcW w:type="dxa" w:w="900"/>
            <w:shd w:fill="FFFFFF" w:val="clear"/>
            <w:tcMar>
              <w:top w:type="dxa" w:w="70"/>
              <w:left w:type="dxa" w:w="120"/>
              <w:bottom w:type="dxa" w:w="70"/>
              <w:right w:type="dxa" w:w="120"/>
            </w:tcMar>
          </w:tcPr>
          <w:p>
            <w:r>
              <w:rPr>
                <w:sz w:val="19"/>
                <w:szCs w:val="19"/>
              </w:rPr>
              <w:t xml:space="preserve">3</w:t>
            </w:r>
          </w:p>
        </w:tc>
        <w:tc>
          <w:tcPr>
            <w:tcW w:type="dxa" w:w="6300"/>
            <w:shd w:fill="FFFFFF" w:val="clear"/>
            <w:tcMar>
              <w:top w:type="dxa" w:w="70"/>
              <w:left w:type="dxa" w:w="120"/>
              <w:bottom w:type="dxa" w:w="70"/>
              <w:right w:type="dxa" w:w="120"/>
            </w:tcMar>
          </w:tcPr>
          <w:p>
            <w:r>
              <w:rPr>
                <w:sz w:val="19"/>
                <w:szCs w:val="19"/>
              </w:rPr>
              <w:t xml:space="preserve">Isolation Forest and anomaly intensity</w:t>
            </w:r>
          </w:p>
        </w:tc>
        <w:tc>
          <w:tcPr>
            <w:tcW w:type="dxa" w:w="1800"/>
            <w:shd w:fill="FFFFFF" w:val="clear"/>
            <w:tcMar>
              <w:top w:type="dxa" w:w="70"/>
              <w:left w:type="dxa" w:w="120"/>
              <w:bottom w:type="dxa" w:w="70"/>
              <w:right w:type="dxa" w:w="120"/>
            </w:tcMar>
          </w:tcPr>
          <w:p>
            <w:r>
              <w:rPr>
                <w:sz w:val="19"/>
                <w:szCs w:val="19"/>
              </w:rPr>
              <w:t xml:space="preserve">Pending</w:t>
            </w:r>
          </w:p>
        </w:tc>
      </w:tr>
      <w:tr>
        <w:tc>
          <w:tcPr>
            <w:tcW w:type="dxa" w:w="900"/>
            <w:shd w:fill="F5F8FB" w:val="clear"/>
            <w:tcMar>
              <w:top w:type="dxa" w:w="70"/>
              <w:left w:type="dxa" w:w="120"/>
              <w:bottom w:type="dxa" w:w="70"/>
              <w:right w:type="dxa" w:w="120"/>
            </w:tcMar>
          </w:tcPr>
          <w:p>
            <w:r>
              <w:rPr>
                <w:sz w:val="19"/>
                <w:szCs w:val="19"/>
              </w:rPr>
              <w:t xml:space="preserve">4</w:t>
            </w:r>
          </w:p>
        </w:tc>
        <w:tc>
          <w:tcPr>
            <w:tcW w:type="dxa" w:w="6300"/>
            <w:shd w:fill="F5F8FB" w:val="clear"/>
            <w:tcMar>
              <w:top w:type="dxa" w:w="70"/>
              <w:left w:type="dxa" w:w="120"/>
              <w:bottom w:type="dxa" w:w="70"/>
              <w:right w:type="dxa" w:w="120"/>
            </w:tcMar>
          </w:tcPr>
          <w:p>
            <w:r>
              <w:rPr>
                <w:sz w:val="19"/>
                <w:szCs w:val="19"/>
              </w:rPr>
              <w:t xml:space="preserve">Crash labels and lead-time measurement</w:t>
            </w:r>
          </w:p>
        </w:tc>
        <w:tc>
          <w:tcPr>
            <w:tcW w:type="dxa" w:w="1800"/>
            <w:shd w:fill="F5F8FB" w:val="clear"/>
            <w:tcMar>
              <w:top w:type="dxa" w:w="70"/>
              <w:left w:type="dxa" w:w="120"/>
              <w:bottom w:type="dxa" w:w="70"/>
              <w:right w:type="dxa" w:w="120"/>
            </w:tcMar>
          </w:tcPr>
          <w:p>
            <w:r>
              <w:rPr>
                <w:sz w:val="19"/>
                <w:szCs w:val="19"/>
              </w:rPr>
              <w:t xml:space="preserve">Pending — go/no-go gate</w:t>
            </w:r>
          </w:p>
        </w:tc>
      </w:tr>
      <w:tr>
        <w:tc>
          <w:tcPr>
            <w:tcW w:type="dxa" w:w="900"/>
            <w:shd w:fill="FFFFFF" w:val="clear"/>
            <w:tcMar>
              <w:top w:type="dxa" w:w="70"/>
              <w:left w:type="dxa" w:w="120"/>
              <w:bottom w:type="dxa" w:w="70"/>
              <w:right w:type="dxa" w:w="120"/>
            </w:tcMar>
          </w:tcPr>
          <w:p>
            <w:r>
              <w:rPr>
                <w:sz w:val="19"/>
                <w:szCs w:val="19"/>
              </w:rPr>
              <w:t xml:space="preserve">5</w:t>
            </w:r>
          </w:p>
        </w:tc>
        <w:tc>
          <w:tcPr>
            <w:tcW w:type="dxa" w:w="6300"/>
            <w:shd w:fill="FFFFFF" w:val="clear"/>
            <w:tcMar>
              <w:top w:type="dxa" w:w="70"/>
              <w:left w:type="dxa" w:w="120"/>
              <w:bottom w:type="dxa" w:w="70"/>
              <w:right w:type="dxa" w:w="120"/>
            </w:tcMar>
          </w:tcPr>
          <w:p>
            <w:r>
              <w:rPr>
                <w:sz w:val="19"/>
                <w:szCs w:val="19"/>
              </w:rPr>
              <w:t xml:space="preserve">Signal generation, per-stock and market-wide</w:t>
            </w:r>
          </w:p>
        </w:tc>
        <w:tc>
          <w:tcPr>
            <w:tcW w:type="dxa" w:w="1800"/>
            <w:shd w:fill="FFFFFF" w:val="clear"/>
            <w:tcMar>
              <w:top w:type="dxa" w:w="70"/>
              <w:left w:type="dxa" w:w="120"/>
              <w:bottom w:type="dxa" w:w="70"/>
              <w:right w:type="dxa" w:w="120"/>
            </w:tcMar>
          </w:tcPr>
          <w:p>
            <w:r>
              <w:rPr>
                <w:sz w:val="19"/>
                <w:szCs w:val="19"/>
              </w:rPr>
              <w:t xml:space="preserve">Pending</w:t>
            </w:r>
          </w:p>
        </w:tc>
      </w:tr>
      <w:tr>
        <w:tc>
          <w:tcPr>
            <w:tcW w:type="dxa" w:w="900"/>
            <w:shd w:fill="F5F8FB" w:val="clear"/>
            <w:tcMar>
              <w:top w:type="dxa" w:w="70"/>
              <w:left w:type="dxa" w:w="120"/>
              <w:bottom w:type="dxa" w:w="70"/>
              <w:right w:type="dxa" w:w="120"/>
            </w:tcMar>
          </w:tcPr>
          <w:p>
            <w:r>
              <w:rPr>
                <w:sz w:val="19"/>
                <w:szCs w:val="19"/>
              </w:rPr>
              <w:t xml:space="preserve">6</w:t>
            </w:r>
          </w:p>
        </w:tc>
        <w:tc>
          <w:tcPr>
            <w:tcW w:type="dxa" w:w="6300"/>
            <w:shd w:fill="F5F8FB" w:val="clear"/>
            <w:tcMar>
              <w:top w:type="dxa" w:w="70"/>
              <w:left w:type="dxa" w:w="120"/>
              <w:bottom w:type="dxa" w:w="70"/>
              <w:right w:type="dxa" w:w="120"/>
            </w:tcMar>
          </w:tcPr>
          <w:p>
            <w:r>
              <w:rPr>
                <w:sz w:val="19"/>
                <w:szCs w:val="19"/>
              </w:rPr>
              <w:t xml:space="preserve">Backtest engine and cost model</w:t>
            </w:r>
          </w:p>
        </w:tc>
        <w:tc>
          <w:tcPr>
            <w:tcW w:type="dxa" w:w="1800"/>
            <w:shd w:fill="F5F8FB" w:val="clear"/>
            <w:tcMar>
              <w:top w:type="dxa" w:w="70"/>
              <w:left w:type="dxa" w:w="120"/>
              <w:bottom w:type="dxa" w:w="70"/>
              <w:right w:type="dxa" w:w="120"/>
            </w:tcMar>
          </w:tcPr>
          <w:p>
            <w:r>
              <w:rPr>
                <w:sz w:val="19"/>
                <w:szCs w:val="19"/>
              </w:rPr>
              <w:t xml:space="preserve">Pending</w:t>
            </w:r>
          </w:p>
        </w:tc>
      </w:tr>
      <w:tr>
        <w:tc>
          <w:tcPr>
            <w:tcW w:type="dxa" w:w="900"/>
            <w:shd w:fill="FFFFFF" w:val="clear"/>
            <w:tcMar>
              <w:top w:type="dxa" w:w="70"/>
              <w:left w:type="dxa" w:w="120"/>
              <w:bottom w:type="dxa" w:w="70"/>
              <w:right w:type="dxa" w:w="120"/>
            </w:tcMar>
          </w:tcPr>
          <w:p>
            <w:r>
              <w:rPr>
                <w:sz w:val="19"/>
                <w:szCs w:val="19"/>
              </w:rPr>
              <w:t xml:space="preserve">7</w:t>
            </w:r>
          </w:p>
        </w:tc>
        <w:tc>
          <w:tcPr>
            <w:tcW w:type="dxa" w:w="6300"/>
            <w:shd w:fill="FFFFFF" w:val="clear"/>
            <w:tcMar>
              <w:top w:type="dxa" w:w="70"/>
              <w:left w:type="dxa" w:w="120"/>
              <w:bottom w:type="dxa" w:w="70"/>
              <w:right w:type="dxa" w:w="120"/>
            </w:tcMar>
          </w:tcPr>
          <w:p>
            <w:r>
              <w:rPr>
                <w:sz w:val="19"/>
                <w:szCs w:val="19"/>
              </w:rPr>
              <w:t xml:space="preserve">Retraining method comparison</w:t>
            </w:r>
          </w:p>
        </w:tc>
        <w:tc>
          <w:tcPr>
            <w:tcW w:type="dxa" w:w="1800"/>
            <w:shd w:fill="FFFFFF" w:val="clear"/>
            <w:tcMar>
              <w:top w:type="dxa" w:w="70"/>
              <w:left w:type="dxa" w:w="120"/>
              <w:bottom w:type="dxa" w:w="70"/>
              <w:right w:type="dxa" w:w="120"/>
            </w:tcMar>
          </w:tcPr>
          <w:p>
            <w:r>
              <w:rPr>
                <w:sz w:val="19"/>
                <w:szCs w:val="19"/>
              </w:rPr>
              <w:t xml:space="preserve">Pending</w:t>
            </w:r>
          </w:p>
        </w:tc>
      </w:tr>
      <w:tr>
        <w:tc>
          <w:tcPr>
            <w:tcW w:type="dxa" w:w="900"/>
            <w:shd w:fill="F5F8FB" w:val="clear"/>
            <w:tcMar>
              <w:top w:type="dxa" w:w="70"/>
              <w:left w:type="dxa" w:w="120"/>
              <w:bottom w:type="dxa" w:w="70"/>
              <w:right w:type="dxa" w:w="120"/>
            </w:tcMar>
          </w:tcPr>
          <w:p>
            <w:r>
              <w:rPr>
                <w:sz w:val="19"/>
                <w:szCs w:val="19"/>
              </w:rPr>
              <w:t xml:space="preserve">8</w:t>
            </w:r>
          </w:p>
        </w:tc>
        <w:tc>
          <w:tcPr>
            <w:tcW w:type="dxa" w:w="6300"/>
            <w:shd w:fill="F5F8FB" w:val="clear"/>
            <w:tcMar>
              <w:top w:type="dxa" w:w="70"/>
              <w:left w:type="dxa" w:w="120"/>
              <w:bottom w:type="dxa" w:w="70"/>
              <w:right w:type="dxa" w:w="120"/>
            </w:tcMar>
          </w:tcPr>
          <w:p>
            <w:r>
              <w:rPr>
                <w:sz w:val="19"/>
                <w:szCs w:val="19"/>
              </w:rPr>
              <w:t xml:space="preserve">Drawdown analysis and per-stock charts</w:t>
            </w:r>
          </w:p>
        </w:tc>
        <w:tc>
          <w:tcPr>
            <w:tcW w:type="dxa" w:w="1800"/>
            <w:shd w:fill="F5F8FB" w:val="clear"/>
            <w:tcMar>
              <w:top w:type="dxa" w:w="70"/>
              <w:left w:type="dxa" w:w="120"/>
              <w:bottom w:type="dxa" w:w="70"/>
              <w:right w:type="dxa" w:w="120"/>
            </w:tcMar>
          </w:tcPr>
          <w:p>
            <w:r>
              <w:rPr>
                <w:sz w:val="19"/>
                <w:szCs w:val="19"/>
              </w:rPr>
              <w:t xml:space="preserve">Pending</w:t>
            </w:r>
          </w:p>
        </w:tc>
      </w:tr>
      <w:tr>
        <w:tc>
          <w:tcPr>
            <w:tcW w:type="dxa" w:w="900"/>
            <w:shd w:fill="FFFFFF" w:val="clear"/>
            <w:tcMar>
              <w:top w:type="dxa" w:w="70"/>
              <w:left w:type="dxa" w:w="120"/>
              <w:bottom w:type="dxa" w:w="70"/>
              <w:right w:type="dxa" w:w="120"/>
            </w:tcMar>
          </w:tcPr>
          <w:p>
            <w:r>
              <w:rPr>
                <w:sz w:val="19"/>
                <w:szCs w:val="19"/>
              </w:rPr>
              <w:t xml:space="preserve">9</w:t>
            </w:r>
          </w:p>
        </w:tc>
        <w:tc>
          <w:tcPr>
            <w:tcW w:type="dxa" w:w="6300"/>
            <w:shd w:fill="FFFFFF" w:val="clear"/>
            <w:tcMar>
              <w:top w:type="dxa" w:w="70"/>
              <w:left w:type="dxa" w:w="120"/>
              <w:bottom w:type="dxa" w:w="70"/>
              <w:right w:type="dxa" w:w="120"/>
            </w:tcMar>
          </w:tcPr>
          <w:p>
            <w:r>
              <w:rPr>
                <w:sz w:val="19"/>
                <w:szCs w:val="19"/>
              </w:rPr>
              <w:t xml:space="preserve">Cyber robustness experiment</w:t>
            </w:r>
          </w:p>
        </w:tc>
        <w:tc>
          <w:tcPr>
            <w:tcW w:type="dxa" w:w="1800"/>
            <w:shd w:fill="FFFFFF" w:val="clear"/>
            <w:tcMar>
              <w:top w:type="dxa" w:w="70"/>
              <w:left w:type="dxa" w:w="120"/>
              <w:bottom w:type="dxa" w:w="70"/>
              <w:right w:type="dxa" w:w="120"/>
            </w:tcMar>
          </w:tcPr>
          <w:p>
            <w:r>
              <w:rPr>
                <w:sz w:val="19"/>
                <w:szCs w:val="19"/>
              </w:rPr>
              <w:t xml:space="preserve">Pending</w:t>
            </w:r>
          </w:p>
        </w:tc>
      </w:tr>
      <w:tr>
        <w:tc>
          <w:tcPr>
            <w:tcW w:type="dxa" w:w="900"/>
            <w:shd w:fill="F5F8FB" w:val="clear"/>
            <w:tcMar>
              <w:top w:type="dxa" w:w="70"/>
              <w:left w:type="dxa" w:w="120"/>
              <w:bottom w:type="dxa" w:w="70"/>
              <w:right w:type="dxa" w:w="120"/>
            </w:tcMar>
          </w:tcPr>
          <w:p>
            <w:r>
              <w:rPr>
                <w:sz w:val="19"/>
                <w:szCs w:val="19"/>
              </w:rPr>
              <w:t xml:space="preserve">10</w:t>
            </w:r>
          </w:p>
        </w:tc>
        <w:tc>
          <w:tcPr>
            <w:tcW w:type="dxa" w:w="6300"/>
            <w:shd w:fill="F5F8FB" w:val="clear"/>
            <w:tcMar>
              <w:top w:type="dxa" w:w="70"/>
              <w:left w:type="dxa" w:w="120"/>
              <w:bottom w:type="dxa" w:w="70"/>
              <w:right w:type="dxa" w:w="120"/>
            </w:tcMar>
          </w:tcPr>
          <w:p>
            <w:r>
              <w:rPr>
                <w:sz w:val="19"/>
                <w:szCs w:val="19"/>
              </w:rPr>
              <w:t xml:space="preserve">HTML dashboard</w:t>
            </w:r>
          </w:p>
        </w:tc>
        <w:tc>
          <w:tcPr>
            <w:tcW w:type="dxa" w:w="1800"/>
            <w:shd w:fill="F5F8FB" w:val="clear"/>
            <w:tcMar>
              <w:top w:type="dxa" w:w="70"/>
              <w:left w:type="dxa" w:w="120"/>
              <w:bottom w:type="dxa" w:w="70"/>
              <w:right w:type="dxa" w:w="120"/>
            </w:tcMar>
          </w:tcPr>
          <w:p>
            <w:r>
              <w:rPr>
                <w:sz w:val="19"/>
                <w:szCs w:val="19"/>
              </w:rPr>
              <w:t xml:space="preserve">Pending</w:t>
            </w:r>
          </w:p>
        </w:tc>
      </w:tr>
    </w:tbl>
    <w:tbl>
      <w:tblPr>
        <w:tblW w:type="dxa" w:w="9000"/>
        <w:tblBorders>
          <w:top w:val="single" w:color="1F4E79" w:sz="2"/>
          <w:left w:val="single" w:color="1F4E79" w:sz="18"/>
          <w:bottom w:val="single" w:color="1F4E79" w:sz="2"/>
          <w:right w:val="single" w:color="1F4E79" w:sz="2"/>
          <w:insideH w:val="none"/>
          <w:insideV w:val="none"/>
        </w:tblBorders>
      </w:tblPr>
      <w:tblGrid>
        <w:gridCol w:w="9000"/>
      </w:tblGrid>
      <w:tr>
        <w:tc>
          <w:tcPr>
            <w:tcW w:type="dxa" w:w="9000"/>
            <w:shd w:fill="F7FAFD" w:val="clear"/>
            <w:tcMar>
              <w:top w:type="dxa" w:w="140"/>
              <w:left w:type="dxa" w:w="200"/>
              <w:bottom w:type="dxa" w:w="140"/>
              <w:right w:type="dxa" w:w="200"/>
            </w:tcMar>
          </w:tcPr>
          <w:p>
            <w:pPr>
              <w:spacing w:after="60"/>
            </w:pPr>
            <w:r>
              <w:rPr>
                <w:b/>
                <w:bCs/>
                <w:color w:val="1F4E79"/>
              </w:rPr>
              <w:t xml:space="preserve">Phase 4 is the decision point</w:t>
            </w:r>
          </w:p>
          <w:p>
            <w:pPr>
              <w:spacing w:after="40" w:line="300"/>
            </w:pPr>
            <w:r>
              <w:t xml:space="preserve">Phase 4 measures how many days of warning the model actually gives. If the lead time is not there, then signals, backtesting and dashboards are all wasted effort built on a detector that does not work.</w:t>
            </w:r>
          </w:p>
          <w:p>
            <w:pPr>
              <w:spacing w:after="40" w:line="300"/>
            </w:pPr>
            <w:r>
              <w:t xml:space="preserve">It is far better to learn this from a lead-time histogram in Phase 4 than from an equity curve in Phase 8.</w:t>
            </w:r>
          </w:p>
        </w:tc>
      </w:tr>
    </w:tbl>
    <w:p>
      <w:pPr>
        <w:pStyle w:val="Heading2"/>
        <w:spacing w:after="120" w:before="280"/>
      </w:pPr>
      <w:r>
        <w:t xml:space="preserve">7.1 Retraining methods to be compared</w:t>
      </w:r>
    </w:p>
    <w:p>
      <w:pPr>
        <w:pStyle w:val="ListParagraph"/>
        <w:numPr>
          <w:ilvl w:val="0"/>
          <w:numId w:val="3"/>
        </w:numPr>
        <w:spacing w:after="80" w:line="290"/>
      </w:pPr>
      <w:r>
        <w:t xml:space="preserve">Rolling three-year window</w:t>
      </w:r>
    </w:p>
    <w:p>
      <w:pPr>
        <w:pStyle w:val="ListParagraph"/>
        <w:numPr>
          <w:ilvl w:val="0"/>
          <w:numId w:val="3"/>
        </w:numPr>
        <w:spacing w:after="80" w:line="290"/>
      </w:pPr>
      <w:r>
        <w:t xml:space="preserve">Incremental retraining in one-month steps</w:t>
      </w:r>
    </w:p>
    <w:p>
      <w:pPr>
        <w:pStyle w:val="ListParagraph"/>
        <w:numPr>
          <w:ilvl w:val="0"/>
          <w:numId w:val="3"/>
        </w:numPr>
        <w:spacing w:after="80" w:line="290"/>
      </w:pPr>
      <w:r>
        <w:t xml:space="preserve">Exponentially weighted with decay factor 0.994</w:t>
      </w:r>
    </w:p>
    <w:p>
      <w:pPr>
        <w:pStyle w:val="ListParagraph"/>
        <w:numPr>
          <w:ilvl w:val="0"/>
          <w:numId w:val="3"/>
        </w:numPr>
        <w:spacing w:after="80" w:line="290"/>
      </w:pPr>
      <w:r>
        <w:t xml:space="preserve">Volatility-purged rolling window — proposed addition</w:t>
      </w:r>
    </w:p>
    <w:p>
      <w:pPr>
        <w:spacing w:after="120" w:line="300"/>
      </w:pPr>
      <w:r>
        <w:t xml:space="preserve">The fourth is our own proposal and rests on a counterintuitive point. Isolation Forest defines normal as whatever it was trained on. Feed it crisis data and crises become LESS anomalous, because the model stretches its notion of normal to cover them, and detection degrades exactly when it matters. The fix is therefore not more crisis data but less: fit the rolling window after discarding days whose volatility sits in the top decile. The model then learns a clean picture of normal, and anything crisis-like falls far outside it.</w:t>
      </w:r>
    </w:p>
    <w:p>
      <w:pPr>
        <w:pStyle w:val="Heading2"/>
        <w:spacing w:after="120" w:before="280"/>
      </w:pPr>
      <w:r>
        <w:t xml:space="preserve">7.2 How the comparison will be judged</w:t>
      </w:r>
    </w:p>
    <w:p>
      <w:pPr>
        <w:spacing w:after="120" w:line="300"/>
      </w:pPr>
      <w:r>
        <w:t xml:space="preserve">All four schemes share identical features, labels, costs and thresholds. Only the fitting schedule varies. Ranking is by drawdown reduction per unit of turnover — not by raw return, since a scheme that trades constantly can buy a better drawdown figure at a cost that only shows up in the tax bill.</w:t>
      </w:r>
    </w:p>
    <w:p>
      <w:r>
        <w:br w:type="page"/>
      </w:r>
    </w:p>
    <w:p>
      <w:pPr>
        <w:pStyle w:val="Heading1"/>
        <w:spacing w:after="160" w:before="360"/>
      </w:pPr>
      <w:r>
        <w:t xml:space="preserve">8. Costs and taxes</w:t>
      </w:r>
    </w:p>
    <w:p>
      <w:pPr>
        <w:spacing w:after="120" w:line="300"/>
      </w:pPr>
      <w:r>
        <w:t xml:space="preserve">The existing cost model computes the Indian per-trade stack correctly: securities transaction tax on both legs for delivery trades, stamp duty on purchases only, depository charges on sales only, and GST on the appropriate base. Three additions are required before backtesting.</w:t>
      </w:r>
    </w:p>
    <w:p>
      <w:pPr>
        <w:pStyle w:val="ListParagraph"/>
        <w:numPr>
          <w:ilvl w:val="0"/>
          <w:numId w:val="3"/>
        </w:numPr>
        <w:spacing w:after="80" w:line="290"/>
      </w:pPr>
      <w:r>
        <w:t xml:space="preserve">Capital gains tax, computed at portfolio level on a financial-year basis. This cannot live in the per-trade function. Rates also changed partway through our backtest window on 23 July 2024, so the model must be date-aware. Current rates should be confirmed before being hard-coded.</w:t>
      </w:r>
    </w:p>
    <w:p>
      <w:pPr>
        <w:pStyle w:val="ListParagraph"/>
        <w:numPr>
          <w:ilvl w:val="0"/>
          <w:numId w:val="3"/>
        </w:numPr>
        <w:spacing w:after="80" w:line="290"/>
      </w:pPr>
      <w:r>
        <w:t xml:space="preserve">Volatility-scaled slippage. A flat slippage percentage is the wrong shape for this strategy specifically, because it trades only on crash and rally days — precisely when bid-ask spreads widen several-fold. A flat figure understates cost exactly where all the trades are.</w:t>
      </w:r>
    </w:p>
    <w:p>
      <w:pPr>
        <w:pStyle w:val="ListParagraph"/>
        <w:numPr>
          <w:ilvl w:val="0"/>
          <w:numId w:val="3"/>
        </w:numPr>
        <w:spacing w:after="80" w:line="290"/>
      </w:pPr>
      <w:r>
        <w:t xml:space="preserve">Date-aware exchange charges, which changed on 1 October 2024.</w:t>
      </w:r>
    </w:p>
    <w:tbl>
      <w:tblPr>
        <w:tblW w:type="dxa" w:w="9000"/>
        <w:tblBorders>
          <w:top w:val="single" w:color="1F4E79" w:sz="2"/>
          <w:left w:val="single" w:color="1F4E79" w:sz="18"/>
          <w:bottom w:val="single" w:color="1F4E79" w:sz="2"/>
          <w:right w:val="single" w:color="1F4E79" w:sz="2"/>
          <w:insideH w:val="none"/>
          <w:insideV w:val="none"/>
        </w:tblBorders>
      </w:tblPr>
      <w:tblGrid>
        <w:gridCol w:w="9000"/>
      </w:tblGrid>
      <w:tr>
        <w:tc>
          <w:tcPr>
            <w:tcW w:type="dxa" w:w="9000"/>
            <w:shd w:fill="F7FAFD" w:val="clear"/>
            <w:tcMar>
              <w:top w:type="dxa" w:w="140"/>
              <w:left w:type="dxa" w:w="200"/>
              <w:bottom w:type="dxa" w:w="140"/>
              <w:right w:type="dxa" w:w="200"/>
            </w:tcMar>
          </w:tcPr>
          <w:p>
            <w:pPr>
              <w:spacing w:after="60"/>
            </w:pPr>
            <w:r>
              <w:rPr>
                <w:b/>
                <w:bCs/>
                <w:color w:val="1F4E79"/>
              </w:rPr>
              <w:t xml:space="preserve">A finding worth its own section in the paper</w:t>
            </w:r>
          </w:p>
          <w:p>
            <w:pPr>
              <w:spacing w:after="40" w:line="300"/>
            </w:pPr>
            <w:r>
              <w:t xml:space="preserve">Every crash-exit converts a long-term holding into a short-term one. In India that moves the tax rate from 12.5% to 20%.</w:t>
            </w:r>
          </w:p>
          <w:p>
            <w:pPr>
              <w:spacing w:after="40" w:line="300"/>
            </w:pPr>
            <w:r>
              <w:t xml:space="preserve">So drawdown reduction carries a tax penalty on top of transaction costs — the strategy is quietly paying for its own safety.</w:t>
            </w:r>
          </w:p>
          <w:p>
            <w:pPr>
              <w:spacing w:after="40" w:line="300"/>
            </w:pPr>
            <w:r>
              <w:t xml:space="preserve">Published drawdown-reduction results almost universally ignore this. Quantifying it is a genuine contribution.</w:t>
            </w:r>
          </w:p>
        </w:tc>
      </w:tr>
    </w:tbl>
    <w:p>
      <w:r>
        <w:br w:type="page"/>
      </w:r>
    </w:p>
    <w:p>
      <w:pPr>
        <w:pStyle w:val="Heading1"/>
        <w:spacing w:after="160" w:before="360"/>
      </w:pPr>
      <w:r>
        <w:t xml:space="preserve">9. Glossary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F4E79" w:val="clear"/>
            <w:tcMar>
              <w:top w:type="dxa" w:w="80"/>
              <w:left w:type="dxa" w:w="120"/>
              <w:bottom w:type="dxa" w:w="80"/>
              <w:right w:type="dxa" w:w="120"/>
            </w:tcMar>
          </w:tcPr>
          <w:p>
            <w:r>
              <w:rPr>
                <w:b/>
                <w:bCs/>
                <w:color w:val="FFFFFF"/>
                <w:sz w:val="19"/>
                <w:szCs w:val="19"/>
              </w:rPr>
              <w:t xml:space="preserve">Term</w:t>
            </w:r>
          </w:p>
        </w:tc>
        <w:tc>
          <w:tcPr>
            <w:tcW w:type="dxa" w:w="6800"/>
            <w:shd w:fill="1F4E79" w:val="clear"/>
            <w:tcMar>
              <w:top w:type="dxa" w:w="80"/>
              <w:left w:type="dxa" w:w="120"/>
              <w:bottom w:type="dxa" w:w="80"/>
              <w:right w:type="dxa" w:w="120"/>
            </w:tcMar>
          </w:tcPr>
          <w:p>
            <w:r>
              <w:rPr>
                <w:b/>
                <w:bCs/>
                <w:color w:val="FFFFFF"/>
                <w:sz w:val="19"/>
                <w:szCs w:val="19"/>
              </w:rPr>
              <w:t xml:space="preserve">Meaning</w:t>
            </w:r>
          </w:p>
        </w:tc>
      </w:tr>
      <w:tr>
        <w:tc>
          <w:tcPr>
            <w:tcW w:type="dxa" w:w="2200"/>
            <w:shd w:fill="F5F8FB" w:val="clear"/>
            <w:tcMar>
              <w:top w:type="dxa" w:w="70"/>
              <w:left w:type="dxa" w:w="120"/>
              <w:bottom w:type="dxa" w:w="70"/>
              <w:right w:type="dxa" w:w="120"/>
            </w:tcMar>
          </w:tcPr>
          <w:p>
            <w:r>
              <w:rPr>
                <w:sz w:val="19"/>
                <w:szCs w:val="19"/>
              </w:rPr>
              <w:t xml:space="preserve">Anomaly intensity</w:t>
            </w:r>
          </w:p>
        </w:tc>
        <w:tc>
          <w:tcPr>
            <w:tcW w:type="dxa" w:w="6800"/>
            <w:shd w:fill="F5F8FB" w:val="clear"/>
            <w:tcMar>
              <w:top w:type="dxa" w:w="70"/>
              <w:left w:type="dxa" w:w="120"/>
              <w:bottom w:type="dxa" w:w="70"/>
              <w:right w:type="dxa" w:w="120"/>
            </w:tcMar>
          </w:tcPr>
          <w:p>
            <w:r>
              <w:rPr>
                <w:sz w:val="19"/>
                <w:szCs w:val="19"/>
              </w:rPr>
              <w:t xml:space="preserve">Percentile rank of a day's anomaly score against the training distribution. 0.99 means more unusual than 99% of training days</w:t>
            </w:r>
          </w:p>
        </w:tc>
      </w:tr>
      <w:tr>
        <w:tc>
          <w:tcPr>
            <w:tcW w:type="dxa" w:w="2200"/>
            <w:shd w:fill="FFFFFF" w:val="clear"/>
            <w:tcMar>
              <w:top w:type="dxa" w:w="70"/>
              <w:left w:type="dxa" w:w="120"/>
              <w:bottom w:type="dxa" w:w="70"/>
              <w:right w:type="dxa" w:w="120"/>
            </w:tcMar>
          </w:tcPr>
          <w:p>
            <w:r>
              <w:rPr>
                <w:sz w:val="19"/>
                <w:szCs w:val="19"/>
              </w:rPr>
              <w:t xml:space="preserve">Backtest</w:t>
            </w:r>
          </w:p>
        </w:tc>
        <w:tc>
          <w:tcPr>
            <w:tcW w:type="dxa" w:w="6800"/>
            <w:shd w:fill="FFFFFF" w:val="clear"/>
            <w:tcMar>
              <w:top w:type="dxa" w:w="70"/>
              <w:left w:type="dxa" w:w="120"/>
              <w:bottom w:type="dxa" w:w="70"/>
              <w:right w:type="dxa" w:w="120"/>
            </w:tcMar>
          </w:tcPr>
          <w:p>
            <w:r>
              <w:rPr>
                <w:sz w:val="19"/>
                <w:szCs w:val="19"/>
              </w:rPr>
              <w:t xml:space="preserve">Simulating the strategy over historical data to estimate how it would have performed</w:t>
            </w:r>
          </w:p>
        </w:tc>
      </w:tr>
      <w:tr>
        <w:tc>
          <w:tcPr>
            <w:tcW w:type="dxa" w:w="2200"/>
            <w:shd w:fill="F5F8FB" w:val="clear"/>
            <w:tcMar>
              <w:top w:type="dxa" w:w="70"/>
              <w:left w:type="dxa" w:w="120"/>
              <w:bottom w:type="dxa" w:w="70"/>
              <w:right w:type="dxa" w:w="120"/>
            </w:tcMar>
          </w:tcPr>
          <w:p>
            <w:r>
              <w:rPr>
                <w:sz w:val="19"/>
                <w:szCs w:val="19"/>
              </w:rPr>
              <w:t xml:space="preserve">Breadth</w:t>
            </w:r>
          </w:p>
        </w:tc>
        <w:tc>
          <w:tcPr>
            <w:tcW w:type="dxa" w:w="6800"/>
            <w:shd w:fill="F5F8FB" w:val="clear"/>
            <w:tcMar>
              <w:top w:type="dxa" w:w="70"/>
              <w:left w:type="dxa" w:w="120"/>
              <w:bottom w:type="dxa" w:w="70"/>
              <w:right w:type="dxa" w:w="120"/>
            </w:tcMar>
          </w:tcPr>
          <w:p>
            <w:r>
              <w:rPr>
                <w:sz w:val="19"/>
                <w:szCs w:val="19"/>
              </w:rPr>
              <w:t xml:space="preserve">The fraction of the universe doing something at once, e.g. percent of stocks in accelerating decline</w:t>
            </w:r>
          </w:p>
        </w:tc>
      </w:tr>
      <w:tr>
        <w:tc>
          <w:tcPr>
            <w:tcW w:type="dxa" w:w="2200"/>
            <w:shd w:fill="FFFFFF" w:val="clear"/>
            <w:tcMar>
              <w:top w:type="dxa" w:w="70"/>
              <w:left w:type="dxa" w:w="120"/>
              <w:bottom w:type="dxa" w:w="70"/>
              <w:right w:type="dxa" w:w="120"/>
            </w:tcMar>
          </w:tcPr>
          <w:p>
            <w:r>
              <w:rPr>
                <w:sz w:val="19"/>
                <w:szCs w:val="19"/>
              </w:rPr>
              <w:t xml:space="preserve">Causal</w:t>
            </w:r>
          </w:p>
        </w:tc>
        <w:tc>
          <w:tcPr>
            <w:tcW w:type="dxa" w:w="6800"/>
            <w:shd w:fill="FFFFFF" w:val="clear"/>
            <w:tcMar>
              <w:top w:type="dxa" w:w="70"/>
              <w:left w:type="dxa" w:w="120"/>
              <w:bottom w:type="dxa" w:w="70"/>
              <w:right w:type="dxa" w:w="120"/>
            </w:tcMar>
          </w:tcPr>
          <w:p>
            <w:r>
              <w:rPr>
                <w:sz w:val="19"/>
                <w:szCs w:val="19"/>
              </w:rPr>
              <w:t xml:space="preserve">A calculation that uses only information available at the time. The opposite of look-ahead bias</w:t>
            </w:r>
          </w:p>
        </w:tc>
      </w:tr>
      <w:tr>
        <w:tc>
          <w:tcPr>
            <w:tcW w:type="dxa" w:w="2200"/>
            <w:shd w:fill="F5F8FB" w:val="clear"/>
            <w:tcMar>
              <w:top w:type="dxa" w:w="70"/>
              <w:left w:type="dxa" w:w="120"/>
              <w:bottom w:type="dxa" w:w="70"/>
              <w:right w:type="dxa" w:w="120"/>
            </w:tcMar>
          </w:tcPr>
          <w:p>
            <w:r>
              <w:rPr>
                <w:sz w:val="19"/>
                <w:szCs w:val="19"/>
              </w:rPr>
              <w:t xml:space="preserve">Contamination</w:t>
            </w:r>
          </w:p>
        </w:tc>
        <w:tc>
          <w:tcPr>
            <w:tcW w:type="dxa" w:w="6800"/>
            <w:shd w:fill="F5F8FB" w:val="clear"/>
            <w:tcMar>
              <w:top w:type="dxa" w:w="70"/>
              <w:left w:type="dxa" w:w="120"/>
              <w:bottom w:type="dxa" w:w="70"/>
              <w:right w:type="dxa" w:w="120"/>
            </w:tcMar>
          </w:tcPr>
          <w:p>
            <w:r>
              <w:rPr>
                <w:sz w:val="19"/>
                <w:szCs w:val="19"/>
              </w:rPr>
              <w:t xml:space="preserve">The Isolation Forest setting for the expected proportion of anomalies in training data</w:t>
            </w:r>
          </w:p>
        </w:tc>
      </w:tr>
      <w:tr>
        <w:tc>
          <w:tcPr>
            <w:tcW w:type="dxa" w:w="2200"/>
            <w:shd w:fill="FFFFFF" w:val="clear"/>
            <w:tcMar>
              <w:top w:type="dxa" w:w="70"/>
              <w:left w:type="dxa" w:w="120"/>
              <w:bottom w:type="dxa" w:w="70"/>
              <w:right w:type="dxa" w:w="120"/>
            </w:tcMar>
          </w:tcPr>
          <w:p>
            <w:r>
              <w:rPr>
                <w:sz w:val="19"/>
                <w:szCs w:val="19"/>
              </w:rPr>
              <w:t xml:space="preserve">Drawdown</w:t>
            </w:r>
          </w:p>
        </w:tc>
        <w:tc>
          <w:tcPr>
            <w:tcW w:type="dxa" w:w="6800"/>
            <w:shd w:fill="FFFFFF" w:val="clear"/>
            <w:tcMar>
              <w:top w:type="dxa" w:w="70"/>
              <w:left w:type="dxa" w:w="120"/>
              <w:bottom w:type="dxa" w:w="70"/>
              <w:right w:type="dxa" w:w="120"/>
            </w:tcMar>
          </w:tcPr>
          <w:p>
            <w:r>
              <w:rPr>
                <w:sz w:val="19"/>
                <w:szCs w:val="19"/>
              </w:rPr>
              <w:t xml:space="preserve">How far below the previous peak the portfolio currently sits, as a percentage</w:t>
            </w:r>
          </w:p>
        </w:tc>
      </w:tr>
      <w:tr>
        <w:tc>
          <w:tcPr>
            <w:tcW w:type="dxa" w:w="2200"/>
            <w:shd w:fill="F5F8FB" w:val="clear"/>
            <w:tcMar>
              <w:top w:type="dxa" w:w="70"/>
              <w:left w:type="dxa" w:w="120"/>
              <w:bottom w:type="dxa" w:w="70"/>
              <w:right w:type="dxa" w:w="120"/>
            </w:tcMar>
          </w:tcPr>
          <w:p>
            <w:r>
              <w:rPr>
                <w:sz w:val="19"/>
                <w:szCs w:val="19"/>
              </w:rPr>
              <w:t xml:space="preserve">EOD</w:t>
            </w:r>
          </w:p>
        </w:tc>
        <w:tc>
          <w:tcPr>
            <w:tcW w:type="dxa" w:w="6800"/>
            <w:shd w:fill="F5F8FB" w:val="clear"/>
            <w:tcMar>
              <w:top w:type="dxa" w:w="70"/>
              <w:left w:type="dxa" w:w="120"/>
              <w:bottom w:type="dxa" w:w="70"/>
              <w:right w:type="dxa" w:w="120"/>
            </w:tcMar>
          </w:tcPr>
          <w:p>
            <w:r>
              <w:rPr>
                <w:sz w:val="19"/>
                <w:szCs w:val="19"/>
              </w:rPr>
              <w:t xml:space="preserve">End of day. One bar per trading day, no intraday detail</w:t>
            </w:r>
          </w:p>
        </w:tc>
      </w:tr>
      <w:tr>
        <w:tc>
          <w:tcPr>
            <w:tcW w:type="dxa" w:w="2200"/>
            <w:shd w:fill="FFFFFF" w:val="clear"/>
            <w:tcMar>
              <w:top w:type="dxa" w:w="70"/>
              <w:left w:type="dxa" w:w="120"/>
              <w:bottom w:type="dxa" w:w="70"/>
              <w:right w:type="dxa" w:w="120"/>
            </w:tcMar>
          </w:tcPr>
          <w:p>
            <w:r>
              <w:rPr>
                <w:sz w:val="19"/>
                <w:szCs w:val="19"/>
              </w:rPr>
              <w:t xml:space="preserve">Lead time</w:t>
            </w:r>
          </w:p>
        </w:tc>
        <w:tc>
          <w:tcPr>
            <w:tcW w:type="dxa" w:w="6800"/>
            <w:shd w:fill="FFFFFF" w:val="clear"/>
            <w:tcMar>
              <w:top w:type="dxa" w:w="70"/>
              <w:left w:type="dxa" w:w="120"/>
              <w:bottom w:type="dxa" w:w="70"/>
              <w:right w:type="dxa" w:w="120"/>
            </w:tcMar>
          </w:tcPr>
          <w:p>
            <w:r>
              <w:rPr>
                <w:sz w:val="19"/>
                <w:szCs w:val="19"/>
              </w:rPr>
              <w:t xml:space="preserve">Trading days between raising an alert and the crash actually beginning</w:t>
            </w:r>
          </w:p>
        </w:tc>
      </w:tr>
      <w:tr>
        <w:tc>
          <w:tcPr>
            <w:tcW w:type="dxa" w:w="2200"/>
            <w:shd w:fill="F5F8FB" w:val="clear"/>
            <w:tcMar>
              <w:top w:type="dxa" w:w="70"/>
              <w:left w:type="dxa" w:w="120"/>
              <w:bottom w:type="dxa" w:w="70"/>
              <w:right w:type="dxa" w:w="120"/>
            </w:tcMar>
          </w:tcPr>
          <w:p>
            <w:r>
              <w:rPr>
                <w:sz w:val="19"/>
                <w:szCs w:val="19"/>
              </w:rPr>
              <w:t xml:space="preserve">Log return</w:t>
            </w:r>
          </w:p>
        </w:tc>
        <w:tc>
          <w:tcPr>
            <w:tcW w:type="dxa" w:w="6800"/>
            <w:shd w:fill="F5F8FB" w:val="clear"/>
            <w:tcMar>
              <w:top w:type="dxa" w:w="70"/>
              <w:left w:type="dxa" w:w="120"/>
              <w:bottom w:type="dxa" w:w="70"/>
              <w:right w:type="dxa" w:w="120"/>
            </w:tcMar>
          </w:tcPr>
          <w:p>
            <w:r>
              <w:rPr>
                <w:sz w:val="19"/>
                <w:szCs w:val="19"/>
              </w:rPr>
              <w:t xml:space="preserve">The natural logarithm of the price ratio. Comparable across price levels and immune to splits</w:t>
            </w:r>
          </w:p>
        </w:tc>
      </w:tr>
      <w:tr>
        <w:tc>
          <w:tcPr>
            <w:tcW w:type="dxa" w:w="2200"/>
            <w:shd w:fill="FFFFFF" w:val="clear"/>
            <w:tcMar>
              <w:top w:type="dxa" w:w="70"/>
              <w:left w:type="dxa" w:w="120"/>
              <w:bottom w:type="dxa" w:w="70"/>
              <w:right w:type="dxa" w:w="120"/>
            </w:tcMar>
          </w:tcPr>
          <w:p>
            <w:r>
              <w:rPr>
                <w:sz w:val="19"/>
                <w:szCs w:val="19"/>
              </w:rPr>
              <w:t xml:space="preserve">Look-ahead bias</w:t>
            </w:r>
          </w:p>
        </w:tc>
        <w:tc>
          <w:tcPr>
            <w:tcW w:type="dxa" w:w="6800"/>
            <w:shd w:fill="FFFFFF" w:val="clear"/>
            <w:tcMar>
              <w:top w:type="dxa" w:w="70"/>
              <w:left w:type="dxa" w:w="120"/>
              <w:bottom w:type="dxa" w:w="70"/>
              <w:right w:type="dxa" w:w="120"/>
            </w:tcMar>
          </w:tcPr>
          <w:p>
            <w:r>
              <w:rPr>
                <w:sz w:val="19"/>
                <w:szCs w:val="19"/>
              </w:rPr>
              <w:t xml:space="preserve">Accidentally using future information in a historical simulation. Produces excellent backtests and real losses</w:t>
            </w:r>
          </w:p>
        </w:tc>
      </w:tr>
      <w:tr>
        <w:tc>
          <w:tcPr>
            <w:tcW w:type="dxa" w:w="2200"/>
            <w:shd w:fill="F5F8FB" w:val="clear"/>
            <w:tcMar>
              <w:top w:type="dxa" w:w="70"/>
              <w:left w:type="dxa" w:w="120"/>
              <w:bottom w:type="dxa" w:w="70"/>
              <w:right w:type="dxa" w:w="120"/>
            </w:tcMar>
          </w:tcPr>
          <w:p>
            <w:r>
              <w:rPr>
                <w:sz w:val="19"/>
                <w:szCs w:val="19"/>
              </w:rPr>
              <w:t xml:space="preserve">LTCG / STCG</w:t>
            </w:r>
          </w:p>
        </w:tc>
        <w:tc>
          <w:tcPr>
            <w:tcW w:type="dxa" w:w="6800"/>
            <w:shd w:fill="F5F8FB" w:val="clear"/>
            <w:tcMar>
              <w:top w:type="dxa" w:w="70"/>
              <w:left w:type="dxa" w:w="120"/>
              <w:bottom w:type="dxa" w:w="70"/>
              <w:right w:type="dxa" w:w="120"/>
            </w:tcMar>
          </w:tcPr>
          <w:p>
            <w:r>
              <w:rPr>
                <w:sz w:val="19"/>
                <w:szCs w:val="19"/>
              </w:rPr>
              <w:t xml:space="preserve">Long-term and short-term capital gains, taxed differently depending on holding period</w:t>
            </w:r>
          </w:p>
        </w:tc>
      </w:tr>
      <w:tr>
        <w:tc>
          <w:tcPr>
            <w:tcW w:type="dxa" w:w="2200"/>
            <w:shd w:fill="FFFFFF" w:val="clear"/>
            <w:tcMar>
              <w:top w:type="dxa" w:w="70"/>
              <w:left w:type="dxa" w:w="120"/>
              <w:bottom w:type="dxa" w:w="70"/>
              <w:right w:type="dxa" w:w="120"/>
            </w:tcMar>
          </w:tcPr>
          <w:p>
            <w:r>
              <w:rPr>
                <w:sz w:val="19"/>
                <w:szCs w:val="19"/>
              </w:rPr>
              <w:t xml:space="preserve">OHLCV</w:t>
            </w:r>
          </w:p>
        </w:tc>
        <w:tc>
          <w:tcPr>
            <w:tcW w:type="dxa" w:w="6800"/>
            <w:shd w:fill="FFFFFF" w:val="clear"/>
            <w:tcMar>
              <w:top w:type="dxa" w:w="70"/>
              <w:left w:type="dxa" w:w="120"/>
              <w:bottom w:type="dxa" w:w="70"/>
              <w:right w:type="dxa" w:w="120"/>
            </w:tcMar>
          </w:tcPr>
          <w:p>
            <w:r>
              <w:rPr>
                <w:sz w:val="19"/>
                <w:szCs w:val="19"/>
              </w:rPr>
              <w:t xml:space="preserve">Open, high, low, close, volume — the five fields of a price bar</w:t>
            </w:r>
          </w:p>
        </w:tc>
      </w:tr>
      <w:tr>
        <w:tc>
          <w:tcPr>
            <w:tcW w:type="dxa" w:w="2200"/>
            <w:shd w:fill="F5F8FB" w:val="clear"/>
            <w:tcMar>
              <w:top w:type="dxa" w:w="70"/>
              <w:left w:type="dxa" w:w="120"/>
              <w:bottom w:type="dxa" w:w="70"/>
              <w:right w:type="dxa" w:w="120"/>
            </w:tcMar>
          </w:tcPr>
          <w:p>
            <w:r>
              <w:rPr>
                <w:sz w:val="19"/>
                <w:szCs w:val="19"/>
              </w:rPr>
              <w:t xml:space="preserve">Path length</w:t>
            </w:r>
          </w:p>
        </w:tc>
        <w:tc>
          <w:tcPr>
            <w:tcW w:type="dxa" w:w="6800"/>
            <w:shd w:fill="F5F8FB" w:val="clear"/>
            <w:tcMar>
              <w:top w:type="dxa" w:w="70"/>
              <w:left w:type="dxa" w:w="120"/>
              <w:bottom w:type="dxa" w:w="70"/>
              <w:right w:type="dxa" w:w="120"/>
            </w:tcMar>
          </w:tcPr>
          <w:p>
            <w:r>
              <w:rPr>
                <w:sz w:val="19"/>
                <w:szCs w:val="19"/>
              </w:rPr>
              <w:t xml:space="preserve">How many random cuts an Isolation Forest needed to isolate a point. Short means anomalous</w:t>
            </w:r>
          </w:p>
        </w:tc>
      </w:tr>
      <w:tr>
        <w:tc>
          <w:tcPr>
            <w:tcW w:type="dxa" w:w="2200"/>
            <w:shd w:fill="FFFFFF" w:val="clear"/>
            <w:tcMar>
              <w:top w:type="dxa" w:w="70"/>
              <w:left w:type="dxa" w:w="120"/>
              <w:bottom w:type="dxa" w:w="70"/>
              <w:right w:type="dxa" w:w="120"/>
            </w:tcMar>
          </w:tcPr>
          <w:p>
            <w:r>
              <w:rPr>
                <w:sz w:val="19"/>
                <w:szCs w:val="19"/>
              </w:rPr>
              <w:t xml:space="preserve">Regime</w:t>
            </w:r>
          </w:p>
        </w:tc>
        <w:tc>
          <w:tcPr>
            <w:tcW w:type="dxa" w:w="6800"/>
            <w:shd w:fill="FFFFFF" w:val="clear"/>
            <w:tcMar>
              <w:top w:type="dxa" w:w="70"/>
              <w:left w:type="dxa" w:w="120"/>
              <w:bottom w:type="dxa" w:w="70"/>
              <w:right w:type="dxa" w:w="120"/>
            </w:tcMar>
          </w:tcPr>
          <w:p>
            <w:r>
              <w:rPr>
                <w:sz w:val="19"/>
                <w:szCs w:val="19"/>
              </w:rPr>
              <w:t xml:space="preserve">The prevailing market backdrop, e.g. Crashing, Sideways, Rally</w:t>
            </w:r>
          </w:p>
        </w:tc>
      </w:tr>
      <w:tr>
        <w:tc>
          <w:tcPr>
            <w:tcW w:type="dxa" w:w="2200"/>
            <w:shd w:fill="F5F8FB" w:val="clear"/>
            <w:tcMar>
              <w:top w:type="dxa" w:w="70"/>
              <w:left w:type="dxa" w:w="120"/>
              <w:bottom w:type="dxa" w:w="70"/>
              <w:right w:type="dxa" w:w="120"/>
            </w:tcMar>
          </w:tcPr>
          <w:p>
            <w:r>
              <w:rPr>
                <w:sz w:val="19"/>
                <w:szCs w:val="19"/>
              </w:rPr>
              <w:t xml:space="preserve">Slippage</w:t>
            </w:r>
          </w:p>
        </w:tc>
        <w:tc>
          <w:tcPr>
            <w:tcW w:type="dxa" w:w="6800"/>
            <w:shd w:fill="F5F8FB" w:val="clear"/>
            <w:tcMar>
              <w:top w:type="dxa" w:w="70"/>
              <w:left w:type="dxa" w:w="120"/>
              <w:bottom w:type="dxa" w:w="70"/>
              <w:right w:type="dxa" w:w="120"/>
            </w:tcMar>
          </w:tcPr>
          <w:p>
            <w:r>
              <w:rPr>
                <w:sz w:val="19"/>
                <w:szCs w:val="19"/>
              </w:rPr>
              <w:t xml:space="preserve">The gap between the price you expected and the price you actually got</w:t>
            </w:r>
          </w:p>
        </w:tc>
      </w:tr>
      <w:tr>
        <w:tc>
          <w:tcPr>
            <w:tcW w:type="dxa" w:w="2200"/>
            <w:shd w:fill="FFFFFF" w:val="clear"/>
            <w:tcMar>
              <w:top w:type="dxa" w:w="70"/>
              <w:left w:type="dxa" w:w="120"/>
              <w:bottom w:type="dxa" w:w="70"/>
              <w:right w:type="dxa" w:w="120"/>
            </w:tcMar>
          </w:tcPr>
          <w:p>
            <w:r>
              <w:rPr>
                <w:sz w:val="19"/>
                <w:szCs w:val="19"/>
              </w:rPr>
              <w:t xml:space="preserve">Survivorship bias</w:t>
            </w:r>
          </w:p>
        </w:tc>
        <w:tc>
          <w:tcPr>
            <w:tcW w:type="dxa" w:w="6800"/>
            <w:shd w:fill="FFFFFF" w:val="clear"/>
            <w:tcMar>
              <w:top w:type="dxa" w:w="70"/>
              <w:left w:type="dxa" w:w="120"/>
              <w:bottom w:type="dxa" w:w="70"/>
              <w:right w:type="dxa" w:w="120"/>
            </w:tcMar>
          </w:tcPr>
          <w:p>
            <w:r>
              <w:rPr>
                <w:sz w:val="19"/>
                <w:szCs w:val="19"/>
              </w:rPr>
              <w:t xml:space="preserve">Studying only the companies that are still in the index today, so the failures are invisible</w:t>
            </w:r>
          </w:p>
        </w:tc>
      </w:tr>
      <w:tr>
        <w:tc>
          <w:tcPr>
            <w:tcW w:type="dxa" w:w="2200"/>
            <w:shd w:fill="F5F8FB" w:val="clear"/>
            <w:tcMar>
              <w:top w:type="dxa" w:w="70"/>
              <w:left w:type="dxa" w:w="120"/>
              <w:bottom w:type="dxa" w:w="70"/>
              <w:right w:type="dxa" w:w="120"/>
            </w:tcMar>
          </w:tcPr>
          <w:p>
            <w:r>
              <w:rPr>
                <w:sz w:val="19"/>
                <w:szCs w:val="19"/>
              </w:rPr>
              <w:t xml:space="preserve">Unsupervised</w:t>
            </w:r>
          </w:p>
        </w:tc>
        <w:tc>
          <w:tcPr>
            <w:tcW w:type="dxa" w:w="6800"/>
            <w:shd w:fill="F5F8FB" w:val="clear"/>
            <w:tcMar>
              <w:top w:type="dxa" w:w="70"/>
              <w:left w:type="dxa" w:w="120"/>
              <w:bottom w:type="dxa" w:w="70"/>
              <w:right w:type="dxa" w:w="120"/>
            </w:tcMar>
          </w:tcPr>
          <w:p>
            <w:r>
              <w:rPr>
                <w:sz w:val="19"/>
                <w:szCs w:val="19"/>
              </w:rPr>
              <w:t xml:space="preserve">Learning without labelled examples. The model is never shown a labelled crash</w:t>
            </w:r>
          </w:p>
        </w:tc>
      </w:tr>
      <w:tr>
        <w:tc>
          <w:tcPr>
            <w:tcW w:type="dxa" w:w="2200"/>
            <w:shd w:fill="FFFFFF" w:val="clear"/>
            <w:tcMar>
              <w:top w:type="dxa" w:w="70"/>
              <w:left w:type="dxa" w:w="120"/>
              <w:bottom w:type="dxa" w:w="70"/>
              <w:right w:type="dxa" w:w="120"/>
            </w:tcMar>
          </w:tcPr>
          <w:p>
            <w:r>
              <w:rPr>
                <w:sz w:val="19"/>
                <w:szCs w:val="19"/>
              </w:rPr>
              <w:t xml:space="preserve">Whipsaw</w:t>
            </w:r>
          </w:p>
        </w:tc>
        <w:tc>
          <w:tcPr>
            <w:tcW w:type="dxa" w:w="6800"/>
            <w:shd w:fill="FFFFFF" w:val="clear"/>
            <w:tcMar>
              <w:top w:type="dxa" w:w="70"/>
              <w:left w:type="dxa" w:w="120"/>
              <w:bottom w:type="dxa" w:w="70"/>
              <w:right w:type="dxa" w:w="120"/>
            </w:tcMar>
          </w:tcPr>
          <w:p>
            <w:r>
              <w:rPr>
                <w:sz w:val="19"/>
                <w:szCs w:val="19"/>
              </w:rPr>
              <w:t xml:space="preserve">Being stopped out and re-entered repeatedly, paying costs each time for no gain</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4E79"/>
      <w:sz w:val="34"/>
      <w:szCs w:val="34"/>
    </w:rPr>
  </w:style>
  <w:style w:type="paragraph" w:styleId="Heading2">
    <w:name w:val="Heading 2"/>
    <w:basedOn w:val="Normal"/>
    <w:next w:val="Normal"/>
    <w:qFormat/>
    <w:rPr>
      <w:rFonts w:ascii="Calibri" w:cs="Calibri" w:eastAsia="Calibri" w:hAnsi="Calibri"/>
      <w:b/>
      <w:bCs/>
      <w:color w:val="2E5F8A"/>
      <w:sz w:val="26"/>
      <w:szCs w:val="26"/>
    </w:rPr>
  </w:style>
  <w:style w:type="paragraph" w:styleId="Heading3">
    <w:name w:val="Heading 3"/>
    <w:basedOn w:val="Normal"/>
    <w:next w:val="Normal"/>
    <w:qFormat/>
    <w:rPr>
      <w:rFonts w:ascii="Calibri" w:cs="Calibri" w:eastAsia="Calibri" w:hAnsi="Calibri"/>
      <w:b/>
      <w:bCs/>
      <w:color w:val="595959"/>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QBEAST Stock Market Crash Detection System</dc:title>
  <dc:creator>QBEAST</dc:creator>
  <dc:description>Project documentation</dc:description>
  <cp:lastModifiedBy>Un-named</cp:lastModifiedBy>
  <cp:revision>1</cp:revision>
  <dcterms:created xsi:type="dcterms:W3CDTF">2026-07-26T00:06:48.289Z</dcterms:created>
  <dcterms:modified xsi:type="dcterms:W3CDTF">2026-07-26T00:06:48.289Z</dcterms:modified>
</cp:coreProperties>
</file>

<file path=docProps/custom.xml><?xml version="1.0" encoding="utf-8"?>
<Properties xmlns="http://schemas.openxmlformats.org/officeDocument/2006/custom-properties" xmlns:vt="http://schemas.openxmlformats.org/officeDocument/2006/docPropsVTypes"/>
</file>