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0"/>
        <w:jc w:val="center"/>
      </w:pPr>
      <w:r>
        <w:rPr>
          <w:b/>
          <w:bCs/>
          <w:color w:val="1F4E79"/>
          <w:sz w:val="56"/>
          <w:szCs w:val="56"/>
        </w:rPr>
        <w:t xml:space="preserve">QBEAST</w:t>
      </w:r>
    </w:p>
    <w:p>
      <w:pPr>
        <w:spacing w:after="500"/>
        <w:jc w:val="center"/>
      </w:pPr>
      <w:r>
        <w:rPr>
          <w:color w:val="595959"/>
          <w:sz w:val="24"/>
          <w:szCs w:val="24"/>
        </w:rPr>
        <w:t xml:space="preserve">Stock Market Crash Detection System</w:t>
      </w:r>
    </w:p>
    <w:p>
      <w:pPr>
        <w:spacing w:after="60"/>
        <w:jc w:val="center"/>
      </w:pPr>
      <w:r>
        <w:rPr>
          <w:b/>
          <w:bCs/>
          <w:color w:val="2E5F8A"/>
          <w:sz w:val="30"/>
          <w:szCs w:val="30"/>
        </w:rPr>
        <w:t xml:space="preserve">PHASE 1</w:t>
      </w:r>
    </w:p>
    <w:p>
      <w:pPr>
        <w:spacing w:after="100"/>
        <w:jc w:val="center"/>
      </w:pPr>
      <w:r>
        <w:rPr>
          <w:b/>
          <w:bCs/>
          <w:sz w:val="44"/>
          <w:szCs w:val="44"/>
        </w:rPr>
        <w:t xml:space="preserve">The Data Layer</w:t>
      </w:r>
    </w:p>
    <w:p>
      <w:pPr>
        <w:spacing w:after="500"/>
        <w:jc w:val="center"/>
      </w:pPr>
      <w:r>
        <w:rPr>
          <w:i/>
          <w:iCs/>
          <w:color w:val="595959"/>
          <w:sz w:val="23"/>
          <w:szCs w:val="23"/>
        </w:rPr>
        <w:t xml:space="preserve">Turning 100 raw CSV files into a panel that can be trusted</w:t>
      </w:r>
    </w:p>
    <w:p>
      <w:pPr>
        <w:spacing w:after="60"/>
        <w:jc w:val="center"/>
      </w:pPr>
      <w:r>
        <w:rPr>
          <w:b/>
          <w:bCs/>
          <w:color w:val="1E7B34"/>
          <w:sz w:val="22"/>
          <w:szCs w:val="22"/>
        </w:rPr>
        <w:t xml:space="preserve">STATUS: COMPLETE — 53 tests passing</w:t>
      </w:r>
    </w:p>
    <w:p>
      <w:pPr>
        <w:spacing w:after="50"/>
        <w:jc w:val="center"/>
      </w:pPr>
      <w:r>
        <w:rPr>
          <w:color w:val="595959"/>
          <w:sz w:val="20"/>
          <w:szCs w:val="20"/>
        </w:rPr>
        <w:t xml:space="preserve">96 usable symbols · 5,820 trading days · 2003-01-02 to 2026-06-05</w:t>
      </w:r>
    </w:p>
    <w:p>
      <w:pPr>
        <w:spacing w:after="50"/>
        <w:jc w:val="center"/>
      </w:pPr>
      <w:r>
        <w:rPr>
          <w:color w:val="595959"/>
          <w:sz w:val="20"/>
          <w:szCs w:val="20"/>
        </w:rPr>
        <w:t xml:space="preserve">Six data defects identified and handled</w:t>
      </w:r>
    </w:p>
    <w:p>
      <w:pPr>
        <w:spacing w:after="50"/>
        <w:jc w:val="center"/>
      </w:pPr>
      <w:r>
        <w:rPr>
          <w:color w:val="595959"/>
          <w:sz w:val="20"/>
          <w:szCs w:val="20"/>
        </w:rPr>
        <w:t xml:space="preserve">All 10 ERROR-level quality checks passing</w:t>
      </w:r>
    </w:p>
    <w:p>
      <w:pPr>
        <w:spacing w:before="200"/>
        <w:jc w:val="center"/>
      </w:pPr>
      <w:r>
        <w:rPr>
          <w:color w:val="595959"/>
          <w:sz w:val="19"/>
          <w:szCs w:val="19"/>
        </w:rPr>
        <w:t xml:space="preserve">Generated 2026-07-26</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Purpose</w:t>
      </w:r>
    </w:p>
    <w:p>
      <w:pPr>
        <w:spacing w:after="130" w:line="300"/>
      </w:pPr>
      <w:r>
        <w:t xml:space="preserve">Phase 1 has one job: turn the raw price files into data that can be believed, and then make that trust permanent.</w:t>
      </w:r>
    </w:p>
    <w:p>
      <w:pPr>
        <w:spacing w:after="130" w:line="300"/>
      </w:pPr>
      <w:r>
        <w:t xml:space="preserve">This sounds like plumbing, and it is tempting to rush. It is worth resisting that temptation, because of an asymmetry specific to this project. Isolation Forest is unsupervised — nobody hands it labelled crashes, so it has no way to check its own understanding against ground truth. It simply learns that whatever it was shown is what normal looks like. Feed it one impossible day and it will faithfully expand its notion of normal to accommodate it.</w:t>
      </w:r>
    </w:p>
    <w:p>
      <w:pPr>
        <w:spacing w:after="130" w:line="300"/>
      </w:pPr>
      <w:r>
        <w:t xml:space="preserve">A supervised model would fight back. Shown a mislabelled example, its error signal rises and training pushes against the mistake. An unsupervised model has no such immune system. It absorbs bad data silently and produces confident, plausible, wrong scores forever afterwards.</w:t>
      </w:r>
    </w:p>
    <w:tbl>
      <w:tblPr>
        <w:tblW w:type="dxa" w:w="9000"/>
        <w:tblBorders>
          <w:top w:val="single" w:color="1F4E79" w:sz="2"/>
          <w:left w:val="single" w:color="1F4E79" w:sz="20"/>
          <w:bottom w:val="single" w:color="1F4E79" w:sz="2"/>
          <w:right w:val="single" w:color="1F4E79" w:sz="2"/>
          <w:insideH w:val="none"/>
          <w:insideV w:val="none"/>
        </w:tblBorders>
      </w:tblPr>
      <w:tblGrid>
        <w:gridCol w:w="9000"/>
      </w:tblGrid>
      <w:tr>
        <w:tc>
          <w:tcPr>
            <w:tcW w:type="dxa" w:w="9000"/>
            <w:shd w:fill="F7FAFD" w:val="clear"/>
            <w:tcMar>
              <w:top w:type="dxa" w:w="150"/>
              <w:left w:type="dxa" w:w="220"/>
              <w:bottom w:type="dxa" w:w="150"/>
              <w:right w:type="dxa" w:w="200"/>
            </w:tcMar>
          </w:tcPr>
          <w:p>
            <w:pPr>
              <w:spacing w:after="70"/>
            </w:pPr>
            <w:r>
              <w:rPr>
                <w:b/>
                <w:bCs/>
                <w:color w:val="1F4E79"/>
              </w:rPr>
              <w:t xml:space="preserve">The rule this phase is built on</w:t>
            </w:r>
          </w:p>
          <w:p>
            <w:pPr>
              <w:spacing w:after="70" w:line="300"/>
            </w:pPr>
            <w:r>
              <w:t xml:space="preserve">Data defects in this pipeline do not announce themselves. Every one found in Phase 0 and Phase 1 produced output that looked completely normal — correctly formatted dates, positive prices, sensible-looking returns.</w:t>
            </w:r>
          </w:p>
          <w:p>
            <w:pPr>
              <w:spacing w:after="70" w:line="300"/>
            </w:pPr>
            <w:r>
              <w:t xml:space="preserve">Not one would have caused a crash, an exception, or a warning. They would simply have produced a slightly different, quietly wrong answer.</w:t>
            </w:r>
          </w:p>
          <w:p>
            <w:pPr>
              <w:spacing w:after="0" w:line="300"/>
            </w:pPr>
            <w:r>
              <w:t xml:space="preserve">That is why this phase ends in an automated gate rather than a document.</w:t>
            </w:r>
          </w:p>
        </w:tc>
      </w:tr>
    </w:tbl>
    <w:p>
      <w:pPr>
        <w:pStyle w:val="Heading2"/>
        <w:spacing w:after="120" w:before="300"/>
      </w:pPr>
      <w:r>
        <w:t xml:space="preserve">1.1 What Phase 1 delivers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F4E79" w:val="clear"/>
            <w:tcMar>
              <w:top w:type="dxa" w:w="90"/>
              <w:left w:type="dxa" w:w="130"/>
              <w:bottom w:type="dxa" w:w="90"/>
              <w:right w:type="dxa" w:w="130"/>
            </w:tcMar>
          </w:tcPr>
          <w:p>
            <w:r>
              <w:rPr>
                <w:b/>
                <w:bCs/>
                <w:color w:val="FFFFFF"/>
                <w:sz w:val="19"/>
                <w:szCs w:val="19"/>
              </w:rPr>
              <w:t xml:space="preserve">Deliverable</w:t>
            </w:r>
          </w:p>
        </w:tc>
        <w:tc>
          <w:tcPr>
            <w:tcW w:type="dxa" w:w="6100"/>
            <w:shd w:fill="1F4E79" w:val="clear"/>
            <w:tcMar>
              <w:top w:type="dxa" w:w="90"/>
              <w:left w:type="dxa" w:w="130"/>
              <w:bottom w:type="dxa" w:w="90"/>
              <w:right w:type="dxa" w:w="130"/>
            </w:tcMar>
          </w:tcPr>
          <w:p>
            <w:r>
              <w:rPr>
                <w:b/>
                <w:bCs/>
                <w:color w:val="FFFFFF"/>
                <w:sz w:val="19"/>
                <w:szCs w:val="19"/>
              </w:rPr>
              <w:t xml:space="preserve">Description</w:t>
            </w:r>
          </w:p>
        </w:tc>
      </w:tr>
      <w:tr>
        <w:tc>
          <w:tcPr>
            <w:tcW w:type="dxa" w:w="2900"/>
            <w:shd w:fill="F5F8FB" w:val="clear"/>
            <w:tcMar>
              <w:top w:type="dxa" w:w="80"/>
              <w:left w:type="dxa" w:w="130"/>
              <w:bottom w:type="dxa" w:w="80"/>
              <w:right w:type="dxa" w:w="130"/>
            </w:tcMar>
          </w:tcPr>
          <w:p>
            <w:r>
              <w:rPr>
                <w:sz w:val="19"/>
                <w:szCs w:val="19"/>
              </w:rPr>
              <w:t xml:space="preserve">Cleaned per-symbol frames</w:t>
            </w:r>
          </w:p>
        </w:tc>
        <w:tc>
          <w:tcPr>
            <w:tcW w:type="dxa" w:w="6100"/>
            <w:shd w:fill="F5F8FB" w:val="clear"/>
            <w:tcMar>
              <w:top w:type="dxa" w:w="80"/>
              <w:left w:type="dxa" w:w="130"/>
              <w:bottom w:type="dxa" w:w="80"/>
              <w:right w:type="dxa" w:w="130"/>
            </w:tcMar>
          </w:tcPr>
          <w:p>
            <w:r>
              <w:rPr>
                <w:sz w:val="19"/>
                <w:szCs w:val="19"/>
              </w:rPr>
              <w:t xml:space="preserve">One frame per stock with OHLCV plus quality flags, written to data/interim/</w:t>
            </w:r>
          </w:p>
        </w:tc>
      </w:tr>
      <w:tr>
        <w:tc>
          <w:tcPr>
            <w:tcW w:type="dxa" w:w="2900"/>
            <w:shd w:fill="FFFFFF" w:val="clear"/>
            <w:tcMar>
              <w:top w:type="dxa" w:w="80"/>
              <w:left w:type="dxa" w:w="130"/>
              <w:bottom w:type="dxa" w:w="80"/>
              <w:right w:type="dxa" w:w="130"/>
            </w:tcMar>
          </w:tcPr>
          <w:p>
            <w:r>
              <w:rPr>
                <w:sz w:val="19"/>
                <w:szCs w:val="19"/>
              </w:rPr>
              <w:t xml:space="preserve">Aligned close panel</w:t>
            </w:r>
          </w:p>
        </w:tc>
        <w:tc>
          <w:tcPr>
            <w:tcW w:type="dxa" w:w="6100"/>
            <w:shd w:fill="FFFFFF" w:val="clear"/>
            <w:tcMar>
              <w:top w:type="dxa" w:w="80"/>
              <w:left w:type="dxa" w:w="130"/>
              <w:bottom w:type="dxa" w:w="80"/>
              <w:right w:type="dxa" w:w="130"/>
            </w:tcMar>
          </w:tcPr>
          <w:p>
            <w:r>
              <w:rPr>
                <w:sz w:val="19"/>
                <w:szCs w:val="19"/>
              </w:rPr>
              <w:t xml:space="preserve">Wide table, 5,820 dates × 96 symbols, written to data/processed/</w:t>
            </w:r>
          </w:p>
        </w:tc>
      </w:tr>
      <w:tr>
        <w:tc>
          <w:tcPr>
            <w:tcW w:type="dxa" w:w="2900"/>
            <w:shd w:fill="F5F8FB" w:val="clear"/>
            <w:tcMar>
              <w:top w:type="dxa" w:w="80"/>
              <w:left w:type="dxa" w:w="130"/>
              <w:bottom w:type="dxa" w:w="80"/>
              <w:right w:type="dxa" w:w="130"/>
            </w:tcMar>
          </w:tcPr>
          <w:p>
            <w:r>
              <w:rPr>
                <w:sz w:val="19"/>
                <w:szCs w:val="19"/>
              </w:rPr>
              <w:t xml:space="preserve">Listing mask</w:t>
            </w:r>
          </w:p>
        </w:tc>
        <w:tc>
          <w:tcPr>
            <w:tcW w:type="dxa" w:w="6100"/>
            <w:shd w:fill="F5F8FB" w:val="clear"/>
            <w:tcMar>
              <w:top w:type="dxa" w:w="80"/>
              <w:left w:type="dxa" w:w="130"/>
              <w:bottom w:type="dxa" w:w="80"/>
              <w:right w:type="dxa" w:w="130"/>
            </w:tcMar>
          </w:tcPr>
          <w:p>
            <w:r>
              <w:rPr>
                <w:sz w:val="19"/>
                <w:szCs w:val="19"/>
              </w:rPr>
              <w:t xml:space="preserve">Boolean panel marking when each symbol actually existed</w:t>
            </w:r>
          </w:p>
        </w:tc>
      </w:tr>
      <w:tr>
        <w:tc>
          <w:tcPr>
            <w:tcW w:type="dxa" w:w="2900"/>
            <w:shd w:fill="FFFFFF" w:val="clear"/>
            <w:tcMar>
              <w:top w:type="dxa" w:w="80"/>
              <w:left w:type="dxa" w:w="130"/>
              <w:bottom w:type="dxa" w:w="80"/>
              <w:right w:type="dxa" w:w="130"/>
            </w:tcMar>
          </w:tcPr>
          <w:p>
            <w:r>
              <w:rPr>
                <w:sz w:val="19"/>
                <w:szCs w:val="19"/>
              </w:rPr>
              <w:t xml:space="preserve">Audit trail</w:t>
            </w:r>
          </w:p>
        </w:tc>
        <w:tc>
          <w:tcPr>
            <w:tcW w:type="dxa" w:w="6100"/>
            <w:shd w:fill="FFFFFF" w:val="clear"/>
            <w:tcMar>
              <w:top w:type="dxa" w:w="80"/>
              <w:left w:type="dxa" w:w="130"/>
              <w:bottom w:type="dxa" w:w="80"/>
              <w:right w:type="dxa" w:w="130"/>
            </w:tcMar>
          </w:tcPr>
          <w:p>
            <w:r>
              <w:rPr>
                <w:sz w:val="19"/>
                <w:szCs w:val="19"/>
              </w:rPr>
              <w:t xml:space="preserve">Per-symbol CSV recording every repair made, in reports/</w:t>
            </w:r>
          </w:p>
        </w:tc>
      </w:tr>
      <w:tr>
        <w:tc>
          <w:tcPr>
            <w:tcW w:type="dxa" w:w="2900"/>
            <w:shd w:fill="F5F8FB" w:val="clear"/>
            <w:tcMar>
              <w:top w:type="dxa" w:w="80"/>
              <w:left w:type="dxa" w:w="130"/>
              <w:bottom w:type="dxa" w:w="80"/>
              <w:right w:type="dxa" w:w="130"/>
            </w:tcMar>
          </w:tcPr>
          <w:p>
            <w:r>
              <w:rPr>
                <w:sz w:val="19"/>
                <w:szCs w:val="19"/>
              </w:rPr>
              <w:t xml:space="preserve">Quality gate</w:t>
            </w:r>
          </w:p>
        </w:tc>
        <w:tc>
          <w:tcPr>
            <w:tcW w:type="dxa" w:w="6100"/>
            <w:shd w:fill="F5F8FB" w:val="clear"/>
            <w:tcMar>
              <w:top w:type="dxa" w:w="80"/>
              <w:left w:type="dxa" w:w="130"/>
              <w:bottom w:type="dxa" w:w="80"/>
              <w:right w:type="dxa" w:w="130"/>
            </w:tcMar>
          </w:tcPr>
          <w:p>
            <w:r>
              <w:rPr>
                <w:sz w:val="19"/>
                <w:szCs w:val="19"/>
              </w:rPr>
              <w:t xml:space="preserve">10 blocking checks plus 3 advisory warnings</w:t>
            </w:r>
          </w:p>
        </w:tc>
      </w:tr>
      <w:tr>
        <w:tc>
          <w:tcPr>
            <w:tcW w:type="dxa" w:w="2900"/>
            <w:shd w:fill="FFFFFF" w:val="clear"/>
            <w:tcMar>
              <w:top w:type="dxa" w:w="80"/>
              <w:left w:type="dxa" w:w="130"/>
              <w:bottom w:type="dxa" w:w="80"/>
              <w:right w:type="dxa" w:w="130"/>
            </w:tcMar>
          </w:tcPr>
          <w:p>
            <w:r>
              <w:rPr>
                <w:sz w:val="19"/>
                <w:szCs w:val="19"/>
              </w:rPr>
              <w:t xml:space="preserve">Test suite</w:t>
            </w:r>
          </w:p>
        </w:tc>
        <w:tc>
          <w:tcPr>
            <w:tcW w:type="dxa" w:w="6100"/>
            <w:shd w:fill="FFFFFF" w:val="clear"/>
            <w:tcMar>
              <w:top w:type="dxa" w:w="80"/>
              <w:left w:type="dxa" w:w="130"/>
              <w:bottom w:type="dxa" w:w="80"/>
              <w:right w:type="dxa" w:w="130"/>
            </w:tcMar>
          </w:tcPr>
          <w:p>
            <w:r>
              <w:rPr>
                <w:sz w:val="19"/>
                <w:szCs w:val="19"/>
              </w:rPr>
              <w:t xml:space="preserve">53 tests, including causality and regression guards</w:t>
            </w:r>
          </w:p>
        </w:tc>
      </w:tr>
    </w:tbl>
    <w:p>
      <w:r>
        <w:br w:type="page"/>
      </w:r>
    </w:p>
    <w:p>
      <w:pPr>
        <w:pStyle w:val="Heading1"/>
        <w:spacing w:after="160" w:before="360"/>
      </w:pPr>
      <w:r>
        <w:t xml:space="preserve">2. The data contract</w:t>
      </w:r>
    </w:p>
    <w:p>
      <w:pPr>
        <w:pStyle w:val="Heading2"/>
        <w:spacing w:after="120" w:before="300"/>
      </w:pPr>
      <w:r>
        <w:t xml:space="preserve">2.1 Input</w:t>
      </w:r>
    </w:p>
    <w:p>
      <w:pPr>
        <w:spacing w:after="130" w:line="300"/>
      </w:pPr>
      <w:r>
        <w:t xml:space="preserve">One CSV per symbol in data/raw/, named by ticker. The index file is required — it supplies the master trading calendar.</w:t>
      </w:r>
    </w:p>
    <w:p>
      <w:pPr>
        <w:shd w:fill="F2F2F2" w:val="clear"/>
        <w:spacing w:after="0" w:before="70"/>
        <w:ind w:left="240"/>
      </w:pPr>
      <w:r>
        <w:rPr>
          <w:rFonts w:ascii="Consolas" w:cs="Consolas" w:eastAsia="Consolas" w:hAnsi="Consolas"/>
          <w:sz w:val="18"/>
          <w:szCs w:val="18"/>
        </w:rPr>
        <w:t xml:space="preserve">data/raw/</w:t>
      </w:r>
    </w:p>
    <w:p>
      <w:pPr>
        <w:shd w:fill="F2F2F2" w:val="clear"/>
        <w:spacing w:after="0" w:before="0"/>
        <w:ind w:left="240"/>
      </w:pPr>
      <w:r>
        <w:rPr>
          <w:rFonts w:ascii="Consolas" w:cs="Consolas" w:eastAsia="Consolas" w:hAnsi="Consolas"/>
          <w:sz w:val="18"/>
          <w:szCs w:val="18"/>
        </w:rPr>
        <w:t xml:space="preserve">├── RELIANCE.csv</w:t>
      </w:r>
    </w:p>
    <w:p>
      <w:pPr>
        <w:shd w:fill="F2F2F2" w:val="clear"/>
        <w:spacing w:after="0" w:before="0"/>
        <w:ind w:left="240"/>
      </w:pPr>
      <w:r>
        <w:rPr>
          <w:rFonts w:ascii="Consolas" w:cs="Consolas" w:eastAsia="Consolas" w:hAnsi="Consolas"/>
          <w:sz w:val="18"/>
          <w:szCs w:val="18"/>
        </w:rPr>
        <w:t xml:space="preserve">├── TCS.csv</w:t>
      </w:r>
    </w:p>
    <w:p>
      <w:pPr>
        <w:shd w:fill="F2F2F2" w:val="clear"/>
        <w:spacing w:after="0" w:before="0"/>
        <w:ind w:left="240"/>
      </w:pPr>
      <w:r>
        <w:rPr>
          <w:rFonts w:ascii="Consolas" w:cs="Consolas" w:eastAsia="Consolas" w:hAnsi="Consolas"/>
          <w:sz w:val="18"/>
          <w:szCs w:val="18"/>
        </w:rPr>
        <w:t xml:space="preserve">├── ...</w:t>
      </w:r>
    </w:p>
    <w:p>
      <w:pPr>
        <w:shd w:fill="F2F2F2" w:val="clear"/>
        <w:spacing w:after="170" w:before="0"/>
        <w:ind w:left="240"/>
      </w:pPr>
      <w:r>
        <w:rPr>
          <w:rFonts w:ascii="Consolas" w:cs="Consolas" w:eastAsia="Consolas" w:hAnsi="Consolas"/>
          <w:sz w:val="18"/>
          <w:szCs w:val="18"/>
        </w:rPr>
        <w:t xml:space="preserve">└── NIFTY100.csv        &lt;-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00"/>
      </w:tblGrid>
      <w:tr>
        <w:trPr>
          <w:tblHeader/>
        </w:trPr>
        <w:tc>
          <w:tcPr>
            <w:tcW w:type="dxa" w:w="2200"/>
            <w:shd w:fill="1F4E79" w:val="clear"/>
            <w:tcMar>
              <w:top w:type="dxa" w:w="90"/>
              <w:left w:type="dxa" w:w="130"/>
              <w:bottom w:type="dxa" w:w="90"/>
              <w:right w:type="dxa" w:w="130"/>
            </w:tcMar>
          </w:tcPr>
          <w:p>
            <w:r>
              <w:rPr>
                <w:b/>
                <w:bCs/>
                <w:color w:val="FFFFFF"/>
                <w:sz w:val="19"/>
                <w:szCs w:val="19"/>
              </w:rPr>
              <w:t xml:space="preserve">Column</w:t>
            </w:r>
          </w:p>
        </w:tc>
        <w:tc>
          <w:tcPr>
            <w:tcW w:type="dxa" w:w="1200"/>
            <w:shd w:fill="1F4E79" w:val="clear"/>
            <w:tcMar>
              <w:top w:type="dxa" w:w="90"/>
              <w:left w:type="dxa" w:w="130"/>
              <w:bottom w:type="dxa" w:w="90"/>
              <w:right w:type="dxa" w:w="130"/>
            </w:tcMar>
          </w:tcPr>
          <w:p>
            <w:r>
              <w:rPr>
                <w:b/>
                <w:bCs/>
                <w:color w:val="FFFFFF"/>
                <w:sz w:val="19"/>
                <w:szCs w:val="19"/>
              </w:rPr>
              <w:t xml:space="preserve">Required</w:t>
            </w:r>
          </w:p>
        </w:tc>
        <w:tc>
          <w:tcPr>
            <w:tcW w:type="dxa" w:w="5600"/>
            <w:shd w:fill="1F4E79" w:val="clear"/>
            <w:tcMar>
              <w:top w:type="dxa" w:w="90"/>
              <w:left w:type="dxa" w:w="130"/>
              <w:bottom w:type="dxa" w:w="90"/>
              <w:right w:type="dxa" w:w="130"/>
            </w:tcMar>
          </w:tcPr>
          <w:p>
            <w:r>
              <w:rPr>
                <w:b/>
                <w:bCs/>
                <w:color w:val="FFFFFF"/>
                <w:sz w:val="19"/>
                <w:szCs w:val="19"/>
              </w:rPr>
              <w:t xml:space="preserve">Notes</w:t>
            </w:r>
          </w:p>
        </w:tc>
      </w:tr>
      <w:tr>
        <w:tc>
          <w:tcPr>
            <w:tcW w:type="dxa" w:w="2200"/>
            <w:shd w:fill="F5F8FB" w:val="clear"/>
            <w:tcMar>
              <w:top w:type="dxa" w:w="80"/>
              <w:left w:type="dxa" w:w="130"/>
              <w:bottom w:type="dxa" w:w="80"/>
              <w:right w:type="dxa" w:w="130"/>
            </w:tcMar>
          </w:tcPr>
          <w:p>
            <w:r>
              <w:rPr>
                <w:sz w:val="19"/>
                <w:szCs w:val="19"/>
              </w:rPr>
              <w:t xml:space="preserve">date</w:t>
            </w:r>
          </w:p>
        </w:tc>
        <w:tc>
          <w:tcPr>
            <w:tcW w:type="dxa" w:w="1200"/>
            <w:shd w:fill="F5F8FB" w:val="clear"/>
            <w:tcMar>
              <w:top w:type="dxa" w:w="80"/>
              <w:left w:type="dxa" w:w="130"/>
              <w:bottom w:type="dxa" w:w="80"/>
              <w:right w:type="dxa" w:w="130"/>
            </w:tcMar>
          </w:tcPr>
          <w:p>
            <w:r>
              <w:rPr>
                <w:sz w:val="19"/>
                <w:szCs w:val="19"/>
              </w:rPr>
              <w:t xml:space="preserve">yes</w:t>
            </w:r>
          </w:p>
        </w:tc>
        <w:tc>
          <w:tcPr>
            <w:tcW w:type="dxa" w:w="5600"/>
            <w:shd w:fill="F5F8FB" w:val="clear"/>
            <w:tcMar>
              <w:top w:type="dxa" w:w="80"/>
              <w:left w:type="dxa" w:w="130"/>
              <w:bottom w:type="dxa" w:w="80"/>
              <w:right w:type="dxa" w:w="130"/>
            </w:tcMar>
          </w:tcPr>
          <w:p>
            <w:r>
              <w:rPr>
                <w:sz w:val="19"/>
                <w:szCs w:val="19"/>
              </w:rPr>
              <w:t xml:space="preserve">DD-MM-YYYY. Parsed with an explicit format, never inferred</w:t>
            </w:r>
          </w:p>
        </w:tc>
      </w:tr>
      <w:tr>
        <w:tc>
          <w:tcPr>
            <w:tcW w:type="dxa" w:w="2200"/>
            <w:shd w:fill="FFFFFF" w:val="clear"/>
            <w:tcMar>
              <w:top w:type="dxa" w:w="80"/>
              <w:left w:type="dxa" w:w="130"/>
              <w:bottom w:type="dxa" w:w="80"/>
              <w:right w:type="dxa" w:w="130"/>
            </w:tcMar>
          </w:tcPr>
          <w:p>
            <w:r>
              <w:rPr>
                <w:sz w:val="19"/>
                <w:szCs w:val="19"/>
              </w:rPr>
              <w:t xml:space="preserve">open, high, low, close</w:t>
            </w:r>
          </w:p>
        </w:tc>
        <w:tc>
          <w:tcPr>
            <w:tcW w:type="dxa" w:w="1200"/>
            <w:shd w:fill="FFFFFF" w:val="clear"/>
            <w:tcMar>
              <w:top w:type="dxa" w:w="80"/>
              <w:left w:type="dxa" w:w="130"/>
              <w:bottom w:type="dxa" w:w="80"/>
              <w:right w:type="dxa" w:w="130"/>
            </w:tcMar>
          </w:tcPr>
          <w:p>
            <w:r>
              <w:rPr>
                <w:sz w:val="19"/>
                <w:szCs w:val="19"/>
              </w:rPr>
              <w:t xml:space="preserve">yes</w:t>
            </w:r>
          </w:p>
        </w:tc>
        <w:tc>
          <w:tcPr>
            <w:tcW w:type="dxa" w:w="5600"/>
            <w:shd w:fill="FFFFFF" w:val="clear"/>
            <w:tcMar>
              <w:top w:type="dxa" w:w="80"/>
              <w:left w:type="dxa" w:w="130"/>
              <w:bottom w:type="dxa" w:w="80"/>
              <w:right w:type="dxa" w:w="130"/>
            </w:tcMar>
          </w:tcPr>
          <w:p>
            <w:r>
              <w:rPr>
                <w:sz w:val="19"/>
                <w:szCs w:val="19"/>
              </w:rPr>
              <w:t xml:space="preserve">close is used; adj_close is discarded — see defect 1</w:t>
            </w:r>
          </w:p>
        </w:tc>
      </w:tr>
      <w:tr>
        <w:tc>
          <w:tcPr>
            <w:tcW w:type="dxa" w:w="2200"/>
            <w:shd w:fill="F5F8FB" w:val="clear"/>
            <w:tcMar>
              <w:top w:type="dxa" w:w="80"/>
              <w:left w:type="dxa" w:w="130"/>
              <w:bottom w:type="dxa" w:w="80"/>
              <w:right w:type="dxa" w:w="130"/>
            </w:tcMar>
          </w:tcPr>
          <w:p>
            <w:r>
              <w:rPr>
                <w:sz w:val="19"/>
                <w:szCs w:val="19"/>
              </w:rPr>
              <w:t xml:space="preserve">volume</w:t>
            </w:r>
          </w:p>
        </w:tc>
        <w:tc>
          <w:tcPr>
            <w:tcW w:type="dxa" w:w="1200"/>
            <w:shd w:fill="F5F8FB" w:val="clear"/>
            <w:tcMar>
              <w:top w:type="dxa" w:w="80"/>
              <w:left w:type="dxa" w:w="130"/>
              <w:bottom w:type="dxa" w:w="80"/>
              <w:right w:type="dxa" w:w="130"/>
            </w:tcMar>
          </w:tcPr>
          <w:p>
            <w:r>
              <w:rPr>
                <w:sz w:val="19"/>
                <w:szCs w:val="19"/>
              </w:rPr>
              <w:t xml:space="preserve">yes</w:t>
            </w:r>
          </w:p>
        </w:tc>
        <w:tc>
          <w:tcPr>
            <w:tcW w:type="dxa" w:w="5600"/>
            <w:shd w:fill="F5F8FB" w:val="clear"/>
            <w:tcMar>
              <w:top w:type="dxa" w:w="80"/>
              <w:left w:type="dxa" w:w="130"/>
              <w:bottom w:type="dxa" w:w="80"/>
              <w:right w:type="dxa" w:w="130"/>
            </w:tcMar>
          </w:tcPr>
          <w:p>
            <w:r>
              <w:rPr>
                <w:sz w:val="19"/>
                <w:szCs w:val="19"/>
              </w:rPr>
              <w:t xml:space="preserve">Zero throughout for the index, which is expected</w:t>
            </w:r>
          </w:p>
        </w:tc>
      </w:tr>
      <w:tr>
        <w:tc>
          <w:tcPr>
            <w:tcW w:type="dxa" w:w="2200"/>
            <w:shd w:fill="FFFFFF" w:val="clear"/>
            <w:tcMar>
              <w:top w:type="dxa" w:w="80"/>
              <w:left w:type="dxa" w:w="130"/>
              <w:bottom w:type="dxa" w:w="80"/>
              <w:right w:type="dxa" w:w="130"/>
            </w:tcMar>
          </w:tcPr>
          <w:p>
            <w:r>
              <w:rPr>
                <w:sz w:val="19"/>
                <w:szCs w:val="19"/>
              </w:rPr>
              <w:t xml:space="preserve">_source</w:t>
            </w:r>
          </w:p>
        </w:tc>
        <w:tc>
          <w:tcPr>
            <w:tcW w:type="dxa" w:w="1200"/>
            <w:shd w:fill="FFFFFF" w:val="clear"/>
            <w:tcMar>
              <w:top w:type="dxa" w:w="80"/>
              <w:left w:type="dxa" w:w="130"/>
              <w:bottom w:type="dxa" w:w="80"/>
              <w:right w:type="dxa" w:w="130"/>
            </w:tcMar>
          </w:tcPr>
          <w:p>
            <w:r>
              <w:rPr>
                <w:sz w:val="19"/>
                <w:szCs w:val="19"/>
              </w:rPr>
              <w:t xml:space="preserve">no</w:t>
            </w:r>
          </w:p>
        </w:tc>
        <w:tc>
          <w:tcPr>
            <w:tcW w:type="dxa" w:w="5600"/>
            <w:shd w:fill="FFFFFF" w:val="clear"/>
            <w:tcMar>
              <w:top w:type="dxa" w:w="80"/>
              <w:left w:type="dxa" w:w="130"/>
              <w:bottom w:type="dxa" w:w="80"/>
              <w:right w:type="dxa" w:w="130"/>
            </w:tcMar>
          </w:tcPr>
          <w:p>
            <w:r>
              <w:rPr>
                <w:sz w:val="19"/>
                <w:szCs w:val="19"/>
              </w:rPr>
              <w:t xml:space="preserve">Vendor that supplied the bar (kite / upstox). Preserved</w:t>
            </w:r>
          </w:p>
        </w:tc>
      </w:tr>
      <w:tr>
        <w:tc>
          <w:tcPr>
            <w:tcW w:type="dxa" w:w="2200"/>
            <w:shd w:fill="F5F8FB" w:val="clear"/>
            <w:tcMar>
              <w:top w:type="dxa" w:w="80"/>
              <w:left w:type="dxa" w:w="130"/>
              <w:bottom w:type="dxa" w:w="80"/>
              <w:right w:type="dxa" w:w="130"/>
            </w:tcMar>
          </w:tcPr>
          <w:p>
            <w:r>
              <w:rPr>
                <w:sz w:val="19"/>
                <w:szCs w:val="19"/>
              </w:rPr>
              <w:t xml:space="preserve">_dq_score</w:t>
            </w:r>
          </w:p>
        </w:tc>
        <w:tc>
          <w:tcPr>
            <w:tcW w:type="dxa" w:w="1200"/>
            <w:shd w:fill="F5F8FB" w:val="clear"/>
            <w:tcMar>
              <w:top w:type="dxa" w:w="80"/>
              <w:left w:type="dxa" w:w="130"/>
              <w:bottom w:type="dxa" w:w="80"/>
              <w:right w:type="dxa" w:w="130"/>
            </w:tcMar>
          </w:tcPr>
          <w:p>
            <w:r>
              <w:rPr>
                <w:sz w:val="19"/>
                <w:szCs w:val="19"/>
              </w:rPr>
              <w:t xml:space="preserve">no</w:t>
            </w:r>
          </w:p>
        </w:tc>
        <w:tc>
          <w:tcPr>
            <w:tcW w:type="dxa" w:w="5600"/>
            <w:shd w:fill="F5F8FB" w:val="clear"/>
            <w:tcMar>
              <w:top w:type="dxa" w:w="80"/>
              <w:left w:type="dxa" w:w="130"/>
              <w:bottom w:type="dxa" w:w="80"/>
              <w:right w:type="dxa" w:w="130"/>
            </w:tcMar>
          </w:tcPr>
          <w:p>
            <w:r>
              <w:rPr>
                <w:sz w:val="19"/>
                <w:szCs w:val="19"/>
              </w:rPr>
              <w:t xml:space="preserve">Vendor quality score. Preserved</w:t>
            </w:r>
          </w:p>
        </w:tc>
      </w:tr>
      <w:tr>
        <w:tc>
          <w:tcPr>
            <w:tcW w:type="dxa" w:w="2200"/>
            <w:shd w:fill="FFFFFF" w:val="clear"/>
            <w:tcMar>
              <w:top w:type="dxa" w:w="80"/>
              <w:left w:type="dxa" w:w="130"/>
              <w:bottom w:type="dxa" w:w="80"/>
              <w:right w:type="dxa" w:w="130"/>
            </w:tcMar>
          </w:tcPr>
          <w:p>
            <w:r>
              <w:rPr>
                <w:sz w:val="19"/>
                <w:szCs w:val="19"/>
              </w:rPr>
              <w:t xml:space="preserve">_gap_filled</w:t>
            </w:r>
          </w:p>
        </w:tc>
        <w:tc>
          <w:tcPr>
            <w:tcW w:type="dxa" w:w="1200"/>
            <w:shd w:fill="FFFFFF" w:val="clear"/>
            <w:tcMar>
              <w:top w:type="dxa" w:w="80"/>
              <w:left w:type="dxa" w:w="130"/>
              <w:bottom w:type="dxa" w:w="80"/>
              <w:right w:type="dxa" w:w="130"/>
            </w:tcMar>
          </w:tcPr>
          <w:p>
            <w:r>
              <w:rPr>
                <w:sz w:val="19"/>
                <w:szCs w:val="19"/>
              </w:rPr>
              <w:t xml:space="preserve">no</w:t>
            </w:r>
          </w:p>
        </w:tc>
        <w:tc>
          <w:tcPr>
            <w:tcW w:type="dxa" w:w="5600"/>
            <w:shd w:fill="FFFFFF" w:val="clear"/>
            <w:tcMar>
              <w:top w:type="dxa" w:w="80"/>
              <w:left w:type="dxa" w:w="130"/>
              <w:bottom w:type="dxa" w:w="80"/>
              <w:right w:type="dxa" w:w="130"/>
            </w:tcMar>
          </w:tcPr>
          <w:p>
            <w:r>
              <w:rPr>
                <w:sz w:val="19"/>
                <w:szCs w:val="19"/>
              </w:rPr>
              <w:t xml:space="preserve">Vendor interpolation flag. Preserved</w:t>
            </w:r>
          </w:p>
        </w:tc>
      </w:tr>
    </w:tbl>
    <w:p>
      <w:pPr>
        <w:spacing w:after="130" w:line="300"/>
      </w:pPr>
      <w:r>
        <w:t xml:space="preserve">Why the date format is pinned rather than inferred: parsing </w:t>
      </w:r>
      <w:r>
        <w:rPr>
          <w:rFonts w:ascii="Consolas" w:cs="Consolas" w:eastAsia="Consolas" w:hAnsi="Consolas"/>
          <w:sz w:val="19"/>
          <w:szCs w:val="19"/>
          <w:shd w:fill="F2F2F2" w:val="clear"/>
        </w:rPr>
        <w:t xml:space="preserve">DD-MM-YYYY</w:t>
      </w:r>
      <w:r>
        <w:t xml:space="preserve"> as month-first succeeds silently for the first twelve days of every month and corrupts the rest. It produces no error — just a series with a scrambled calendar.</w:t>
      </w:r>
    </w:p>
    <w:p>
      <w:pPr>
        <w:spacing w:after="130" w:line="300"/>
      </w:pPr>
      <w:r>
        <w:t xml:space="preserve">The underscore-prefixed metadata is retained deliberately. The natural instinct is to strip metadata columns during cleaning, but _source records which vendor supplied each bar. Two vendors observing one market is, in cyber-physical terms, two independent sensors observing one plant — and vendor disagreement is a sensor-fault signature. That option is only available if the column survives cleaning. Dropping it is irreversible.</w:t>
      </w:r>
    </w:p>
    <w:p>
      <w:pPr>
        <w:pStyle w:val="Heading2"/>
        <w:spacing w:after="120" w:before="300"/>
      </w:pPr>
      <w:r>
        <w:t xml:space="preserve">2.2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100"/>
      </w:tblGrid>
      <w:tr>
        <w:trPr>
          <w:tblHeader/>
        </w:trPr>
        <w:tc>
          <w:tcPr>
            <w:tcW w:type="dxa" w:w="3400"/>
            <w:shd w:fill="1F4E79" w:val="clear"/>
            <w:tcMar>
              <w:top w:type="dxa" w:w="90"/>
              <w:left w:type="dxa" w:w="130"/>
              <w:bottom w:type="dxa" w:w="90"/>
              <w:right w:type="dxa" w:w="130"/>
            </w:tcMar>
          </w:tcPr>
          <w:p>
            <w:r>
              <w:rPr>
                <w:b/>
                <w:bCs/>
                <w:color w:val="FFFFFF"/>
                <w:sz w:val="19"/>
                <w:szCs w:val="19"/>
              </w:rPr>
              <w:t xml:space="preserve">Artefact</w:t>
            </w:r>
          </w:p>
        </w:tc>
        <w:tc>
          <w:tcPr>
            <w:tcW w:type="dxa" w:w="1500"/>
            <w:shd w:fill="1F4E79" w:val="clear"/>
            <w:tcMar>
              <w:top w:type="dxa" w:w="90"/>
              <w:left w:type="dxa" w:w="130"/>
              <w:bottom w:type="dxa" w:w="90"/>
              <w:right w:type="dxa" w:w="130"/>
            </w:tcMar>
          </w:tcPr>
          <w:p>
            <w:r>
              <w:rPr>
                <w:b/>
                <w:bCs/>
                <w:color w:val="FFFFFF"/>
                <w:sz w:val="19"/>
                <w:szCs w:val="19"/>
              </w:rPr>
              <w:t xml:space="preserve">Shape</w:t>
            </w:r>
          </w:p>
        </w:tc>
        <w:tc>
          <w:tcPr>
            <w:tcW w:type="dxa" w:w="4100"/>
            <w:shd w:fill="1F4E79" w:val="clear"/>
            <w:tcMar>
              <w:top w:type="dxa" w:w="90"/>
              <w:left w:type="dxa" w:w="130"/>
              <w:bottom w:type="dxa" w:w="90"/>
              <w:right w:type="dxa" w:w="130"/>
            </w:tcMar>
          </w:tcPr>
          <w:p>
            <w:r>
              <w:rPr>
                <w:b/>
                <w:bCs/>
                <w:color w:val="FFFFFF"/>
                <w:sz w:val="19"/>
                <w:szCs w:val="19"/>
              </w:rPr>
              <w:t xml:space="preserve">Contents</w:t>
            </w:r>
          </w:p>
        </w:tc>
      </w:tr>
      <w:tr>
        <w:tc>
          <w:tcPr>
            <w:tcW w:type="dxa" w:w="3400"/>
            <w:shd w:fill="F5F8FB" w:val="clear"/>
            <w:tcMar>
              <w:top w:type="dxa" w:w="80"/>
              <w:left w:type="dxa" w:w="130"/>
              <w:bottom w:type="dxa" w:w="80"/>
              <w:right w:type="dxa" w:w="130"/>
            </w:tcMar>
          </w:tcPr>
          <w:p>
            <w:r>
              <w:rPr>
                <w:sz w:val="19"/>
                <w:szCs w:val="19"/>
              </w:rPr>
              <w:t xml:space="preserve">data/interim/&lt;SYM&gt;.parquet</w:t>
            </w:r>
          </w:p>
        </w:tc>
        <w:tc>
          <w:tcPr>
            <w:tcW w:type="dxa" w:w="1500"/>
            <w:shd w:fill="F5F8FB" w:val="clear"/>
            <w:tcMar>
              <w:top w:type="dxa" w:w="80"/>
              <w:left w:type="dxa" w:w="130"/>
              <w:bottom w:type="dxa" w:w="80"/>
              <w:right w:type="dxa" w:w="130"/>
            </w:tcMar>
          </w:tcPr>
          <w:p>
            <w:r>
              <w:rPr>
                <w:sz w:val="19"/>
                <w:szCs w:val="19"/>
              </w:rPr>
              <w:t xml:space="preserve">per symbol</w:t>
            </w:r>
          </w:p>
        </w:tc>
        <w:tc>
          <w:tcPr>
            <w:tcW w:type="dxa" w:w="4100"/>
            <w:shd w:fill="F5F8FB" w:val="clear"/>
            <w:tcMar>
              <w:top w:type="dxa" w:w="80"/>
              <w:left w:type="dxa" w:w="130"/>
              <w:bottom w:type="dxa" w:w="80"/>
              <w:right w:type="dxa" w:w="130"/>
            </w:tcMar>
          </w:tcPr>
          <w:p>
            <w:r>
              <w:rPr>
                <w:sz w:val="19"/>
                <w:szCs w:val="19"/>
              </w:rPr>
              <w:t xml:space="preserve">OHLCV plus is_flat, is_zero_vol, gap_filled</w:t>
            </w:r>
          </w:p>
        </w:tc>
      </w:tr>
      <w:tr>
        <w:tc>
          <w:tcPr>
            <w:tcW w:type="dxa" w:w="3400"/>
            <w:shd w:fill="FFFFFF" w:val="clear"/>
            <w:tcMar>
              <w:top w:type="dxa" w:w="80"/>
              <w:left w:type="dxa" w:w="130"/>
              <w:bottom w:type="dxa" w:w="80"/>
              <w:right w:type="dxa" w:w="130"/>
            </w:tcMar>
          </w:tcPr>
          <w:p>
            <w:r>
              <w:rPr>
                <w:sz w:val="19"/>
                <w:szCs w:val="19"/>
              </w:rPr>
              <w:t xml:space="preserve">data/processed/close_panel.parquet</w:t>
            </w:r>
          </w:p>
        </w:tc>
        <w:tc>
          <w:tcPr>
            <w:tcW w:type="dxa" w:w="1500"/>
            <w:shd w:fill="FFFFFF" w:val="clear"/>
            <w:tcMar>
              <w:top w:type="dxa" w:w="80"/>
              <w:left w:type="dxa" w:w="130"/>
              <w:bottom w:type="dxa" w:w="80"/>
              <w:right w:type="dxa" w:w="130"/>
            </w:tcMar>
          </w:tcPr>
          <w:p>
            <w:r>
              <w:rPr>
                <w:sz w:val="19"/>
                <w:szCs w:val="19"/>
              </w:rPr>
              <w:t xml:space="preserve">5820 × 96</w:t>
            </w:r>
          </w:p>
        </w:tc>
        <w:tc>
          <w:tcPr>
            <w:tcW w:type="dxa" w:w="4100"/>
            <w:shd w:fill="FFFFFF" w:val="clear"/>
            <w:tcMar>
              <w:top w:type="dxa" w:w="80"/>
              <w:left w:type="dxa" w:w="130"/>
              <w:bottom w:type="dxa" w:w="80"/>
              <w:right w:type="dxa" w:w="130"/>
            </w:tcMar>
          </w:tcPr>
          <w:p>
            <w:r>
              <w:rPr>
                <w:sz w:val="19"/>
                <w:szCs w:val="19"/>
              </w:rPr>
              <w:t xml:space="preserve">Aligned closes; gaps left as missing</w:t>
            </w:r>
          </w:p>
        </w:tc>
      </w:tr>
      <w:tr>
        <w:tc>
          <w:tcPr>
            <w:tcW w:type="dxa" w:w="3400"/>
            <w:shd w:fill="F5F8FB" w:val="clear"/>
            <w:tcMar>
              <w:top w:type="dxa" w:w="80"/>
              <w:left w:type="dxa" w:w="130"/>
              <w:bottom w:type="dxa" w:w="80"/>
              <w:right w:type="dxa" w:w="130"/>
            </w:tcMar>
          </w:tcPr>
          <w:p>
            <w:r>
              <w:rPr>
                <w:sz w:val="19"/>
                <w:szCs w:val="19"/>
              </w:rPr>
              <w:t xml:space="preserve">data/processed/listing_mask.parquet</w:t>
            </w:r>
          </w:p>
        </w:tc>
        <w:tc>
          <w:tcPr>
            <w:tcW w:type="dxa" w:w="1500"/>
            <w:shd w:fill="F5F8FB" w:val="clear"/>
            <w:tcMar>
              <w:top w:type="dxa" w:w="80"/>
              <w:left w:type="dxa" w:w="130"/>
              <w:bottom w:type="dxa" w:w="80"/>
              <w:right w:type="dxa" w:w="130"/>
            </w:tcMar>
          </w:tcPr>
          <w:p>
            <w:r>
              <w:rPr>
                <w:sz w:val="19"/>
                <w:szCs w:val="19"/>
              </w:rPr>
              <w:t xml:space="preserve">5820 × 96</w:t>
            </w:r>
          </w:p>
        </w:tc>
        <w:tc>
          <w:tcPr>
            <w:tcW w:type="dxa" w:w="4100"/>
            <w:shd w:fill="F5F8FB" w:val="clear"/>
            <w:tcMar>
              <w:top w:type="dxa" w:w="80"/>
              <w:left w:type="dxa" w:w="130"/>
              <w:bottom w:type="dxa" w:w="80"/>
              <w:right w:type="dxa" w:w="130"/>
            </w:tcMar>
          </w:tcPr>
          <w:p>
            <w:r>
              <w:rPr>
                <w:sz w:val="19"/>
                <w:szCs w:val="19"/>
              </w:rPr>
              <w:t xml:space="preserve">True where the symbol was listed and tradeable</w:t>
            </w:r>
          </w:p>
        </w:tc>
      </w:tr>
      <w:tr>
        <w:tc>
          <w:tcPr>
            <w:tcW w:type="dxa" w:w="3400"/>
            <w:shd w:fill="FFFFFF" w:val="clear"/>
            <w:tcMar>
              <w:top w:type="dxa" w:w="80"/>
              <w:left w:type="dxa" w:w="130"/>
              <w:bottom w:type="dxa" w:w="80"/>
              <w:right w:type="dxa" w:w="130"/>
            </w:tcMar>
          </w:tcPr>
          <w:p>
            <w:r>
              <w:rPr>
                <w:sz w:val="19"/>
                <w:szCs w:val="19"/>
              </w:rPr>
              <w:t xml:space="preserve">reports/phase1_data_audit.csv</w:t>
            </w:r>
          </w:p>
        </w:tc>
        <w:tc>
          <w:tcPr>
            <w:tcW w:type="dxa" w:w="1500"/>
            <w:shd w:fill="FFFFFF" w:val="clear"/>
            <w:tcMar>
              <w:top w:type="dxa" w:w="80"/>
              <w:left w:type="dxa" w:w="130"/>
              <w:bottom w:type="dxa" w:w="80"/>
              <w:right w:type="dxa" w:w="130"/>
            </w:tcMar>
          </w:tcPr>
          <w:p>
            <w:r>
              <w:rPr>
                <w:sz w:val="19"/>
                <w:szCs w:val="19"/>
              </w:rPr>
              <w:t xml:space="preserve">99 rows</w:t>
            </w:r>
          </w:p>
        </w:tc>
        <w:tc>
          <w:tcPr>
            <w:tcW w:type="dxa" w:w="4100"/>
            <w:shd w:fill="FFFFFF" w:val="clear"/>
            <w:tcMar>
              <w:top w:type="dxa" w:w="80"/>
              <w:left w:type="dxa" w:w="130"/>
              <w:bottom w:type="dxa" w:w="80"/>
              <w:right w:type="dxa" w:w="130"/>
            </w:tcMar>
          </w:tcPr>
          <w:p>
            <w:r>
              <w:rPr>
                <w:sz w:val="19"/>
                <w:szCs w:val="19"/>
              </w:rPr>
              <w:t xml:space="preserve">Every repair, per symbol</w:t>
            </w:r>
          </w:p>
        </w:tc>
      </w:tr>
    </w:tbl>
    <w:p>
      <w:r>
        <w:br w:type="page"/>
      </w:r>
    </w:p>
    <w:p>
      <w:pPr>
        <w:pStyle w:val="Heading1"/>
        <w:spacing w:after="160" w:before="360"/>
      </w:pPr>
      <w:r>
        <w:t xml:space="preserve">3. The six defects</w:t>
      </w:r>
    </w:p>
    <w:p>
      <w:pPr>
        <w:spacing w:after="130" w:line="300"/>
      </w:pPr>
      <w:r>
        <w:t xml:space="preserve">Five were found in the Phase 0 audit. The sixth was found during Phase 1 testing, by checking the cleaned output against reality rather than against the unit tests — which is a distinction worth holding on to.</w:t>
      </w:r>
    </w:p>
    <w:p>
      <w:pPr>
        <w:pStyle w:val="Heading3"/>
        <w:spacing w:after="100" w:before="240"/>
      </w:pPr>
      <w:r>
        <w:t xml:space="preserve">Defect 1 — adj_close is not an adjusted series</w:t>
      </w:r>
    </w:p>
    <w:p>
      <w:pPr>
        <w:spacing w:after="130" w:line="300"/>
      </w:pPr>
      <w:r>
        <w:t xml:space="preserve">Evidence: adj_close differs from close on roughly 30 of 5,800 bars per symbol. A genuine adjustment factor differs on EVERY bar before the last corporate action, because the whole series is rescaled. Differing on thirty scattered days means the column is a near-copy of close with a handful of ad-hoc edits.</w:t>
      </w:r>
    </w:p>
    <w:p>
      <w:pPr>
        <w:spacing w:after="130" w:line="300"/>
      </w:pPr>
      <w:r>
        <w:t xml:space="preserve">Cross-check: RELIANCE across its September 2017 1:1 bonus shows close moving 392.10 to 389.90 — no gap. An unadjusted series would halve. So close is already back-adjusted.</w:t>
      </w:r>
    </w:p>
    <w:p>
      <w:pPr>
        <w:spacing w:after="130" w:line="300"/>
      </w:pPr>
      <w:r>
        <w:t xml:space="preserve">Handling: use </w:t>
      </w:r>
      <w:r>
        <w:rPr>
          <w:rFonts w:ascii="Consolas" w:cs="Consolas" w:eastAsia="Consolas" w:hAnsi="Consolas"/>
          <w:sz w:val="19"/>
          <w:szCs w:val="19"/>
          <w:shd w:fill="F2F2F2" w:val="clear"/>
        </w:rPr>
        <w:t xml:space="preserve">close</w:t>
      </w:r>
      <w:r>
        <w:t xml:space="preserve">; discard </w:t>
      </w:r>
      <w:r>
        <w:rPr>
          <w:rFonts w:ascii="Consolas" w:cs="Consolas" w:eastAsia="Consolas" w:hAnsi="Consolas"/>
          <w:sz w:val="19"/>
          <w:szCs w:val="19"/>
          <w:shd w:fill="F2F2F2" w:val="clear"/>
        </w:rPr>
        <w:t xml:space="preserve">adj_close</w:t>
      </w:r>
      <w:r>
        <w:t xml:space="preserve">. Confirming this with whoever built the data pipeline remains an open item, because if it is wrong then every return in the project is wrong.</w:t>
      </w:r>
    </w:p>
    <w:p>
      <w:pPr>
        <w:pStyle w:val="Heading3"/>
        <w:spacing w:after="100" w:before="240"/>
      </w:pPr>
      <w:r>
        <w:t xml:space="preserve">Defect 2 — fabricated pre-IPO history</w:t>
      </w:r>
    </w:p>
    <w:p>
      <w:pPr>
        <w:spacing w:after="130" w:line="300"/>
      </w:pPr>
      <w:r>
        <w:t xml:space="preserve">Evidence: MAZDOCK carries monthly-spaced bars from December 2017, but the company listed in October 2020. The same pattern appears in DMART, SBILIFE and VBL. Someone stitched sparse data in front of the real listing history.</w:t>
      </w:r>
    </w:p>
    <w:p>
      <w:pPr>
        <w:spacing w:after="130" w:line="300"/>
      </w:pPr>
      <w:r>
        <w:t xml:space="preserve">Rule: a calendar gap longer than 10 days is never a holiday — the NSE has never closed that long. The first genuine bar is the one immediately after the LAST such gap.</w:t>
      </w:r>
    </w:p>
    <w:p>
      <w:pPr>
        <w:spacing w:after="130" w:line="300"/>
      </w:pPr>
      <w:r>
        <w:t xml:space="preserve">Validation, against listing dates sourced independently of this codebase: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900"/>
        <w:gridCol w:w="1700"/>
      </w:tblGrid>
      <w:tr>
        <w:trPr>
          <w:tblHeader/>
        </w:trPr>
        <w:tc>
          <w:tcPr>
            <w:tcW w:type="dxa" w:w="1900"/>
            <w:shd w:fill="1F4E79" w:val="clear"/>
            <w:tcMar>
              <w:top w:type="dxa" w:w="90"/>
              <w:left w:type="dxa" w:w="130"/>
              <w:bottom w:type="dxa" w:w="90"/>
              <w:right w:type="dxa" w:w="130"/>
            </w:tcMar>
          </w:tcPr>
          <w:p>
            <w:r>
              <w:rPr>
                <w:b/>
                <w:bCs/>
                <w:color w:val="FFFFFF"/>
                <w:sz w:val="19"/>
                <w:szCs w:val="19"/>
              </w:rPr>
              <w:t xml:space="preserve">Symbol</w:t>
            </w:r>
          </w:p>
        </w:tc>
        <w:tc>
          <w:tcPr>
            <w:tcW w:type="dxa" w:w="2500"/>
            <w:shd w:fill="1F4E79" w:val="clear"/>
            <w:tcMar>
              <w:top w:type="dxa" w:w="90"/>
              <w:left w:type="dxa" w:w="130"/>
              <w:bottom w:type="dxa" w:w="90"/>
              <w:right w:type="dxa" w:w="130"/>
            </w:tcMar>
          </w:tcPr>
          <w:p>
            <w:r>
              <w:rPr>
                <w:b/>
                <w:bCs/>
                <w:color w:val="FFFFFF"/>
                <w:sz w:val="19"/>
                <w:szCs w:val="19"/>
              </w:rPr>
              <w:t xml:space="preserve">Rule detected</w:t>
            </w:r>
          </w:p>
        </w:tc>
        <w:tc>
          <w:tcPr>
            <w:tcW w:type="dxa" w:w="2900"/>
            <w:shd w:fill="1F4E79" w:val="clear"/>
            <w:tcMar>
              <w:top w:type="dxa" w:w="90"/>
              <w:left w:type="dxa" w:w="130"/>
              <w:bottom w:type="dxa" w:w="90"/>
              <w:right w:type="dxa" w:w="130"/>
            </w:tcMar>
          </w:tcPr>
          <w:p>
            <w:r>
              <w:rPr>
                <w:b/>
                <w:bCs/>
                <w:color w:val="FFFFFF"/>
                <w:sz w:val="19"/>
                <w:szCs w:val="19"/>
              </w:rPr>
              <w:t xml:space="preserve">Actual NSE listing</w:t>
            </w:r>
          </w:p>
        </w:tc>
        <w:tc>
          <w:tcPr>
            <w:tcW w:type="dxa" w:w="1700"/>
            <w:shd w:fill="1F4E79" w:val="clear"/>
            <w:tcMar>
              <w:top w:type="dxa" w:w="90"/>
              <w:left w:type="dxa" w:w="130"/>
              <w:bottom w:type="dxa" w:w="90"/>
              <w:right w:type="dxa" w:w="130"/>
            </w:tcMar>
          </w:tcPr>
          <w:p>
            <w:r>
              <w:rPr>
                <w:b/>
                <w:bCs/>
                <w:color w:val="FFFFFF"/>
                <w:sz w:val="19"/>
                <w:szCs w:val="19"/>
              </w:rPr>
              <w:t xml:space="preserve">Match</w:t>
            </w:r>
          </w:p>
        </w:tc>
      </w:tr>
      <w:tr>
        <w:tc>
          <w:tcPr>
            <w:tcW w:type="dxa" w:w="1900"/>
            <w:shd w:fill="F5F8FB" w:val="clear"/>
            <w:tcMar>
              <w:top w:type="dxa" w:w="80"/>
              <w:left w:type="dxa" w:w="130"/>
              <w:bottom w:type="dxa" w:w="80"/>
              <w:right w:type="dxa" w:w="130"/>
            </w:tcMar>
          </w:tcPr>
          <w:p>
            <w:r>
              <w:rPr>
                <w:sz w:val="19"/>
                <w:szCs w:val="19"/>
              </w:rPr>
              <w:t xml:space="preserve">VBL</w:t>
            </w:r>
          </w:p>
        </w:tc>
        <w:tc>
          <w:tcPr>
            <w:tcW w:type="dxa" w:w="2500"/>
            <w:shd w:fill="F5F8FB" w:val="clear"/>
            <w:tcMar>
              <w:top w:type="dxa" w:w="80"/>
              <w:left w:type="dxa" w:w="130"/>
              <w:bottom w:type="dxa" w:w="80"/>
              <w:right w:type="dxa" w:w="130"/>
            </w:tcMar>
          </w:tcPr>
          <w:p>
            <w:r>
              <w:rPr>
                <w:sz w:val="19"/>
                <w:szCs w:val="19"/>
              </w:rPr>
              <w:t xml:space="preserve">2016-11-08</w:t>
            </w:r>
          </w:p>
        </w:tc>
        <w:tc>
          <w:tcPr>
            <w:tcW w:type="dxa" w:w="2900"/>
            <w:shd w:fill="F5F8FB" w:val="clear"/>
            <w:tcMar>
              <w:top w:type="dxa" w:w="80"/>
              <w:left w:type="dxa" w:w="130"/>
              <w:bottom w:type="dxa" w:w="80"/>
              <w:right w:type="dxa" w:w="130"/>
            </w:tcMar>
          </w:tcPr>
          <w:p>
            <w:r>
              <w:rPr>
                <w:sz w:val="19"/>
                <w:szCs w:val="19"/>
              </w:rPr>
              <w:t xml:space="preserve">2016-11-08</w:t>
            </w:r>
          </w:p>
        </w:tc>
        <w:tc>
          <w:tcPr>
            <w:tcW w:type="dxa" w:w="1700"/>
            <w:shd w:fill="F5F8FB" w:val="clear"/>
            <w:tcMar>
              <w:top w:type="dxa" w:w="80"/>
              <w:left w:type="dxa" w:w="130"/>
              <w:bottom w:type="dxa" w:w="80"/>
              <w:right w:type="dxa" w:w="130"/>
            </w:tcMar>
          </w:tcPr>
          <w:p>
            <w:r>
              <w:rPr>
                <w:sz w:val="19"/>
                <w:szCs w:val="19"/>
              </w:rPr>
              <w:t xml:space="preserve">exact</w:t>
            </w:r>
          </w:p>
        </w:tc>
      </w:tr>
      <w:tr>
        <w:tc>
          <w:tcPr>
            <w:tcW w:type="dxa" w:w="1900"/>
            <w:shd w:fill="FFFFFF" w:val="clear"/>
            <w:tcMar>
              <w:top w:type="dxa" w:w="80"/>
              <w:left w:type="dxa" w:w="130"/>
              <w:bottom w:type="dxa" w:w="80"/>
              <w:right w:type="dxa" w:w="130"/>
            </w:tcMar>
          </w:tcPr>
          <w:p>
            <w:r>
              <w:rPr>
                <w:sz w:val="19"/>
                <w:szCs w:val="19"/>
              </w:rPr>
              <w:t xml:space="preserve">DMART</w:t>
            </w:r>
          </w:p>
        </w:tc>
        <w:tc>
          <w:tcPr>
            <w:tcW w:type="dxa" w:w="2500"/>
            <w:shd w:fill="FFFFFF" w:val="clear"/>
            <w:tcMar>
              <w:top w:type="dxa" w:w="80"/>
              <w:left w:type="dxa" w:w="130"/>
              <w:bottom w:type="dxa" w:w="80"/>
              <w:right w:type="dxa" w:w="130"/>
            </w:tcMar>
          </w:tcPr>
          <w:p>
            <w:r>
              <w:rPr>
                <w:sz w:val="19"/>
                <w:szCs w:val="19"/>
              </w:rPr>
              <w:t xml:space="preserve">2017-03-21</w:t>
            </w:r>
          </w:p>
        </w:tc>
        <w:tc>
          <w:tcPr>
            <w:tcW w:type="dxa" w:w="2900"/>
            <w:shd w:fill="FFFFFF" w:val="clear"/>
            <w:tcMar>
              <w:top w:type="dxa" w:w="80"/>
              <w:left w:type="dxa" w:w="130"/>
              <w:bottom w:type="dxa" w:w="80"/>
              <w:right w:type="dxa" w:w="130"/>
            </w:tcMar>
          </w:tcPr>
          <w:p>
            <w:r>
              <w:rPr>
                <w:sz w:val="19"/>
                <w:szCs w:val="19"/>
              </w:rPr>
              <w:t xml:space="preserve">2017-03-21</w:t>
            </w:r>
          </w:p>
        </w:tc>
        <w:tc>
          <w:tcPr>
            <w:tcW w:type="dxa" w:w="1700"/>
            <w:shd w:fill="FFFFFF" w:val="clear"/>
            <w:tcMar>
              <w:top w:type="dxa" w:w="80"/>
              <w:left w:type="dxa" w:w="130"/>
              <w:bottom w:type="dxa" w:w="80"/>
              <w:right w:type="dxa" w:w="130"/>
            </w:tcMar>
          </w:tcPr>
          <w:p>
            <w:r>
              <w:rPr>
                <w:sz w:val="19"/>
                <w:szCs w:val="19"/>
              </w:rPr>
              <w:t xml:space="preserve">exact</w:t>
            </w:r>
          </w:p>
        </w:tc>
      </w:tr>
      <w:tr>
        <w:tc>
          <w:tcPr>
            <w:tcW w:type="dxa" w:w="1900"/>
            <w:shd w:fill="F5F8FB" w:val="clear"/>
            <w:tcMar>
              <w:top w:type="dxa" w:w="80"/>
              <w:left w:type="dxa" w:w="130"/>
              <w:bottom w:type="dxa" w:w="80"/>
              <w:right w:type="dxa" w:w="130"/>
            </w:tcMar>
          </w:tcPr>
          <w:p>
            <w:r>
              <w:rPr>
                <w:sz w:val="19"/>
                <w:szCs w:val="19"/>
              </w:rPr>
              <w:t xml:space="preserve">SBILIFE</w:t>
            </w:r>
          </w:p>
        </w:tc>
        <w:tc>
          <w:tcPr>
            <w:tcW w:type="dxa" w:w="2500"/>
            <w:shd w:fill="F5F8FB" w:val="clear"/>
            <w:tcMar>
              <w:top w:type="dxa" w:w="80"/>
              <w:left w:type="dxa" w:w="130"/>
              <w:bottom w:type="dxa" w:w="80"/>
              <w:right w:type="dxa" w:w="130"/>
            </w:tcMar>
          </w:tcPr>
          <w:p>
            <w:r>
              <w:rPr>
                <w:sz w:val="19"/>
                <w:szCs w:val="19"/>
              </w:rPr>
              <w:t xml:space="preserve">2017-10-03</w:t>
            </w:r>
          </w:p>
        </w:tc>
        <w:tc>
          <w:tcPr>
            <w:tcW w:type="dxa" w:w="2900"/>
            <w:shd w:fill="F5F8FB" w:val="clear"/>
            <w:tcMar>
              <w:top w:type="dxa" w:w="80"/>
              <w:left w:type="dxa" w:w="130"/>
              <w:bottom w:type="dxa" w:w="80"/>
              <w:right w:type="dxa" w:w="130"/>
            </w:tcMar>
          </w:tcPr>
          <w:p>
            <w:r>
              <w:rPr>
                <w:sz w:val="19"/>
                <w:szCs w:val="19"/>
              </w:rPr>
              <w:t xml:space="preserve">2017-10-03</w:t>
            </w:r>
          </w:p>
        </w:tc>
        <w:tc>
          <w:tcPr>
            <w:tcW w:type="dxa" w:w="1700"/>
            <w:shd w:fill="F5F8FB" w:val="clear"/>
            <w:tcMar>
              <w:top w:type="dxa" w:w="80"/>
              <w:left w:type="dxa" w:w="130"/>
              <w:bottom w:type="dxa" w:w="80"/>
              <w:right w:type="dxa" w:w="130"/>
            </w:tcMar>
          </w:tcPr>
          <w:p>
            <w:r>
              <w:rPr>
                <w:sz w:val="19"/>
                <w:szCs w:val="19"/>
              </w:rPr>
              <w:t xml:space="preserve">exact</w:t>
            </w:r>
          </w:p>
        </w:tc>
      </w:tr>
      <w:tr>
        <w:tc>
          <w:tcPr>
            <w:tcW w:type="dxa" w:w="1900"/>
            <w:shd w:fill="FFFFFF" w:val="clear"/>
            <w:tcMar>
              <w:top w:type="dxa" w:w="80"/>
              <w:left w:type="dxa" w:w="130"/>
              <w:bottom w:type="dxa" w:w="80"/>
              <w:right w:type="dxa" w:w="130"/>
            </w:tcMar>
          </w:tcPr>
          <w:p>
            <w:r>
              <w:rPr>
                <w:sz w:val="19"/>
                <w:szCs w:val="19"/>
              </w:rPr>
              <w:t xml:space="preserve">MAZDOCK</w:t>
            </w:r>
          </w:p>
        </w:tc>
        <w:tc>
          <w:tcPr>
            <w:tcW w:type="dxa" w:w="2500"/>
            <w:shd w:fill="FFFFFF" w:val="clear"/>
            <w:tcMar>
              <w:top w:type="dxa" w:w="80"/>
              <w:left w:type="dxa" w:w="130"/>
              <w:bottom w:type="dxa" w:w="80"/>
              <w:right w:type="dxa" w:w="130"/>
            </w:tcMar>
          </w:tcPr>
          <w:p>
            <w:r>
              <w:rPr>
                <w:sz w:val="19"/>
                <w:szCs w:val="19"/>
              </w:rPr>
              <w:t xml:space="preserve">2020-10-12</w:t>
            </w:r>
          </w:p>
        </w:tc>
        <w:tc>
          <w:tcPr>
            <w:tcW w:type="dxa" w:w="2900"/>
            <w:shd w:fill="FFFFFF" w:val="clear"/>
            <w:tcMar>
              <w:top w:type="dxa" w:w="80"/>
              <w:left w:type="dxa" w:w="130"/>
              <w:bottom w:type="dxa" w:w="80"/>
              <w:right w:type="dxa" w:w="130"/>
            </w:tcMar>
          </w:tcPr>
          <w:p>
            <w:r>
              <w:rPr>
                <w:sz w:val="19"/>
                <w:szCs w:val="19"/>
              </w:rPr>
              <w:t xml:space="preserve">2020-10-12</w:t>
            </w:r>
          </w:p>
        </w:tc>
        <w:tc>
          <w:tcPr>
            <w:tcW w:type="dxa" w:w="1700"/>
            <w:shd w:fill="FFFFFF" w:val="clear"/>
            <w:tcMar>
              <w:top w:type="dxa" w:w="80"/>
              <w:left w:type="dxa" w:w="130"/>
              <w:bottom w:type="dxa" w:w="80"/>
              <w:right w:type="dxa" w:w="130"/>
            </w:tcMar>
          </w:tcPr>
          <w:p>
            <w:r>
              <w:rPr>
                <w:sz w:val="19"/>
                <w:szCs w:val="19"/>
              </w:rPr>
              <w:t xml:space="preserve">exact</w:t>
            </w:r>
          </w:p>
        </w:tc>
      </w:tr>
    </w:tbl>
    <w:p>
      <w:pPr>
        <w:spacing w:after="130" w:line="300"/>
      </w:pPr>
      <w:r>
        <w:rPr>
          <w:i/>
          <w:iCs/>
        </w:rPr>
        <w:t xml:space="preserve">Four for four, to the day. Validating against external facts rather than against the code's own output is what makes this a real check rather than the code grading its own homework.</w:t>
      </w:r>
    </w:p>
    <w:p>
      <w:pPr>
        <w:pStyle w:val="Heading3"/>
        <w:spacing w:after="100" w:before="240"/>
      </w:pPr>
      <w:r>
        <w:t xml:space="preserve">Defect 3 — zero-range bars</w:t>
      </w:r>
    </w:p>
    <w:p>
      <w:pPr>
        <w:spacing w:after="130" w:line="300"/>
      </w:pPr>
      <w:r>
        <w:t xml:space="preserve">Evidence: BAJFINANCE has 1,092 bars out of 5,803 where open, high, low and close are all identical. ADANIPOWER has 267, MOTHERSON 277, NESTLEIND 234.</w:t>
      </w:r>
    </w:p>
    <w:p>
      <w:pPr>
        <w:spacing w:after="130" w:line="300"/>
      </w:pPr>
      <w:r>
        <w:t xml:space="preserve">A bar with no intraday range carries no information about volatility or trading pressure, and would corrupt any feature built on the high-low span.</w:t>
      </w:r>
    </w:p>
    <w:tbl>
      <w:tblPr>
        <w:tblW w:type="dxa" w:w="9000"/>
        <w:tblBorders>
          <w:top w:val="single" w:color="1F4E79" w:sz="2"/>
          <w:left w:val="single" w:color="1F4E79" w:sz="20"/>
          <w:bottom w:val="single" w:color="1F4E79" w:sz="2"/>
          <w:right w:val="single" w:color="1F4E79" w:sz="2"/>
          <w:insideH w:val="none"/>
          <w:insideV w:val="none"/>
        </w:tblBorders>
      </w:tblPr>
      <w:tblGrid>
        <w:gridCol w:w="9000"/>
      </w:tblGrid>
      <w:tr>
        <w:tc>
          <w:tcPr>
            <w:tcW w:type="dxa" w:w="9000"/>
            <w:shd w:fill="F7FAFD" w:val="clear"/>
            <w:tcMar>
              <w:top w:type="dxa" w:w="150"/>
              <w:left w:type="dxa" w:w="220"/>
              <w:bottom w:type="dxa" w:w="150"/>
              <w:right w:type="dxa" w:w="200"/>
            </w:tcMar>
          </w:tcPr>
          <w:p>
            <w:pPr>
              <w:spacing w:after="70"/>
            </w:pPr>
            <w:r>
              <w:rPr>
                <w:b/>
                <w:bCs/>
                <w:color w:val="1F4E79"/>
              </w:rPr>
              <w:t xml:space="preserve">Flagged, never dropped</w:t>
            </w:r>
          </w:p>
          <w:p>
            <w:pPr>
              <w:spacing w:after="70" w:line="300"/>
            </w:pPr>
            <w:r>
              <w:t xml:space="preserve">The obvious move is to delete these rows. That would be a mistake.</w:t>
            </w:r>
          </w:p>
          <w:p>
            <w:pPr>
              <w:spacing w:after="70" w:line="300"/>
            </w:pPr>
            <w:r>
              <w:t xml:space="preserve">Deleting a row silently shifts every rolling window that spans it: a five-day slope would quietly cover six calendar days, and every affected window would be measuring something slightly different from what its name claims.</w:t>
            </w:r>
          </w:p>
          <w:p>
            <w:pPr>
              <w:spacing w:after="0" w:line="300"/>
            </w:pPr>
            <w:r>
              <w:t xml:space="preserve">Instead each bar carries an is_flat flag. The row stays, the calendar stays intact, and range-based features mask it explicitly.</w:t>
            </w:r>
          </w:p>
        </w:tc>
      </w:tr>
    </w:tbl>
    <w:p>
      <w:pPr>
        <w:pStyle w:val="Heading3"/>
        <w:spacing w:after="100" w:before="240"/>
      </w:pPr>
      <w:r>
        <w:t xml:space="preserve">Defect 4 — ragged end dates</w:t>
      </w:r>
    </w:p>
    <w:p>
      <w:pPr>
        <w:spacing w:after="130" w:line="300"/>
      </w:pPr>
      <w:r>
        <w:t xml:space="preserve">Evidence: files end anywhere between 2026-06-03 and 2026-06-22. One symbol runs nearly three weeks past the rest.</w:t>
      </w:r>
    </w:p>
    <w:p>
      <w:pPr>
        <w:spacing w:after="130" w:line="300"/>
      </w:pPr>
      <w:r>
        <w:t xml:space="preserve">This matters because the market-wide signal asks what fraction of the universe is falling today. If symbols drop out of the sample at different dates, that fraction drifts for reasons that have nothing to do with markets. All series are trimmed to 2026-06-05, which 98 of 100 symbols reach.</w:t>
      </w:r>
    </w:p>
    <w:p>
      <w:pPr>
        <w:pStyle w:val="Heading3"/>
        <w:spacing w:after="100" w:before="240"/>
      </w:pPr>
      <w:r>
        <w:t xml:space="preserve">Defect 5 — survivorship bias</w:t>
      </w:r>
    </w:p>
    <w:p>
      <w:pPr>
        <w:spacing w:after="130" w:line="300"/>
      </w:pPr>
      <w:r>
        <w:t xml:space="preserve">The universe is today's NIFTY 100, not the historical membership. Companies that fell out of the index are invisible, so the sample is quietly biased towards firms that did well.</w:t>
      </w:r>
    </w:p>
    <w:p>
      <w:pPr>
        <w:spacing w:after="130" w:line="300"/>
      </w:pPr>
      <w:r>
        <w:t xml:space="preserve">Documented rather than fixed. Because the claim of this project is drawdown reduction rather than stock-picking skill, the bias inflates the buy-and-hold benchmark at least as much as it inflates the strategy — which makes the result harder to achieve, not easier. Sourcing historical index membership would be the rigorous fix and remains available if a reviewer presses.</w:t>
      </w:r>
    </w:p>
    <w:p>
      <w:pPr>
        <w:pStyle w:val="Heading3"/>
        <w:spacing w:after="100" w:before="240"/>
      </w:pPr>
      <w:r>
        <w:t xml:space="preserve">Defect 6 — unadjusted corporate actions (found in Phase 1 testing)</w:t>
      </w:r>
    </w:p>
    <w:p>
      <w:pPr>
        <w:spacing w:after="130" w:line="300"/>
      </w:pPr>
      <w:r>
        <w:t xml:space="preserve">The price series is back-adjusted for splits and bonuses but NOT for demergers.</w:t>
      </w:r>
    </w:p>
    <w:p>
      <w:pPr>
        <w:shd w:fill="F2F2F2" w:val="clear"/>
        <w:spacing w:after="0" w:before="70"/>
        <w:ind w:left="240"/>
      </w:pPr>
      <w:r>
        <w:rPr>
          <w:rFonts w:ascii="Consolas" w:cs="Consolas" w:eastAsia="Consolas" w:hAnsi="Consolas"/>
          <w:sz w:val="18"/>
          <w:szCs w:val="18"/>
        </w:rPr>
        <w:t xml:space="preserve">CGPOWER   2016-03-15    155.30 -&gt; 53.05   (-65.8%)   and it stays there</w:t>
      </w:r>
    </w:p>
    <w:p>
      <w:pPr>
        <w:shd w:fill="F2F2F2" w:val="clear"/>
        <w:spacing w:after="170" w:before="0"/>
        <w:ind w:left="240"/>
      </w:pPr>
      <w:r>
        <w:rPr>
          <w:rFonts w:ascii="Consolas" w:cs="Consolas" w:eastAsia="Consolas" w:hAnsi="Consolas"/>
          <w:sz w:val="18"/>
          <w:szCs w:val="18"/>
        </w:rPr>
        <w:t xml:space="preserve">ADANIENT  2015-06-04                       (-78.4%)</w:t>
      </w:r>
    </w:p>
    <w:p>
      <w:pPr>
        <w:spacing w:after="130" w:line="300"/>
      </w:pPr>
      <w:r>
        <w:t xml:space="preserve">CGPOWER is the Crompton Greaves Consumer demerger; ADANIENT is the Adani Ports / Transmission / Power spin-off. No shareholder lost 66% — they received shares in the demerged entity. These are artefacts of the price series, not events in the market.</w:t>
      </w:r>
    </w:p>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Why every existing check missed it</w:t>
            </w:r>
          </w:p>
          <w:p>
            <w:pPr>
              <w:spacing w:after="70" w:line="300"/>
            </w:pPr>
            <w:r>
              <w:t xml:space="preserve">A demerger bar is internally consistent. High is above close, close is above low, the price is positive, the date is valid, there is no gap. It passes every structural test in the gate.</w:t>
            </w:r>
          </w:p>
          <w:p>
            <w:pPr>
              <w:spacing w:after="70" w:line="300"/>
            </w:pPr>
            <w:r>
              <w:t xml:space="preserve">It simply describes a different company from the day before. Only the RETURN betrays it.</w:t>
            </w:r>
          </w:p>
          <w:p>
            <w:pPr>
              <w:spacing w:after="0" w:line="300"/>
            </w:pPr>
            <w:r>
              <w:t xml:space="preserve">CGPOWER passed all nine checks that existed at the time.</w:t>
            </w:r>
          </w:p>
        </w:tc>
      </w:tr>
    </w:tbl>
    <w:p>
      <w:pPr>
        <w:spacing w:after="130" w:line="300"/>
      </w:pPr>
      <w:r>
        <w:t xml:space="preserve">Why one bar matters so much: Isolation Forest is unsupervised, so it learns normal from whatever it is shown. A minus 66% day inside the training window becomes the most extreme point in the entire sample, and the anomaly boundary stretches out towards it. Genuine crashes then look ordinary by comparison. One bad bar degrades every score that follows.</w:t>
      </w:r>
    </w:p>
    <w:p>
      <w:pPr>
        <w:spacing w:after="130" w:line="300"/>
      </w:pPr>
      <w:r>
        <w:t xml:space="preserve">The difficult part was not filtering the artefact out — it was not filtering too much: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700"/>
        <w:gridCol w:w="1900"/>
      </w:tblGrid>
      <w:tr>
        <w:trPr>
          <w:tblHeader/>
        </w:trPr>
        <w:tc>
          <w:tcPr>
            <w:tcW w:type="dxa" w:w="2700"/>
            <w:shd w:fill="1F4E79" w:val="clear"/>
            <w:tcMar>
              <w:top w:type="dxa" w:w="90"/>
              <w:left w:type="dxa" w:w="130"/>
              <w:bottom w:type="dxa" w:w="90"/>
              <w:right w:type="dxa" w:w="130"/>
            </w:tcMar>
          </w:tcPr>
          <w:p>
            <w:r>
              <w:rPr>
                <w:b/>
                <w:bCs/>
                <w:color w:val="FFFFFF"/>
                <w:sz w:val="19"/>
                <w:szCs w:val="19"/>
              </w:rPr>
              <w:t xml:space="preserve">Event</w:t>
            </w:r>
          </w:p>
        </w:tc>
        <w:tc>
          <w:tcPr>
            <w:tcW w:type="dxa" w:w="1500"/>
            <w:shd w:fill="1F4E79" w:val="clear"/>
            <w:tcMar>
              <w:top w:type="dxa" w:w="90"/>
              <w:left w:type="dxa" w:w="130"/>
              <w:bottom w:type="dxa" w:w="90"/>
              <w:right w:type="dxa" w:w="130"/>
            </w:tcMar>
          </w:tcPr>
          <w:p>
            <w:r>
              <w:rPr>
                <w:b/>
                <w:bCs/>
                <w:color w:val="FFFFFF"/>
                <w:sz w:val="19"/>
                <w:szCs w:val="19"/>
              </w:rPr>
              <w:t xml:space="preserve">Move</w:t>
            </w:r>
          </w:p>
        </w:tc>
        <w:tc>
          <w:tcPr>
            <w:tcW w:type="dxa" w:w="2700"/>
            <w:shd w:fill="1F4E79" w:val="clear"/>
            <w:tcMar>
              <w:top w:type="dxa" w:w="90"/>
              <w:left w:type="dxa" w:w="130"/>
              <w:bottom w:type="dxa" w:w="90"/>
              <w:right w:type="dxa" w:w="130"/>
            </w:tcMar>
          </w:tcPr>
          <w:p>
            <w:r>
              <w:rPr>
                <w:b/>
                <w:bCs/>
                <w:color w:val="FFFFFF"/>
                <w:sz w:val="19"/>
                <w:szCs w:val="19"/>
              </w:rPr>
              <w:t xml:space="preserve">Nature</w:t>
            </w:r>
          </w:p>
        </w:tc>
        <w:tc>
          <w:tcPr>
            <w:tcW w:type="dxa" w:w="1900"/>
            <w:shd w:fill="1F4E79" w:val="clear"/>
            <w:tcMar>
              <w:top w:type="dxa" w:w="90"/>
              <w:left w:type="dxa" w:w="130"/>
              <w:bottom w:type="dxa" w:w="90"/>
              <w:right w:type="dxa" w:w="130"/>
            </w:tcMar>
          </w:tcPr>
          <w:p>
            <w:r>
              <w:rPr>
                <w:b/>
                <w:bCs/>
                <w:color w:val="FFFFFF"/>
                <w:sz w:val="19"/>
                <w:szCs w:val="19"/>
              </w:rPr>
              <w:t xml:space="preserve">Decision</w:t>
            </w:r>
          </w:p>
        </w:tc>
      </w:tr>
      <w:tr>
        <w:tc>
          <w:tcPr>
            <w:tcW w:type="dxa" w:w="2700"/>
            <w:shd w:fill="F5F8FB" w:val="clear"/>
            <w:tcMar>
              <w:top w:type="dxa" w:w="80"/>
              <w:left w:type="dxa" w:w="130"/>
              <w:bottom w:type="dxa" w:w="80"/>
              <w:right w:type="dxa" w:w="130"/>
            </w:tcMar>
          </w:tcPr>
          <w:p>
            <w:r>
              <w:rPr>
                <w:sz w:val="19"/>
                <w:szCs w:val="19"/>
              </w:rPr>
              <w:t xml:space="preserve">CGPOWER 2016-03-15</w:t>
            </w:r>
          </w:p>
        </w:tc>
        <w:tc>
          <w:tcPr>
            <w:tcW w:type="dxa" w:w="1500"/>
            <w:shd w:fill="F5F8FB" w:val="clear"/>
            <w:tcMar>
              <w:top w:type="dxa" w:w="80"/>
              <w:left w:type="dxa" w:w="130"/>
              <w:bottom w:type="dxa" w:w="80"/>
              <w:right w:type="dxa" w:w="130"/>
            </w:tcMar>
          </w:tcPr>
          <w:p>
            <w:r>
              <w:rPr>
                <w:sz w:val="19"/>
                <w:szCs w:val="19"/>
              </w:rPr>
              <w:t xml:space="preserve">-65.8%</w:t>
            </w:r>
          </w:p>
        </w:tc>
        <w:tc>
          <w:tcPr>
            <w:tcW w:type="dxa" w:w="2700"/>
            <w:shd w:fill="F5F8FB" w:val="clear"/>
            <w:tcMar>
              <w:top w:type="dxa" w:w="80"/>
              <w:left w:type="dxa" w:w="130"/>
              <w:bottom w:type="dxa" w:w="80"/>
              <w:right w:type="dxa" w:w="130"/>
            </w:tcMar>
          </w:tcPr>
          <w:p>
            <w:r>
              <w:rPr>
                <w:sz w:val="19"/>
                <w:szCs w:val="19"/>
              </w:rPr>
              <w:t xml:space="preserve">demerger</w:t>
            </w:r>
          </w:p>
        </w:tc>
        <w:tc>
          <w:tcPr>
            <w:tcW w:type="dxa" w:w="1900"/>
            <w:shd w:fill="F5F8FB" w:val="clear"/>
            <w:tcMar>
              <w:top w:type="dxa" w:w="80"/>
              <w:left w:type="dxa" w:w="130"/>
              <w:bottom w:type="dxa" w:w="80"/>
              <w:right w:type="dxa" w:w="130"/>
            </w:tcMar>
          </w:tcPr>
          <w:p>
            <w:r>
              <w:rPr>
                <w:sz w:val="19"/>
                <w:szCs w:val="19"/>
              </w:rPr>
              <w:t xml:space="preserve">remove</w:t>
            </w:r>
          </w:p>
        </w:tc>
      </w:tr>
      <w:tr>
        <w:tc>
          <w:tcPr>
            <w:tcW w:type="dxa" w:w="2700"/>
            <w:shd w:fill="FFFFFF" w:val="clear"/>
            <w:tcMar>
              <w:top w:type="dxa" w:w="80"/>
              <w:left w:type="dxa" w:w="130"/>
              <w:bottom w:type="dxa" w:w="80"/>
              <w:right w:type="dxa" w:w="130"/>
            </w:tcMar>
          </w:tcPr>
          <w:p>
            <w:r>
              <w:rPr>
                <w:sz w:val="19"/>
                <w:szCs w:val="19"/>
              </w:rPr>
              <w:t xml:space="preserve">TRENT 2026-06-02</w:t>
            </w:r>
          </w:p>
        </w:tc>
        <w:tc>
          <w:tcPr>
            <w:tcW w:type="dxa" w:w="1500"/>
            <w:shd w:fill="FFFFFF" w:val="clear"/>
            <w:tcMar>
              <w:top w:type="dxa" w:w="80"/>
              <w:left w:type="dxa" w:w="130"/>
              <w:bottom w:type="dxa" w:w="80"/>
              <w:right w:type="dxa" w:w="130"/>
            </w:tcMar>
          </w:tcPr>
          <w:p>
            <w:r>
              <w:rPr>
                <w:sz w:val="19"/>
                <w:szCs w:val="19"/>
              </w:rPr>
              <w:t xml:space="preserve">-31.9%</w:t>
            </w:r>
          </w:p>
        </w:tc>
        <w:tc>
          <w:tcPr>
            <w:tcW w:type="dxa" w:w="2700"/>
            <w:shd w:fill="FFFFFF" w:val="clear"/>
            <w:tcMar>
              <w:top w:type="dxa" w:w="80"/>
              <w:left w:type="dxa" w:w="130"/>
              <w:bottom w:type="dxa" w:w="80"/>
              <w:right w:type="dxa" w:w="130"/>
            </w:tcMar>
          </w:tcPr>
          <w:p>
            <w:r>
              <w:rPr>
                <w:sz w:val="19"/>
                <w:szCs w:val="19"/>
              </w:rPr>
              <w:t xml:space="preserve">market move</w:t>
            </w:r>
          </w:p>
        </w:tc>
        <w:tc>
          <w:tcPr>
            <w:tcW w:type="dxa" w:w="1900"/>
            <w:shd w:fill="FFFFFF" w:val="clear"/>
            <w:tcMar>
              <w:top w:type="dxa" w:w="80"/>
              <w:left w:type="dxa" w:w="130"/>
              <w:bottom w:type="dxa" w:w="80"/>
              <w:right w:type="dxa" w:w="130"/>
            </w:tcMar>
          </w:tcPr>
          <w:p>
            <w:r>
              <w:rPr>
                <w:sz w:val="19"/>
                <w:szCs w:val="19"/>
              </w:rPr>
              <w:t xml:space="preserve">KEEP</w:t>
            </w:r>
          </w:p>
        </w:tc>
      </w:tr>
      <w:tr>
        <w:tc>
          <w:tcPr>
            <w:tcW w:type="dxa" w:w="2700"/>
            <w:shd w:fill="F5F8FB" w:val="clear"/>
            <w:tcMar>
              <w:top w:type="dxa" w:w="80"/>
              <w:left w:type="dxa" w:w="130"/>
              <w:bottom w:type="dxa" w:w="80"/>
              <w:right w:type="dxa" w:w="130"/>
            </w:tcMar>
          </w:tcPr>
          <w:p>
            <w:r>
              <w:rPr>
                <w:sz w:val="19"/>
                <w:szCs w:val="19"/>
              </w:rPr>
              <w:t xml:space="preserve">ADANIENT 2023-02-03</w:t>
            </w:r>
          </w:p>
        </w:tc>
        <w:tc>
          <w:tcPr>
            <w:tcW w:type="dxa" w:w="1500"/>
            <w:shd w:fill="F5F8FB" w:val="clear"/>
            <w:tcMar>
              <w:top w:type="dxa" w:w="80"/>
              <w:left w:type="dxa" w:w="130"/>
              <w:bottom w:type="dxa" w:w="80"/>
              <w:right w:type="dxa" w:w="130"/>
            </w:tcMar>
          </w:tcPr>
          <w:p>
            <w:r>
              <w:rPr>
                <w:sz w:val="19"/>
                <w:szCs w:val="19"/>
              </w:rPr>
              <w:t xml:space="preserve">-26.1%</w:t>
            </w:r>
          </w:p>
        </w:tc>
        <w:tc>
          <w:tcPr>
            <w:tcW w:type="dxa" w:w="2700"/>
            <w:shd w:fill="F5F8FB" w:val="clear"/>
            <w:tcMar>
              <w:top w:type="dxa" w:w="80"/>
              <w:left w:type="dxa" w:w="130"/>
              <w:bottom w:type="dxa" w:w="80"/>
              <w:right w:type="dxa" w:w="130"/>
            </w:tcMar>
          </w:tcPr>
          <w:p>
            <w:r>
              <w:rPr>
                <w:sz w:val="19"/>
                <w:szCs w:val="19"/>
              </w:rPr>
              <w:t xml:space="preserve">Hindenburg report</w:t>
            </w:r>
          </w:p>
        </w:tc>
        <w:tc>
          <w:tcPr>
            <w:tcW w:type="dxa" w:w="1900"/>
            <w:shd w:fill="F5F8FB" w:val="clear"/>
            <w:tcMar>
              <w:top w:type="dxa" w:w="80"/>
              <w:left w:type="dxa" w:w="130"/>
              <w:bottom w:type="dxa" w:w="80"/>
              <w:right w:type="dxa" w:w="130"/>
            </w:tcMar>
          </w:tcPr>
          <w:p>
            <w:r>
              <w:rPr>
                <w:sz w:val="19"/>
                <w:szCs w:val="19"/>
              </w:rPr>
              <w:t xml:space="preserve">KEEP</w:t>
            </w:r>
          </w:p>
        </w:tc>
      </w:tr>
    </w:tbl>
    <w:p>
      <w:pPr>
        <w:spacing w:after="130" w:line="300"/>
      </w:pPr>
      <w:r>
        <w:t xml:space="preserve">A blanket outlier filter would have deleted the Hindenburg crash — one of the exact events this project exists to detect. The threshold sits at 0.50 in log terms, roughly minus 39% to plus 65%, and a test asserts that the Hindenburg move survives cleaning.</w:t>
      </w:r>
    </w:p>
    <w:p>
      <w:pPr>
        <w:spacing w:after="130" w:line="300"/>
      </w:pPr>
      <w:r>
        <w:t xml:space="preserve">Handling mirrors the pre-listing rule: history before the break belongs to a different security and is discarded. Prior prices are deliberately NOT re-adjusted, because the correct factor depends on the demerger ratio, which is not in this data — and inferring it from the price jump would assume exactly what we are trying to detect.</w:t>
      </w:r>
    </w:p>
    <w:p>
      <w:pPr>
        <w:pStyle w:val="Heading2"/>
        <w:spacing w:after="120" w:before="300"/>
      </w:pPr>
      <w:r>
        <w:t xml:space="preserve">3.1 A related finding, documented not fixed</w:t>
      </w:r>
    </w:p>
    <w:p>
      <w:pPr>
        <w:spacing w:after="130" w:line="300"/>
      </w:pPr>
      <w:r>
        <w:t xml:space="preserve">Five unrelated symbols move more than 30% on the same day, 2005-01-03, and three more on 2007-01-02. Unrelated companies do not do that on a January 2nd. These are vendor adjustment-basis splices in the older history.</w:t>
      </w:r>
    </w:p>
    <w:p>
      <w:pPr>
        <w:spacing w:after="130" w:line="300"/>
      </w:pPr>
      <w:r>
        <w:t xml:space="preserve">Both dates fall well before the 2016 training start, so they lie outside every window this project uses. Recorded here because they indicate the older history is stitched from sources with differing adjustment conventions, which is worth knowing if the training window is ever extended backwards.</w:t>
      </w:r>
    </w:p>
    <w:p>
      <w:r>
        <w:br w:type="page"/>
      </w:r>
    </w:p>
    <w:p>
      <w:pPr>
        <w:pStyle w:val="Heading1"/>
        <w:spacing w:after="160" w:before="360"/>
      </w:pPr>
      <w:r>
        <w:t xml:space="preserve">4.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4E79" w:val="clear"/>
            <w:tcMar>
              <w:top w:type="dxa" w:w="90"/>
              <w:left w:type="dxa" w:w="130"/>
              <w:bottom w:type="dxa" w:w="90"/>
              <w:right w:type="dxa" w:w="130"/>
            </w:tcMar>
          </w:tcPr>
          <w:p>
            <w:r>
              <w:rPr>
                <w:b/>
                <w:bCs/>
                <w:color w:val="FFFFFF"/>
                <w:sz w:val="19"/>
                <w:szCs w:val="19"/>
              </w:rPr>
              <w:t xml:space="preserve">Module</w:t>
            </w:r>
          </w:p>
        </w:tc>
        <w:tc>
          <w:tcPr>
            <w:tcW w:type="dxa" w:w="6500"/>
            <w:shd w:fill="1F4E79" w:val="clear"/>
            <w:tcMar>
              <w:top w:type="dxa" w:w="90"/>
              <w:left w:type="dxa" w:w="130"/>
              <w:bottom w:type="dxa" w:w="90"/>
              <w:right w:type="dxa" w:w="130"/>
            </w:tcMar>
          </w:tcPr>
          <w:p>
            <w:r>
              <w:rPr>
                <w:b/>
                <w:bCs/>
                <w:color w:val="FFFFFF"/>
                <w:sz w:val="19"/>
                <w:szCs w:val="19"/>
              </w:rPr>
              <w:t xml:space="preserve">Responsibility</w:t>
            </w:r>
          </w:p>
        </w:tc>
      </w:tr>
      <w:tr>
        <w:tc>
          <w:tcPr>
            <w:tcW w:type="dxa" w:w="2500"/>
            <w:shd w:fill="F5F8FB" w:val="clear"/>
            <w:tcMar>
              <w:top w:type="dxa" w:w="80"/>
              <w:left w:type="dxa" w:w="130"/>
              <w:bottom w:type="dxa" w:w="80"/>
              <w:right w:type="dxa" w:w="130"/>
            </w:tcMar>
          </w:tcPr>
          <w:p>
            <w:r>
              <w:rPr>
                <w:sz w:val="19"/>
                <w:szCs w:val="19"/>
              </w:rPr>
              <w:t xml:space="preserve">config.py</w:t>
            </w:r>
          </w:p>
        </w:tc>
        <w:tc>
          <w:tcPr>
            <w:tcW w:type="dxa" w:w="6500"/>
            <w:shd w:fill="F5F8FB" w:val="clear"/>
            <w:tcMar>
              <w:top w:type="dxa" w:w="80"/>
              <w:left w:type="dxa" w:w="130"/>
              <w:bottom w:type="dxa" w:w="80"/>
              <w:right w:type="dxa" w:w="130"/>
            </w:tcMar>
          </w:tcPr>
          <w:p>
            <w:r>
              <w:rPr>
                <w:sz w:val="19"/>
                <w:szCs w:val="19"/>
              </w:rPr>
              <w:t xml:space="preserve">Every path, date window and threshold, in one place</w:t>
            </w:r>
          </w:p>
        </w:tc>
      </w:tr>
      <w:tr>
        <w:tc>
          <w:tcPr>
            <w:tcW w:type="dxa" w:w="2500"/>
            <w:shd w:fill="FFFFFF" w:val="clear"/>
            <w:tcMar>
              <w:top w:type="dxa" w:w="80"/>
              <w:left w:type="dxa" w:w="130"/>
              <w:bottom w:type="dxa" w:w="80"/>
              <w:right w:type="dxa" w:w="130"/>
            </w:tcMar>
          </w:tcPr>
          <w:p>
            <w:r>
              <w:rPr>
                <w:sz w:val="19"/>
                <w:szCs w:val="19"/>
              </w:rPr>
              <w:t xml:space="preserve">data/loader.py</w:t>
            </w:r>
          </w:p>
        </w:tc>
        <w:tc>
          <w:tcPr>
            <w:tcW w:type="dxa" w:w="6500"/>
            <w:shd w:fill="FFFFFF" w:val="clear"/>
            <w:tcMar>
              <w:top w:type="dxa" w:w="80"/>
              <w:left w:type="dxa" w:w="130"/>
              <w:bottom w:type="dxa" w:w="80"/>
              <w:right w:type="dxa" w:w="130"/>
            </w:tcMar>
          </w:tcPr>
          <w:p>
            <w:r>
              <w:rPr>
                <w:sz w:val="19"/>
                <w:szCs w:val="19"/>
              </w:rPr>
              <w:t xml:space="preserve">Raw CSV to clean frame; one explicit rule per defect</w:t>
            </w:r>
          </w:p>
        </w:tc>
      </w:tr>
      <w:tr>
        <w:tc>
          <w:tcPr>
            <w:tcW w:type="dxa" w:w="2500"/>
            <w:shd w:fill="F5F8FB" w:val="clear"/>
            <w:tcMar>
              <w:top w:type="dxa" w:w="80"/>
              <w:left w:type="dxa" w:w="130"/>
              <w:bottom w:type="dxa" w:w="80"/>
              <w:right w:type="dxa" w:w="130"/>
            </w:tcMar>
          </w:tcPr>
          <w:p>
            <w:r>
              <w:rPr>
                <w:sz w:val="19"/>
                <w:szCs w:val="19"/>
              </w:rPr>
              <w:t xml:space="preserve">data/calendar.py</w:t>
            </w:r>
          </w:p>
        </w:tc>
        <w:tc>
          <w:tcPr>
            <w:tcW w:type="dxa" w:w="6500"/>
            <w:shd w:fill="F5F8FB" w:val="clear"/>
            <w:tcMar>
              <w:top w:type="dxa" w:w="80"/>
              <w:left w:type="dxa" w:w="130"/>
              <w:bottom w:type="dxa" w:w="80"/>
              <w:right w:type="dxa" w:w="130"/>
            </w:tcMar>
          </w:tcPr>
          <w:p>
            <w:r>
              <w:rPr>
                <w:sz w:val="19"/>
                <w:szCs w:val="19"/>
              </w:rPr>
              <w:t xml:space="preserve">Master trading calendar and listing mask</w:t>
            </w:r>
          </w:p>
        </w:tc>
      </w:tr>
      <w:tr>
        <w:tc>
          <w:tcPr>
            <w:tcW w:type="dxa" w:w="2500"/>
            <w:shd w:fill="FFFFFF" w:val="clear"/>
            <w:tcMar>
              <w:top w:type="dxa" w:w="80"/>
              <w:left w:type="dxa" w:w="130"/>
              <w:bottom w:type="dxa" w:w="80"/>
              <w:right w:type="dxa" w:w="130"/>
            </w:tcMar>
          </w:tcPr>
          <w:p>
            <w:r>
              <w:rPr>
                <w:sz w:val="19"/>
                <w:szCs w:val="19"/>
              </w:rPr>
              <w:t xml:space="preserve">data/quality.py</w:t>
            </w:r>
          </w:p>
        </w:tc>
        <w:tc>
          <w:tcPr>
            <w:tcW w:type="dxa" w:w="6500"/>
            <w:shd w:fill="FFFFFF" w:val="clear"/>
            <w:tcMar>
              <w:top w:type="dxa" w:w="80"/>
              <w:left w:type="dxa" w:w="130"/>
              <w:bottom w:type="dxa" w:w="80"/>
              <w:right w:type="dxa" w:w="130"/>
            </w:tcMar>
          </w:tcPr>
          <w:p>
            <w:r>
              <w:rPr>
                <w:sz w:val="19"/>
                <w:szCs w:val="19"/>
              </w:rPr>
              <w:t xml:space="preserve">The audit, encoded as a blocking gate</w:t>
            </w:r>
          </w:p>
        </w:tc>
      </w:tr>
      <w:tr>
        <w:tc>
          <w:tcPr>
            <w:tcW w:type="dxa" w:w="2500"/>
            <w:shd w:fill="F5F8FB" w:val="clear"/>
            <w:tcMar>
              <w:top w:type="dxa" w:w="80"/>
              <w:left w:type="dxa" w:w="130"/>
              <w:bottom w:type="dxa" w:w="80"/>
              <w:right w:type="dxa" w:w="130"/>
            </w:tcMar>
          </w:tcPr>
          <w:p>
            <w:r>
              <w:rPr>
                <w:sz w:val="19"/>
                <w:szCs w:val="19"/>
              </w:rPr>
              <w:t xml:space="preserve">scripts/run_phase1.py</w:t>
            </w:r>
          </w:p>
        </w:tc>
        <w:tc>
          <w:tcPr>
            <w:tcW w:type="dxa" w:w="6500"/>
            <w:shd w:fill="F5F8FB" w:val="clear"/>
            <w:tcMar>
              <w:top w:type="dxa" w:w="80"/>
              <w:left w:type="dxa" w:w="130"/>
              <w:bottom w:type="dxa" w:w="80"/>
              <w:right w:type="dxa" w:w="130"/>
            </w:tcMar>
          </w:tcPr>
          <w:p>
            <w:r>
              <w:rPr>
                <w:sz w:val="19"/>
                <w:szCs w:val="19"/>
              </w:rPr>
              <w:t xml:space="preserve">Entry point: load, validate, persist</w:t>
            </w:r>
          </w:p>
        </w:tc>
      </w:tr>
    </w:tbl>
    <w:p>
      <w:pPr>
        <w:pStyle w:val="Heading2"/>
        <w:spacing w:after="120" w:before="300"/>
      </w:pPr>
      <w:r>
        <w:t xml:space="preserve">4.1 config.py</w:t>
      </w:r>
    </w:p>
    <w:p>
      <w:pPr>
        <w:spacing w:after="130" w:line="300"/>
      </w:pPr>
      <w:r>
        <w:t xml:space="preserve">Every threshold in this project ends up in a result somewhere. If a number lives in three files it will eventually disagree with itself, and a backtest that disagrees with itself is worse than no backtest. Everything tunable lives here and nowhere else.</w:t>
      </w:r>
    </w:p>
    <w:p>
      <w:pPr>
        <w:pStyle w:val="Heading2"/>
        <w:spacing w:after="120" w:before="300"/>
      </w:pPr>
      <w:r>
        <w:t xml:space="preserve">4.2 data/loader.py</w:t>
      </w:r>
    </w:p>
    <w:p>
      <w:pPr>
        <w:spacing w:after="130" w:line="300"/>
      </w:pPr>
      <w:r>
        <w:t xml:space="preserve">One explicit, tested rule per defect. Nothing is repaired by inference or by filling.</w:t>
      </w:r>
    </w:p>
    <w:p>
      <w:pPr>
        <w:spacing w:after="130" w:line="300"/>
      </w:pPr>
      <w:r>
        <w:t xml:space="preserve">Where a symbol has both stitched pre-listing bars and a later restructuring, whichever break is later bounds the usable history.</w:t>
      </w:r>
    </w:p>
    <w:p>
      <w:pPr>
        <w:pStyle w:val="Heading2"/>
        <w:spacing w:after="120" w:before="300"/>
      </w:pPr>
      <w:r>
        <w:t xml:space="preserve">4.3 data/calendar.py</w:t>
      </w:r>
    </w:p>
    <w:p>
      <w:pPr>
        <w:spacing w:after="130" w:line="300"/>
      </w:pPr>
      <w:r>
        <w:t xml:space="preserve">The calendar is taken from the index rather than from a union of all stock dates. A union would inherit every vendor artefact in every file and invent trading sessions that never happened. The index has a bar on every session the exchange was open, which no individual stock guarantees — a stock can be suspended or halted.</w:t>
      </w:r>
    </w:p>
    <w:p>
      <w:pPr>
        <w:spacing w:after="130" w:line="300"/>
      </w:pPr>
      <w:r>
        <w:t xml:space="preserve">The listing mask records when each symbol actually existed. Without it, breadth would count HYUNDAI as not falling in 2016, when in truth it had not yet listed. The denominator has to be companies that existed.</w:t>
      </w:r>
    </w:p>
    <w:p>
      <w:pPr>
        <w:pStyle w:val="Heading2"/>
        <w:spacing w:after="120" w:before="300"/>
      </w:pPr>
      <w:r>
        <w:t xml:space="preserve">4.4 data/quality.py</w:t>
      </w:r>
    </w:p>
    <w:p>
      <w:pPr>
        <w:spacing w:after="130" w:line="300"/>
      </w:pPr>
      <w:r>
        <w:t xml:space="preserve">The audit is not a document, it is a test that runs every time. Data gets refreshed, a vendor changes a format, and six weeks later a backtest is quietly wrong. Encoding the audit as a gate means a regression fails loudly instead of shifting a Sharpe ratio that nobody questions.</w:t>
      </w:r>
    </w:p>
    <w:p>
      <w:r>
        <w:br w:type="page"/>
      </w:r>
    </w:p>
    <w:p>
      <w:pPr>
        <w:pStyle w:val="Heading1"/>
        <w:spacing w:after="160" w:before="360"/>
      </w:pPr>
      <w:r>
        <w:t xml:space="preserve">5. Design decisions</w:t>
      </w:r>
    </w:p>
    <w:p>
      <w:pPr>
        <w:pStyle w:val="Heading2"/>
        <w:spacing w:after="120" w:before="300"/>
      </w:pPr>
      <w:r>
        <w:t xml:space="preserve">5.1 Gaps are never forward-filled</w:t>
      </w:r>
    </w:p>
    <w:p>
      <w:pPr>
        <w:spacing w:after="130" w:line="300"/>
      </w:pPr>
      <w:r>
        <w:t xml:space="preserve">Where a stock has no bar, the value stays missing. Carrying the last price forward is the conventional move and it is wrong here.</w:t>
      </w:r>
    </w:p>
    <w:p>
      <w:pPr>
        <w:spacing w:after="130" w:line="300"/>
      </w:pPr>
      <w:r>
        <w:t xml:space="preserve">A forward-filled price manufactures a return of exactly zero. A run of zero returns reads to the model as a stretch of unnatural calm, and biases every volatility estimate downward — which matters enormously, since volatility is the denominator that normalises slope and acceleration.</w:t>
      </w:r>
    </w:p>
    <w:p>
      <w:pPr>
        <w:spacing w:after="130" w:line="300"/>
      </w:pPr>
      <w:r>
        <w:t xml:space="preserve">Measured on the current panel: 0.53% of daily returns are exactly zero. Forward-filling would inflate that substantially, and nothing in the output would look wrong.</w:t>
      </w:r>
    </w:p>
    <w:p>
      <w:pPr>
        <w:pStyle w:val="Heading2"/>
        <w:spacing w:after="120" w:before="300"/>
      </w:pPr>
      <w:r>
        <w:t xml:space="preserve">5.2 Flag, do not drop</w:t>
      </w:r>
    </w:p>
    <w:p>
      <w:pPr>
        <w:spacing w:after="130" w:line="300"/>
      </w:pPr>
      <w:r>
        <w:t xml:space="preserve">Bad bars are marked, not deleted, for the reason given under defect 3: deleting a row silently changes the meaning of every rolling window that spans it. A flagged row keeps the calendar honest and forces downstream code to make an explicit decision.</w:t>
      </w:r>
    </w:p>
    <w:p>
      <w:pPr>
        <w:pStyle w:val="Heading2"/>
        <w:spacing w:after="120" w:before="300"/>
      </w:pPr>
      <w:r>
        <w:t xml:space="preserve">5.3 Errors block, warnings inform</w:t>
      </w:r>
    </w:p>
    <w:p>
      <w:pPr>
        <w:spacing w:after="130" w:line="300"/>
      </w:pPr>
      <w:r>
        <w:t xml:space="preserve">The gate distinguishes conditions that make the data unusable from conditions that are known and tolerated. Ten checks are ERROR level and stop the pipeline. Three are WARN level: they are recorded in the audit trail and allowed through.</w:t>
      </w:r>
    </w:p>
    <w:p>
      <w:pPr>
        <w:pStyle w:val="Heading2"/>
        <w:spacing w:after="120" w:before="300"/>
      </w:pPr>
      <w:r>
        <w:t xml:space="preserve">5.4 Validate against reality, not against yourself</w:t>
      </w:r>
    </w:p>
    <w:p>
      <w:pPr>
        <w:spacing w:after="130" w:line="300"/>
      </w:pPr>
      <w:r>
        <w:t xml:space="preserve">The listing-date and corporate-action rules are both checked against externally sourced facts — NSE listing dates, known demerger dates. A test that compares code output to code output proves only that the code is consistent, which it always is.</w:t>
      </w:r>
    </w:p>
    <w:p>
      <w:pPr>
        <w:spacing w:after="130" w:line="300"/>
      </w:pPr>
      <w:r>
        <w:t xml:space="preserve">This is also how defect 6 was found: unit tests all passed, and the defect only appeared when the cleaned output was compared against what the market actually did.</w:t>
      </w:r>
    </w:p>
    <w:p>
      <w:r>
        <w:br w:type="page"/>
      </w:r>
    </w:p>
    <w:p>
      <w:pPr>
        <w:pStyle w:val="Heading1"/>
        <w:spacing w:after="160" w:before="360"/>
      </w:pPr>
      <w:r>
        <w:t xml:space="preserve">6. Quality gate reference</w:t>
      </w:r>
    </w:p>
    <w:p>
      <w:pPr>
        <w:pStyle w:val="Heading2"/>
        <w:spacing w:after="120" w:before="300"/>
      </w:pPr>
      <w:r>
        <w:t xml:space="preserve">6.1 Blocking checks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4E79" w:val="clear"/>
            <w:tcMar>
              <w:top w:type="dxa" w:w="90"/>
              <w:left w:type="dxa" w:w="130"/>
              <w:bottom w:type="dxa" w:w="90"/>
              <w:right w:type="dxa" w:w="130"/>
            </w:tcMar>
          </w:tcPr>
          <w:p>
            <w:r>
              <w:rPr>
                <w:b/>
                <w:bCs/>
                <w:color w:val="FFFFFF"/>
                <w:sz w:val="19"/>
                <w:szCs w:val="19"/>
              </w:rPr>
              <w:t xml:space="preserve">Check</w:t>
            </w:r>
          </w:p>
        </w:tc>
        <w:tc>
          <w:tcPr>
            <w:tcW w:type="dxa" w:w="5400"/>
            <w:shd w:fill="1F4E79" w:val="clear"/>
            <w:tcMar>
              <w:top w:type="dxa" w:w="90"/>
              <w:left w:type="dxa" w:w="130"/>
              <w:bottom w:type="dxa" w:w="90"/>
              <w:right w:type="dxa" w:w="130"/>
            </w:tcMar>
          </w:tcPr>
          <w:p>
            <w:r>
              <w:rPr>
                <w:b/>
                <w:bCs/>
                <w:color w:val="FFFFFF"/>
                <w:sz w:val="19"/>
                <w:szCs w:val="19"/>
              </w:rPr>
              <w:t xml:space="preserve">Asserts</w:t>
            </w:r>
          </w:p>
        </w:tc>
      </w:tr>
      <w:tr>
        <w:tc>
          <w:tcPr>
            <w:tcW w:type="dxa" w:w="3600"/>
            <w:shd w:fill="F5F8FB" w:val="clear"/>
            <w:tcMar>
              <w:top w:type="dxa" w:w="80"/>
              <w:left w:type="dxa" w:w="130"/>
              <w:bottom w:type="dxa" w:w="80"/>
              <w:right w:type="dxa" w:w="130"/>
            </w:tcMar>
          </w:tcPr>
          <w:p>
            <w:r>
              <w:rPr>
                <w:sz w:val="19"/>
                <w:szCs w:val="19"/>
              </w:rPr>
              <w:t xml:space="preserve">universe_size</w:t>
            </w:r>
          </w:p>
        </w:tc>
        <w:tc>
          <w:tcPr>
            <w:tcW w:type="dxa" w:w="5400"/>
            <w:shd w:fill="F5F8FB" w:val="clear"/>
            <w:tcMar>
              <w:top w:type="dxa" w:w="80"/>
              <w:left w:type="dxa" w:w="130"/>
              <w:bottom w:type="dxa" w:w="80"/>
              <w:right w:type="dxa" w:w="130"/>
            </w:tcMar>
          </w:tcPr>
          <w:p>
            <w:r>
              <w:rPr>
                <w:sz w:val="19"/>
                <w:szCs w:val="19"/>
              </w:rPr>
              <w:t xml:space="preserve">At least 80 usable symbols loaded</w:t>
            </w:r>
          </w:p>
        </w:tc>
      </w:tr>
      <w:tr>
        <w:tc>
          <w:tcPr>
            <w:tcW w:type="dxa" w:w="3600"/>
            <w:shd w:fill="FFFFFF" w:val="clear"/>
            <w:tcMar>
              <w:top w:type="dxa" w:w="80"/>
              <w:left w:type="dxa" w:w="130"/>
              <w:bottom w:type="dxa" w:w="80"/>
              <w:right w:type="dxa" w:w="130"/>
            </w:tcMar>
          </w:tcPr>
          <w:p>
            <w:r>
              <w:rPr>
                <w:sz w:val="19"/>
                <w:szCs w:val="19"/>
              </w:rPr>
              <w:t xml:space="preserve">calendar_nonempty</w:t>
            </w:r>
          </w:p>
        </w:tc>
        <w:tc>
          <w:tcPr>
            <w:tcW w:type="dxa" w:w="5400"/>
            <w:shd w:fill="FFFFFF" w:val="clear"/>
            <w:tcMar>
              <w:top w:type="dxa" w:w="80"/>
              <w:left w:type="dxa" w:w="130"/>
              <w:bottom w:type="dxa" w:w="80"/>
              <w:right w:type="dxa" w:w="130"/>
            </w:tcMar>
          </w:tcPr>
          <w:p>
            <w:r>
              <w:rPr>
                <w:sz w:val="19"/>
                <w:szCs w:val="19"/>
              </w:rPr>
              <w:t xml:space="preserve">More than 1,000 trading days in the master calendar</w:t>
            </w:r>
          </w:p>
        </w:tc>
      </w:tr>
      <w:tr>
        <w:tc>
          <w:tcPr>
            <w:tcW w:type="dxa" w:w="3600"/>
            <w:shd w:fill="F5F8FB" w:val="clear"/>
            <w:tcMar>
              <w:top w:type="dxa" w:w="80"/>
              <w:left w:type="dxa" w:w="130"/>
              <w:bottom w:type="dxa" w:w="80"/>
              <w:right w:type="dxa" w:w="130"/>
            </w:tcMar>
          </w:tcPr>
          <w:p>
            <w:r>
              <w:rPr>
                <w:sz w:val="19"/>
                <w:szCs w:val="19"/>
              </w:rPr>
              <w:t xml:space="preserve">no_residual_gaps</w:t>
            </w:r>
          </w:p>
        </w:tc>
        <w:tc>
          <w:tcPr>
            <w:tcW w:type="dxa" w:w="5400"/>
            <w:shd w:fill="F5F8FB" w:val="clear"/>
            <w:tcMar>
              <w:top w:type="dxa" w:w="80"/>
              <w:left w:type="dxa" w:w="130"/>
              <w:bottom w:type="dxa" w:w="80"/>
              <w:right w:type="dxa" w:w="130"/>
            </w:tcMar>
          </w:tcPr>
          <w:p>
            <w:r>
              <w:rPr>
                <w:sz w:val="19"/>
                <w:szCs w:val="19"/>
              </w:rPr>
              <w:t xml:space="preserve">No calendar gaps remain after truncation</w:t>
            </w:r>
          </w:p>
        </w:tc>
      </w:tr>
      <w:tr>
        <w:tc>
          <w:tcPr>
            <w:tcW w:type="dxa" w:w="3600"/>
            <w:shd w:fill="FFFFFF" w:val="clear"/>
            <w:tcMar>
              <w:top w:type="dxa" w:w="80"/>
              <w:left w:type="dxa" w:w="130"/>
              <w:bottom w:type="dxa" w:w="80"/>
              <w:right w:type="dxa" w:w="130"/>
            </w:tcMar>
          </w:tcPr>
          <w:p>
            <w:r>
              <w:rPr>
                <w:sz w:val="19"/>
                <w:szCs w:val="19"/>
              </w:rPr>
              <w:t xml:space="preserve">dates_sorted</w:t>
            </w:r>
          </w:p>
        </w:tc>
        <w:tc>
          <w:tcPr>
            <w:tcW w:type="dxa" w:w="5400"/>
            <w:shd w:fill="FFFFFF" w:val="clear"/>
            <w:tcMar>
              <w:top w:type="dxa" w:w="80"/>
              <w:left w:type="dxa" w:w="130"/>
              <w:bottom w:type="dxa" w:w="80"/>
              <w:right w:type="dxa" w:w="130"/>
            </w:tcMar>
          </w:tcPr>
          <w:p>
            <w:r>
              <w:rPr>
                <w:sz w:val="19"/>
                <w:szCs w:val="19"/>
              </w:rPr>
              <w:t xml:space="preserve">Every symbol index is monotonically increasing</w:t>
            </w:r>
          </w:p>
        </w:tc>
      </w:tr>
      <w:tr>
        <w:tc>
          <w:tcPr>
            <w:tcW w:type="dxa" w:w="3600"/>
            <w:shd w:fill="F5F8FB" w:val="clear"/>
            <w:tcMar>
              <w:top w:type="dxa" w:w="80"/>
              <w:left w:type="dxa" w:w="130"/>
              <w:bottom w:type="dxa" w:w="80"/>
              <w:right w:type="dxa" w:w="130"/>
            </w:tcMar>
          </w:tcPr>
          <w:p>
            <w:r>
              <w:rPr>
                <w:sz w:val="19"/>
                <w:szCs w:val="19"/>
              </w:rPr>
              <w:t xml:space="preserve">dates_unique</w:t>
            </w:r>
          </w:p>
        </w:tc>
        <w:tc>
          <w:tcPr>
            <w:tcW w:type="dxa" w:w="5400"/>
            <w:shd w:fill="F5F8FB" w:val="clear"/>
            <w:tcMar>
              <w:top w:type="dxa" w:w="80"/>
              <w:left w:type="dxa" w:w="130"/>
              <w:bottom w:type="dxa" w:w="80"/>
              <w:right w:type="dxa" w:w="130"/>
            </w:tcMar>
          </w:tcPr>
          <w:p>
            <w:r>
              <w:rPr>
                <w:sz w:val="19"/>
                <w:szCs w:val="19"/>
              </w:rPr>
              <w:t xml:space="preserve">No duplicate dates</w:t>
            </w:r>
          </w:p>
        </w:tc>
      </w:tr>
      <w:tr>
        <w:tc>
          <w:tcPr>
            <w:tcW w:type="dxa" w:w="3600"/>
            <w:shd w:fill="FFFFFF" w:val="clear"/>
            <w:tcMar>
              <w:top w:type="dxa" w:w="80"/>
              <w:left w:type="dxa" w:w="130"/>
              <w:bottom w:type="dxa" w:w="80"/>
              <w:right w:type="dxa" w:w="130"/>
            </w:tcMar>
          </w:tcPr>
          <w:p>
            <w:r>
              <w:rPr>
                <w:sz w:val="19"/>
                <w:szCs w:val="19"/>
              </w:rPr>
              <w:t xml:space="preserve">prices_positive</w:t>
            </w:r>
          </w:p>
        </w:tc>
        <w:tc>
          <w:tcPr>
            <w:tcW w:type="dxa" w:w="5400"/>
            <w:shd w:fill="FFFFFF" w:val="clear"/>
            <w:tcMar>
              <w:top w:type="dxa" w:w="80"/>
              <w:left w:type="dxa" w:w="130"/>
              <w:bottom w:type="dxa" w:w="80"/>
              <w:right w:type="dxa" w:w="130"/>
            </w:tcMar>
          </w:tcPr>
          <w:p>
            <w:r>
              <w:rPr>
                <w:sz w:val="19"/>
                <w:szCs w:val="19"/>
              </w:rPr>
              <w:t xml:space="preserve">All closes greater than zero</w:t>
            </w:r>
          </w:p>
        </w:tc>
      </w:tr>
      <w:tr>
        <w:tc>
          <w:tcPr>
            <w:tcW w:type="dxa" w:w="3600"/>
            <w:shd w:fill="F5F8FB" w:val="clear"/>
            <w:tcMar>
              <w:top w:type="dxa" w:w="80"/>
              <w:left w:type="dxa" w:w="130"/>
              <w:bottom w:type="dxa" w:w="80"/>
              <w:right w:type="dxa" w:w="130"/>
            </w:tcMar>
          </w:tcPr>
          <w:p>
            <w:r>
              <w:rPr>
                <w:sz w:val="19"/>
                <w:szCs w:val="19"/>
              </w:rPr>
              <w:t xml:space="preserve">ohlc_consistent</w:t>
            </w:r>
          </w:p>
        </w:tc>
        <w:tc>
          <w:tcPr>
            <w:tcW w:type="dxa" w:w="5400"/>
            <w:shd w:fill="F5F8FB" w:val="clear"/>
            <w:tcMar>
              <w:top w:type="dxa" w:w="80"/>
              <w:left w:type="dxa" w:w="130"/>
              <w:bottom w:type="dxa" w:w="80"/>
              <w:right w:type="dxa" w:w="130"/>
            </w:tcMar>
          </w:tcPr>
          <w:p>
            <w:r>
              <w:rPr>
                <w:sz w:val="19"/>
                <w:szCs w:val="19"/>
              </w:rPr>
              <w:t xml:space="preserve">High and low bracket open and close on every bar</w:t>
            </w:r>
          </w:p>
        </w:tc>
      </w:tr>
      <w:tr>
        <w:tc>
          <w:tcPr>
            <w:tcW w:type="dxa" w:w="3600"/>
            <w:shd w:fill="FFFFFF" w:val="clear"/>
            <w:tcMar>
              <w:top w:type="dxa" w:w="80"/>
              <w:left w:type="dxa" w:w="130"/>
              <w:bottom w:type="dxa" w:w="80"/>
              <w:right w:type="dxa" w:w="130"/>
            </w:tcMar>
          </w:tcPr>
          <w:p>
            <w:r>
              <w:rPr>
                <w:sz w:val="19"/>
                <w:szCs w:val="19"/>
              </w:rPr>
              <w:t xml:space="preserve">no_unadjusted_corporate_actions</w:t>
            </w:r>
          </w:p>
        </w:tc>
        <w:tc>
          <w:tcPr>
            <w:tcW w:type="dxa" w:w="5400"/>
            <w:shd w:fill="FFFFFF" w:val="clear"/>
            <w:tcMar>
              <w:top w:type="dxa" w:w="80"/>
              <w:left w:type="dxa" w:w="130"/>
              <w:bottom w:type="dxa" w:w="80"/>
              <w:right w:type="dxa" w:w="130"/>
            </w:tcMar>
          </w:tcPr>
          <w:p>
            <w:r>
              <w:rPr>
                <w:sz w:val="19"/>
                <w:szCs w:val="19"/>
              </w:rPr>
              <w:t xml:space="preserve">No daily move beyond the log-return limit</w:t>
            </w:r>
          </w:p>
        </w:tc>
      </w:tr>
      <w:tr>
        <w:tc>
          <w:tcPr>
            <w:tcW w:type="dxa" w:w="3600"/>
            <w:shd w:fill="F5F8FB" w:val="clear"/>
            <w:tcMar>
              <w:top w:type="dxa" w:w="80"/>
              <w:left w:type="dxa" w:w="130"/>
              <w:bottom w:type="dxa" w:w="80"/>
              <w:right w:type="dxa" w:w="130"/>
            </w:tcMar>
          </w:tcPr>
          <w:p>
            <w:r>
              <w:rPr>
                <w:sz w:val="19"/>
                <w:szCs w:val="19"/>
              </w:rPr>
              <w:t xml:space="preserve">end_dates_aligned</w:t>
            </w:r>
          </w:p>
        </w:tc>
        <w:tc>
          <w:tcPr>
            <w:tcW w:type="dxa" w:w="5400"/>
            <w:shd w:fill="F5F8FB" w:val="clear"/>
            <w:tcMar>
              <w:top w:type="dxa" w:w="80"/>
              <w:left w:type="dxa" w:w="130"/>
              <w:bottom w:type="dxa" w:w="80"/>
              <w:right w:type="dxa" w:w="130"/>
            </w:tcMar>
          </w:tcPr>
          <w:p>
            <w:r>
              <w:rPr>
                <w:sz w:val="19"/>
                <w:szCs w:val="19"/>
              </w:rPr>
              <w:t xml:space="preserve">Last-bar dates span no more than 7 days</w:t>
            </w:r>
          </w:p>
        </w:tc>
      </w:tr>
      <w:tr>
        <w:tc>
          <w:tcPr>
            <w:tcW w:type="dxa" w:w="3600"/>
            <w:shd w:fill="FFFFFF" w:val="clear"/>
            <w:tcMar>
              <w:top w:type="dxa" w:w="80"/>
              <w:left w:type="dxa" w:w="130"/>
              <w:bottom w:type="dxa" w:w="80"/>
              <w:right w:type="dxa" w:w="130"/>
            </w:tcMar>
          </w:tcPr>
          <w:p>
            <w:r>
              <w:rPr>
                <w:sz w:val="19"/>
                <w:szCs w:val="19"/>
              </w:rPr>
              <w:t xml:space="preserve">train_window_coverage</w:t>
            </w:r>
          </w:p>
        </w:tc>
        <w:tc>
          <w:tcPr>
            <w:tcW w:type="dxa" w:w="5400"/>
            <w:shd w:fill="FFFFFF" w:val="clear"/>
            <w:tcMar>
              <w:top w:type="dxa" w:w="80"/>
              <w:left w:type="dxa" w:w="130"/>
              <w:bottom w:type="dxa" w:w="80"/>
              <w:right w:type="dxa" w:w="130"/>
            </w:tcMar>
          </w:tcPr>
          <w:p>
            <w:r>
              <w:rPr>
                <w:sz w:val="19"/>
                <w:szCs w:val="19"/>
              </w:rPr>
              <w:t xml:space="preserve">At least 80 symbols have history at the training start</w:t>
            </w:r>
          </w:p>
        </w:tc>
      </w:tr>
    </w:tbl>
    <w:p>
      <w:pPr>
        <w:pStyle w:val="Heading2"/>
        <w:spacing w:after="120" w:before="300"/>
      </w:pPr>
      <w:r>
        <w:t xml:space="preserve">6.2 Advisory checks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4E79" w:val="clear"/>
            <w:tcMar>
              <w:top w:type="dxa" w:w="90"/>
              <w:left w:type="dxa" w:w="130"/>
              <w:bottom w:type="dxa" w:w="90"/>
              <w:right w:type="dxa" w:w="130"/>
            </w:tcMar>
          </w:tcPr>
          <w:p>
            <w:r>
              <w:rPr>
                <w:b/>
                <w:bCs/>
                <w:color w:val="FFFFFF"/>
                <w:sz w:val="19"/>
                <w:szCs w:val="19"/>
              </w:rPr>
              <w:t xml:space="preserve">Check</w:t>
            </w:r>
          </w:p>
        </w:tc>
        <w:tc>
          <w:tcPr>
            <w:tcW w:type="dxa" w:w="5400"/>
            <w:shd w:fill="1F4E79" w:val="clear"/>
            <w:tcMar>
              <w:top w:type="dxa" w:w="90"/>
              <w:left w:type="dxa" w:w="130"/>
              <w:bottom w:type="dxa" w:w="90"/>
              <w:right w:type="dxa" w:w="130"/>
            </w:tcMar>
          </w:tcPr>
          <w:p>
            <w:r>
              <w:rPr>
                <w:b/>
                <w:bCs/>
                <w:color w:val="FFFFFF"/>
                <w:sz w:val="19"/>
                <w:szCs w:val="19"/>
              </w:rPr>
              <w:t xml:space="preserve">Reports</w:t>
            </w:r>
          </w:p>
        </w:tc>
      </w:tr>
      <w:tr>
        <w:tc>
          <w:tcPr>
            <w:tcW w:type="dxa" w:w="3600"/>
            <w:shd w:fill="F5F8FB" w:val="clear"/>
            <w:tcMar>
              <w:top w:type="dxa" w:w="80"/>
              <w:left w:type="dxa" w:w="130"/>
              <w:bottom w:type="dxa" w:w="80"/>
              <w:right w:type="dxa" w:w="130"/>
            </w:tcMar>
          </w:tcPr>
          <w:p>
            <w:r>
              <w:rPr>
                <w:sz w:val="19"/>
                <w:szCs w:val="19"/>
              </w:rPr>
              <w:t xml:space="preserve">flat_bar_burden</w:t>
            </w:r>
          </w:p>
        </w:tc>
        <w:tc>
          <w:tcPr>
            <w:tcW w:type="dxa" w:w="5400"/>
            <w:shd w:fill="F5F8FB" w:val="clear"/>
            <w:tcMar>
              <w:top w:type="dxa" w:w="80"/>
              <w:left w:type="dxa" w:w="130"/>
              <w:bottom w:type="dxa" w:w="80"/>
              <w:right w:type="dxa" w:w="130"/>
            </w:tcMar>
          </w:tcPr>
          <w:p>
            <w:r>
              <w:rPr>
                <w:sz w:val="19"/>
                <w:szCs w:val="19"/>
              </w:rPr>
              <w:t xml:space="preserve">Symbols exceeding 10% zero-range bars</w:t>
            </w:r>
          </w:p>
        </w:tc>
      </w:tr>
      <w:tr>
        <w:tc>
          <w:tcPr>
            <w:tcW w:type="dxa" w:w="3600"/>
            <w:shd w:fill="FFFFFF" w:val="clear"/>
            <w:tcMar>
              <w:top w:type="dxa" w:w="80"/>
              <w:left w:type="dxa" w:w="130"/>
              <w:bottom w:type="dxa" w:w="80"/>
              <w:right w:type="dxa" w:w="130"/>
            </w:tcMar>
          </w:tcPr>
          <w:p>
            <w:r>
              <w:rPr>
                <w:sz w:val="19"/>
                <w:szCs w:val="19"/>
              </w:rPr>
              <w:t xml:space="preserve">prelisting_truncation</w:t>
            </w:r>
          </w:p>
        </w:tc>
        <w:tc>
          <w:tcPr>
            <w:tcW w:type="dxa" w:w="5400"/>
            <w:shd w:fill="FFFFFF" w:val="clear"/>
            <w:tcMar>
              <w:top w:type="dxa" w:w="80"/>
              <w:left w:type="dxa" w:w="130"/>
              <w:bottom w:type="dxa" w:w="80"/>
              <w:right w:type="dxa" w:w="130"/>
            </w:tcMar>
          </w:tcPr>
          <w:p>
            <w:r>
              <w:rPr>
                <w:sz w:val="19"/>
                <w:szCs w:val="19"/>
              </w:rPr>
              <w:t xml:space="preserve">Symbols whose history was truncated, and by how much</w:t>
            </w:r>
          </w:p>
        </w:tc>
      </w:tr>
      <w:tr>
        <w:tc>
          <w:tcPr>
            <w:tcW w:type="dxa" w:w="3600"/>
            <w:shd w:fill="F5F8FB" w:val="clear"/>
            <w:tcMar>
              <w:top w:type="dxa" w:w="80"/>
              <w:left w:type="dxa" w:w="130"/>
              <w:bottom w:type="dxa" w:w="80"/>
              <w:right w:type="dxa" w:w="130"/>
            </w:tcMar>
          </w:tcPr>
          <w:p>
            <w:r>
              <w:rPr>
                <w:sz w:val="19"/>
                <w:szCs w:val="19"/>
              </w:rPr>
              <w:t xml:space="preserve">symbols_dropped</w:t>
            </w:r>
          </w:p>
        </w:tc>
        <w:tc>
          <w:tcPr>
            <w:tcW w:type="dxa" w:w="5400"/>
            <w:shd w:fill="F5F8FB" w:val="clear"/>
            <w:tcMar>
              <w:top w:type="dxa" w:w="80"/>
              <w:left w:type="dxa" w:w="130"/>
              <w:bottom w:type="dxa" w:w="80"/>
              <w:right w:type="dxa" w:w="130"/>
            </w:tcMar>
          </w:tcPr>
          <w:p>
            <w:r>
              <w:rPr>
                <w:sz w:val="19"/>
                <w:szCs w:val="19"/>
              </w:rPr>
              <w:t xml:space="preserve">Symbols excluded for insufficient history</w:t>
            </w:r>
          </w:p>
        </w:tc>
      </w:tr>
    </w:tbl>
    <w:p>
      <w:r>
        <w:br w:type="page"/>
      </w:r>
    </w:p>
    <w:p>
      <w:pPr>
        <w:pStyle w:val="Heading1"/>
        <w:spacing w:after="160" w:before="360"/>
      </w:pPr>
      <w:r>
        <w:t xml:space="preserve">7. Test coverage</w:t>
      </w:r>
    </w:p>
    <w:p>
      <w:pPr>
        <w:spacing w:after="130" w:line="300"/>
      </w:pPr>
      <w:r>
        <w:t xml:space="preserve">53 tests. What matters is not the count but what each one proves.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90"/>
              <w:left w:type="dxa" w:w="130"/>
              <w:bottom w:type="dxa" w:w="90"/>
              <w:right w:type="dxa" w:w="130"/>
            </w:tcMar>
          </w:tcPr>
          <w:p>
            <w:r>
              <w:rPr>
                <w:b/>
                <w:bCs/>
                <w:color w:val="FFFFFF"/>
                <w:sz w:val="19"/>
                <w:szCs w:val="19"/>
              </w:rPr>
              <w:t xml:space="preserve">Group</w:t>
            </w:r>
          </w:p>
        </w:tc>
        <w:tc>
          <w:tcPr>
            <w:tcW w:type="dxa" w:w="5800"/>
            <w:shd w:fill="1F4E79" w:val="clear"/>
            <w:tcMar>
              <w:top w:type="dxa" w:w="90"/>
              <w:left w:type="dxa" w:w="130"/>
              <w:bottom w:type="dxa" w:w="90"/>
              <w:right w:type="dxa" w:w="130"/>
            </w:tcMar>
          </w:tcPr>
          <w:p>
            <w:r>
              <w:rPr>
                <w:b/>
                <w:bCs/>
                <w:color w:val="FFFFFF"/>
                <w:sz w:val="19"/>
                <w:szCs w:val="19"/>
              </w:rPr>
              <w:t xml:space="preserve">Proves</w:t>
            </w:r>
          </w:p>
        </w:tc>
      </w:tr>
      <w:tr>
        <w:tc>
          <w:tcPr>
            <w:tcW w:type="dxa" w:w="3200"/>
            <w:shd w:fill="F5F8FB" w:val="clear"/>
            <w:tcMar>
              <w:top w:type="dxa" w:w="80"/>
              <w:left w:type="dxa" w:w="130"/>
              <w:bottom w:type="dxa" w:w="80"/>
              <w:right w:type="dxa" w:w="130"/>
            </w:tcMar>
          </w:tcPr>
          <w:p>
            <w:r>
              <w:rPr>
                <w:sz w:val="19"/>
                <w:szCs w:val="19"/>
              </w:rPr>
              <w:t xml:space="preserve">Listing-date recovery</w:t>
            </w:r>
          </w:p>
        </w:tc>
        <w:tc>
          <w:tcPr>
            <w:tcW w:type="dxa" w:w="5800"/>
            <w:shd w:fill="F5F8FB" w:val="clear"/>
            <w:tcMar>
              <w:top w:type="dxa" w:w="80"/>
              <w:left w:type="dxa" w:w="130"/>
              <w:bottom w:type="dxa" w:w="80"/>
              <w:right w:type="dxa" w:w="130"/>
            </w:tcMar>
          </w:tcPr>
          <w:p>
            <w:r>
              <w:rPr>
                <w:sz w:val="19"/>
                <w:szCs w:val="19"/>
              </w:rPr>
              <w:t xml:space="preserve">The gap rule reproduces four real NSE listing dates exactly</w:t>
            </w:r>
          </w:p>
        </w:tc>
      </w:tr>
      <w:tr>
        <w:tc>
          <w:tcPr>
            <w:tcW w:type="dxa" w:w="3200"/>
            <w:shd w:fill="FFFFFF" w:val="clear"/>
            <w:tcMar>
              <w:top w:type="dxa" w:w="80"/>
              <w:left w:type="dxa" w:w="130"/>
              <w:bottom w:type="dxa" w:w="80"/>
              <w:right w:type="dxa" w:w="130"/>
            </w:tcMar>
          </w:tcPr>
          <w:p>
            <w:r>
              <w:rPr>
                <w:sz w:val="19"/>
                <w:szCs w:val="19"/>
              </w:rPr>
              <w:t xml:space="preserve">Corporate-action truncation</w:t>
            </w:r>
          </w:p>
        </w:tc>
        <w:tc>
          <w:tcPr>
            <w:tcW w:type="dxa" w:w="5800"/>
            <w:shd w:fill="FFFFFF" w:val="clear"/>
            <w:tcMar>
              <w:top w:type="dxa" w:w="80"/>
              <w:left w:type="dxa" w:w="130"/>
              <w:bottom w:type="dxa" w:w="80"/>
              <w:right w:type="dxa" w:w="130"/>
            </w:tcMar>
          </w:tcPr>
          <w:p>
            <w:r>
              <w:rPr>
                <w:sz w:val="19"/>
                <w:szCs w:val="19"/>
              </w:rPr>
              <w:t xml:space="preserve">CGPOWER and ADANIENT truncate at their true demerger dates</w:t>
            </w:r>
          </w:p>
        </w:tc>
      </w:tr>
      <w:tr>
        <w:tc>
          <w:tcPr>
            <w:tcW w:type="dxa" w:w="3200"/>
            <w:shd w:fill="F5F8FB" w:val="clear"/>
            <w:tcMar>
              <w:top w:type="dxa" w:w="80"/>
              <w:left w:type="dxa" w:w="130"/>
              <w:bottom w:type="dxa" w:w="80"/>
              <w:right w:type="dxa" w:w="130"/>
            </w:tcMar>
          </w:tcPr>
          <w:p>
            <w:r>
              <w:rPr>
                <w:sz w:val="19"/>
                <w:szCs w:val="19"/>
              </w:rPr>
              <w:t xml:space="preserve">Real crashes survive</w:t>
            </w:r>
          </w:p>
        </w:tc>
        <w:tc>
          <w:tcPr>
            <w:tcW w:type="dxa" w:w="5800"/>
            <w:shd w:fill="F5F8FB" w:val="clear"/>
            <w:tcMar>
              <w:top w:type="dxa" w:w="80"/>
              <w:left w:type="dxa" w:w="130"/>
              <w:bottom w:type="dxa" w:w="80"/>
              <w:right w:type="dxa" w:w="130"/>
            </w:tcMar>
          </w:tcPr>
          <w:p>
            <w:r>
              <w:rPr>
                <w:sz w:val="19"/>
                <w:szCs w:val="19"/>
              </w:rPr>
              <w:t xml:space="preserve">Hindenburg and TRENT are not mistaken for artefacts</w:t>
            </w:r>
          </w:p>
        </w:tc>
      </w:tr>
      <w:tr>
        <w:tc>
          <w:tcPr>
            <w:tcW w:type="dxa" w:w="3200"/>
            <w:shd w:fill="FFFFFF" w:val="clear"/>
            <w:tcMar>
              <w:top w:type="dxa" w:w="80"/>
              <w:left w:type="dxa" w:w="130"/>
              <w:bottom w:type="dxa" w:w="80"/>
              <w:right w:type="dxa" w:w="130"/>
            </w:tcMar>
          </w:tcPr>
          <w:p>
            <w:r>
              <w:rPr>
                <w:sz w:val="19"/>
                <w:szCs w:val="19"/>
              </w:rPr>
              <w:t xml:space="preserve">No extreme returns remain</w:t>
            </w:r>
          </w:p>
        </w:tc>
        <w:tc>
          <w:tcPr>
            <w:tcW w:type="dxa" w:w="5800"/>
            <w:shd w:fill="FFFFFF" w:val="clear"/>
            <w:tcMar>
              <w:top w:type="dxa" w:w="80"/>
              <w:left w:type="dxa" w:w="130"/>
              <w:bottom w:type="dxa" w:w="80"/>
              <w:right w:type="dxa" w:w="130"/>
            </w:tcMar>
          </w:tcPr>
          <w:p>
            <w:r>
              <w:rPr>
                <w:sz w:val="19"/>
                <w:szCs w:val="19"/>
              </w:rPr>
              <w:t xml:space="preserve">No symbol retains an implausible daily move after cleaning</w:t>
            </w:r>
          </w:p>
        </w:tc>
      </w:tr>
      <w:tr>
        <w:tc>
          <w:tcPr>
            <w:tcW w:type="dxa" w:w="3200"/>
            <w:shd w:fill="F5F8FB" w:val="clear"/>
            <w:tcMar>
              <w:top w:type="dxa" w:w="80"/>
              <w:left w:type="dxa" w:w="130"/>
              <w:bottom w:type="dxa" w:w="80"/>
              <w:right w:type="dxa" w:w="130"/>
            </w:tcMar>
          </w:tcPr>
          <w:p>
            <w:r>
              <w:rPr>
                <w:sz w:val="19"/>
                <w:szCs w:val="19"/>
              </w:rPr>
              <w:t xml:space="preserve">Flag not drop</w:t>
            </w:r>
          </w:p>
        </w:tc>
        <w:tc>
          <w:tcPr>
            <w:tcW w:type="dxa" w:w="5800"/>
            <w:shd w:fill="F5F8FB" w:val="clear"/>
            <w:tcMar>
              <w:top w:type="dxa" w:w="80"/>
              <w:left w:type="dxa" w:w="130"/>
              <w:bottom w:type="dxa" w:w="80"/>
              <w:right w:type="dxa" w:w="130"/>
            </w:tcMar>
          </w:tcPr>
          <w:p>
            <w:r>
              <w:rPr>
                <w:sz w:val="19"/>
                <w:szCs w:val="19"/>
              </w:rPr>
              <w:t xml:space="preserve">Flat bars are marked and retained; row counts stay consistent</w:t>
            </w:r>
          </w:p>
        </w:tc>
      </w:tr>
      <w:tr>
        <w:tc>
          <w:tcPr>
            <w:tcW w:type="dxa" w:w="3200"/>
            <w:shd w:fill="FFFFFF" w:val="clear"/>
            <w:tcMar>
              <w:top w:type="dxa" w:w="80"/>
              <w:left w:type="dxa" w:w="130"/>
              <w:bottom w:type="dxa" w:w="80"/>
              <w:right w:type="dxa" w:w="130"/>
            </w:tcMar>
          </w:tcPr>
          <w:p>
            <w:r>
              <w:rPr>
                <w:sz w:val="19"/>
                <w:szCs w:val="19"/>
              </w:rPr>
              <w:t xml:space="preserve">No forward fill</w:t>
            </w:r>
          </w:p>
        </w:tc>
        <w:tc>
          <w:tcPr>
            <w:tcW w:type="dxa" w:w="5800"/>
            <w:shd w:fill="FFFFFF" w:val="clear"/>
            <w:tcMar>
              <w:top w:type="dxa" w:w="80"/>
              <w:left w:type="dxa" w:w="130"/>
              <w:bottom w:type="dxa" w:w="80"/>
              <w:right w:type="dxa" w:w="130"/>
            </w:tcMar>
          </w:tcPr>
          <w:p>
            <w:r>
              <w:rPr>
                <w:sz w:val="19"/>
                <w:szCs w:val="19"/>
              </w:rPr>
              <w:t xml:space="preserve">Gaps remain missing; HYUNDAI is empty before its 2024 listing</w:t>
            </w:r>
          </w:p>
        </w:tc>
      </w:tr>
      <w:tr>
        <w:tc>
          <w:tcPr>
            <w:tcW w:type="dxa" w:w="3200"/>
            <w:shd w:fill="F5F8FB" w:val="clear"/>
            <w:tcMar>
              <w:top w:type="dxa" w:w="80"/>
              <w:left w:type="dxa" w:w="130"/>
              <w:bottom w:type="dxa" w:w="80"/>
              <w:right w:type="dxa" w:w="130"/>
            </w:tcMar>
          </w:tcPr>
          <w:p>
            <w:r>
              <w:rPr>
                <w:sz w:val="19"/>
                <w:szCs w:val="19"/>
              </w:rPr>
              <w:t xml:space="preserve">Listing mask</w:t>
            </w:r>
          </w:p>
        </w:tc>
        <w:tc>
          <w:tcPr>
            <w:tcW w:type="dxa" w:w="5800"/>
            <w:shd w:fill="F5F8FB" w:val="clear"/>
            <w:tcMar>
              <w:top w:type="dxa" w:w="80"/>
              <w:left w:type="dxa" w:w="130"/>
              <w:bottom w:type="dxa" w:w="80"/>
              <w:right w:type="dxa" w:w="130"/>
            </w:tcMar>
          </w:tcPr>
          <w:p>
            <w:r>
              <w:rPr>
                <w:sz w:val="19"/>
                <w:szCs w:val="19"/>
              </w:rPr>
              <w:t xml:space="preserve">A 2024 listing cannot dilute 2016 breadth</w:t>
            </w:r>
          </w:p>
        </w:tc>
      </w:tr>
      <w:tr>
        <w:tc>
          <w:tcPr>
            <w:tcW w:type="dxa" w:w="3200"/>
            <w:shd w:fill="FFFFFF" w:val="clear"/>
            <w:tcMar>
              <w:top w:type="dxa" w:w="80"/>
              <w:left w:type="dxa" w:w="130"/>
              <w:bottom w:type="dxa" w:w="80"/>
              <w:right w:type="dxa" w:w="130"/>
            </w:tcMar>
          </w:tcPr>
          <w:p>
            <w:r>
              <w:rPr>
                <w:sz w:val="19"/>
                <w:szCs w:val="19"/>
              </w:rPr>
              <w:t xml:space="preserve">Gate catches injected gap</w:t>
            </w:r>
          </w:p>
        </w:tc>
        <w:tc>
          <w:tcPr>
            <w:tcW w:type="dxa" w:w="5800"/>
            <w:shd w:fill="FFFFFF" w:val="clear"/>
            <w:tcMar>
              <w:top w:type="dxa" w:w="80"/>
              <w:left w:type="dxa" w:w="130"/>
              <w:bottom w:type="dxa" w:w="80"/>
              <w:right w:type="dxa" w:w="130"/>
            </w:tcMar>
          </w:tcPr>
          <w:p>
            <w:r>
              <w:rPr>
                <w:sz w:val="19"/>
                <w:szCs w:val="19"/>
              </w:rPr>
              <w:t xml:space="preserve">Fabricated history sneaking back in fails the build</w:t>
            </w:r>
          </w:p>
        </w:tc>
      </w:tr>
      <w:tr>
        <w:tc>
          <w:tcPr>
            <w:tcW w:type="dxa" w:w="3200"/>
            <w:shd w:fill="F5F8FB" w:val="clear"/>
            <w:tcMar>
              <w:top w:type="dxa" w:w="80"/>
              <w:left w:type="dxa" w:w="130"/>
              <w:bottom w:type="dxa" w:w="80"/>
              <w:right w:type="dxa" w:w="130"/>
            </w:tcMar>
          </w:tcPr>
          <w:p>
            <w:r>
              <w:rPr>
                <w:sz w:val="19"/>
                <w:szCs w:val="19"/>
              </w:rPr>
              <w:t xml:space="preserve">Gate catches injected action</w:t>
            </w:r>
          </w:p>
        </w:tc>
        <w:tc>
          <w:tcPr>
            <w:tcW w:type="dxa" w:w="5800"/>
            <w:shd w:fill="F5F8FB" w:val="clear"/>
            <w:tcMar>
              <w:top w:type="dxa" w:w="80"/>
              <w:left w:type="dxa" w:w="130"/>
              <w:bottom w:type="dxa" w:w="80"/>
              <w:right w:type="dxa" w:w="130"/>
            </w:tcMar>
          </w:tcPr>
          <w:p>
            <w:r>
              <w:rPr>
                <w:sz w:val="19"/>
                <w:szCs w:val="19"/>
              </w:rPr>
              <w:t xml:space="preserve">A synthetic demerger fails the build</w:t>
            </w:r>
          </w:p>
        </w:tc>
      </w:tr>
      <w:tr>
        <w:tc>
          <w:tcPr>
            <w:tcW w:type="dxa" w:w="3200"/>
            <w:shd w:fill="FFFFFF" w:val="clear"/>
            <w:tcMar>
              <w:top w:type="dxa" w:w="80"/>
              <w:left w:type="dxa" w:w="130"/>
              <w:bottom w:type="dxa" w:w="80"/>
              <w:right w:type="dxa" w:w="130"/>
            </w:tcMar>
          </w:tcPr>
          <w:p>
            <w:r>
              <w:rPr>
                <w:sz w:val="19"/>
                <w:szCs w:val="19"/>
              </w:rPr>
              <w:t xml:space="preserve">Gate raises by default</w:t>
            </w:r>
          </w:p>
        </w:tc>
        <w:tc>
          <w:tcPr>
            <w:tcW w:type="dxa" w:w="5800"/>
            <w:shd w:fill="FFFFFF" w:val="clear"/>
            <w:tcMar>
              <w:top w:type="dxa" w:w="80"/>
              <w:left w:type="dxa" w:w="130"/>
              <w:bottom w:type="dxa" w:w="80"/>
              <w:right w:type="dxa" w:w="130"/>
            </w:tcMar>
          </w:tcPr>
          <w:p>
            <w:r>
              <w:rPr>
                <w:sz w:val="19"/>
                <w:szCs w:val="19"/>
              </w:rPr>
              <w:t xml:space="preserve">A degraded universe stops the pipeline rather than warning</w:t>
            </w:r>
          </w:p>
        </w:tc>
      </w:tr>
    </w:tbl>
    <w:tbl>
      <w:tblPr>
        <w:tblW w:type="dxa" w:w="9000"/>
        <w:tblBorders>
          <w:top w:val="single" w:color="1E7B34" w:sz="2"/>
          <w:left w:val="single" w:color="1E7B34" w:sz="20"/>
          <w:bottom w:val="single" w:color="1E7B34" w:sz="2"/>
          <w:right w:val="single" w:color="1E7B34" w:sz="2"/>
          <w:insideH w:val="none"/>
          <w:insideV w:val="none"/>
        </w:tblBorders>
      </w:tblPr>
      <w:tblGrid>
        <w:gridCol w:w="9000"/>
      </w:tblGrid>
      <w:tr>
        <w:tc>
          <w:tcPr>
            <w:tcW w:type="dxa" w:w="9000"/>
            <w:shd w:fill="F5FBF6" w:val="clear"/>
            <w:tcMar>
              <w:top w:type="dxa" w:w="150"/>
              <w:left w:type="dxa" w:w="220"/>
              <w:bottom w:type="dxa" w:w="150"/>
              <w:right w:type="dxa" w:w="200"/>
            </w:tcMar>
          </w:tcPr>
          <w:p>
            <w:pPr>
              <w:spacing w:after="70"/>
            </w:pPr>
            <w:r>
              <w:rPr>
                <w:b/>
                <w:bCs/>
                <w:color w:val="1E7B34"/>
              </w:rPr>
              <w:t xml:space="preserve">The regression guards are the point</w:t>
            </w:r>
          </w:p>
          <w:p>
            <w:pPr>
              <w:spacing w:after="70" w:line="300"/>
            </w:pPr>
            <w:r>
              <w:t xml:space="preserve">Two tests deliberately poison good data — one injects a stitched pre-listing bar, the other a synthetic demerger — and assert the gate fails.</w:t>
            </w:r>
          </w:p>
          <w:p>
            <w:pPr>
              <w:spacing w:after="0" w:line="300"/>
            </w:pPr>
            <w:r>
              <w:t xml:space="preserve">Without these, the gate is only documentation. With them, it is proven to bite.</w:t>
            </w:r>
          </w:p>
        </w:tc>
      </w:tr>
    </w:tbl>
    <w:p>
      <w:r>
        <w:br w:type="page"/>
      </w:r>
    </w:p>
    <w:p>
      <w:pPr>
        <w:pStyle w:val="Heading1"/>
        <w:spacing w:after="160" w:before="360"/>
      </w:pPr>
      <w:r>
        <w:t xml:space="preserve">8. Results</w:t>
      </w:r>
    </w:p>
    <w:p>
      <w:pPr>
        <w:shd w:fill="F2F2F2" w:val="clear"/>
        <w:spacing w:after="0" w:before="70"/>
        <w:ind w:left="240"/>
      </w:pPr>
      <w:r>
        <w:rPr>
          <w:rFonts w:ascii="Consolas" w:cs="Consolas" w:eastAsia="Consolas" w:hAnsi="Consolas"/>
          <w:sz w:val="18"/>
          <w:szCs w:val="18"/>
        </w:rPr>
        <w:t xml:space="preserve">loading universe ...</w:t>
      </w:r>
    </w:p>
    <w:p>
      <w:pPr>
        <w:shd w:fill="F2F2F2" w:val="clear"/>
        <w:spacing w:after="0" w:before="0"/>
        <w:ind w:left="240"/>
      </w:pPr>
      <w:r>
        <w:rPr>
          <w:rFonts w:ascii="Consolas" w:cs="Consolas" w:eastAsia="Consolas" w:hAnsi="Consolas"/>
          <w:sz w:val="18"/>
          <w:szCs w:val="18"/>
        </w:rPr>
        <w:t xml:space="preserve">  96 usable symbols, 5820 trading days</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quality gate</w:t>
      </w:r>
    </w:p>
    <w:p>
      <w:pPr>
        <w:shd w:fill="F2F2F2" w:val="clear"/>
        <w:spacing w:after="0" w:before="0"/>
        <w:ind w:left="240"/>
      </w:pPr>
      <w:r>
        <w:rPr>
          <w:rFonts w:ascii="Consolas" w:cs="Consolas" w:eastAsia="Consolas" w:hAnsi="Consolas"/>
          <w:sz w:val="18"/>
          <w:szCs w:val="18"/>
        </w:rPr>
        <w:t xml:space="preserve">[PASS] universe_size                    96 usable symbols (need &gt;= 80)</w:t>
      </w:r>
    </w:p>
    <w:p>
      <w:pPr>
        <w:shd w:fill="F2F2F2" w:val="clear"/>
        <w:spacing w:after="0" w:before="0"/>
        <w:ind w:left="240"/>
      </w:pPr>
      <w:r>
        <w:rPr>
          <w:rFonts w:ascii="Consolas" w:cs="Consolas" w:eastAsia="Consolas" w:hAnsi="Consolas"/>
          <w:sz w:val="18"/>
          <w:szCs w:val="18"/>
        </w:rPr>
        <w:t xml:space="preserve">[PASS] calendar_nonempty                5820 trading days</w:t>
      </w:r>
    </w:p>
    <w:p>
      <w:pPr>
        <w:shd w:fill="F2F2F2" w:val="clear"/>
        <w:spacing w:after="0" w:before="0"/>
        <w:ind w:left="240"/>
      </w:pPr>
      <w:r>
        <w:rPr>
          <w:rFonts w:ascii="Consolas" w:cs="Consolas" w:eastAsia="Consolas" w:hAnsi="Consolas"/>
          <w:sz w:val="18"/>
          <w:szCs w:val="18"/>
        </w:rPr>
        <w:t xml:space="preserve">[PASS] no_residual_gaps                 no gaps remain after truncation</w:t>
      </w:r>
    </w:p>
    <w:p>
      <w:pPr>
        <w:shd w:fill="F2F2F2" w:val="clear"/>
        <w:spacing w:after="0" w:before="0"/>
        <w:ind w:left="240"/>
      </w:pPr>
      <w:r>
        <w:rPr>
          <w:rFonts w:ascii="Consolas" w:cs="Consolas" w:eastAsia="Consolas" w:hAnsi="Consolas"/>
          <w:sz w:val="18"/>
          <w:szCs w:val="18"/>
        </w:rPr>
        <w:t xml:space="preserve">[PASS] dates_sorted                     all symbol indices sorted</w:t>
      </w:r>
    </w:p>
    <w:p>
      <w:pPr>
        <w:shd w:fill="F2F2F2" w:val="clear"/>
        <w:spacing w:after="0" w:before="0"/>
        <w:ind w:left="240"/>
      </w:pPr>
      <w:r>
        <w:rPr>
          <w:rFonts w:ascii="Consolas" w:cs="Consolas" w:eastAsia="Consolas" w:hAnsi="Consolas"/>
          <w:sz w:val="18"/>
          <w:szCs w:val="18"/>
        </w:rPr>
        <w:t xml:space="preserve">[PASS] dates_unique                     no duplicate dates</w:t>
      </w:r>
    </w:p>
    <w:p>
      <w:pPr>
        <w:shd w:fill="F2F2F2" w:val="clear"/>
        <w:spacing w:after="0" w:before="0"/>
        <w:ind w:left="240"/>
      </w:pPr>
      <w:r>
        <w:rPr>
          <w:rFonts w:ascii="Consolas" w:cs="Consolas" w:eastAsia="Consolas" w:hAnsi="Consolas"/>
          <w:sz w:val="18"/>
          <w:szCs w:val="18"/>
        </w:rPr>
        <w:t xml:space="preserve">[PASS] prices_positive                  all closes &gt; 0</w:t>
      </w:r>
    </w:p>
    <w:p>
      <w:pPr>
        <w:shd w:fill="F2F2F2" w:val="clear"/>
        <w:spacing w:after="0" w:before="0"/>
        <w:ind w:left="240"/>
      </w:pPr>
      <w:r>
        <w:rPr>
          <w:rFonts w:ascii="Consolas" w:cs="Consolas" w:eastAsia="Consolas" w:hAnsi="Consolas"/>
          <w:sz w:val="18"/>
          <w:szCs w:val="18"/>
        </w:rPr>
        <w:t xml:space="preserve">[PASS] ohlc_consistent                  high/low bracket open/close</w:t>
      </w:r>
    </w:p>
    <w:p>
      <w:pPr>
        <w:shd w:fill="F2F2F2" w:val="clear"/>
        <w:spacing w:after="0" w:before="0"/>
        <w:ind w:left="240"/>
      </w:pPr>
      <w:r>
        <w:rPr>
          <w:rFonts w:ascii="Consolas" w:cs="Consolas" w:eastAsia="Consolas" w:hAnsi="Consolas"/>
          <w:sz w:val="18"/>
          <w:szCs w:val="18"/>
        </w:rPr>
        <w:t xml:space="preserve">[PASS] no_unadjusted_corporate_actions  no move exceeds 0.50 log return</w:t>
      </w:r>
    </w:p>
    <w:p>
      <w:pPr>
        <w:shd w:fill="F2F2F2" w:val="clear"/>
        <w:spacing w:after="0" w:before="0"/>
        <w:ind w:left="240"/>
      </w:pPr>
      <w:r>
        <w:rPr>
          <w:rFonts w:ascii="Consolas" w:cs="Consolas" w:eastAsia="Consolas" w:hAnsi="Consolas"/>
          <w:sz w:val="18"/>
          <w:szCs w:val="18"/>
        </w:rPr>
        <w:t xml:space="preserve">[PASS] end_dates_aligned                last-bar dates span 2 days</w:t>
      </w:r>
    </w:p>
    <w:p>
      <w:pPr>
        <w:shd w:fill="F2F2F2" w:val="clear"/>
        <w:spacing w:after="0" w:before="0"/>
        <w:ind w:left="240"/>
      </w:pPr>
      <w:r>
        <w:rPr>
          <w:rFonts w:ascii="Consolas" w:cs="Consolas" w:eastAsia="Consolas" w:hAnsi="Consolas"/>
          <w:sz w:val="18"/>
          <w:szCs w:val="18"/>
        </w:rPr>
        <w:t xml:space="preserve">[PASS] train_window_coverage            81 symbols at 2016-01-01</w:t>
      </w:r>
    </w:p>
    <w:p>
      <w:pPr>
        <w:shd w:fill="F2F2F2" w:val="clear"/>
        <w:spacing w:after="0" w:before="0"/>
        <w:ind w:left="240"/>
      </w:pPr>
      <w:r>
        <w:rPr>
          <w:rFonts w:ascii="Consolas" w:cs="Consolas" w:eastAsia="Consolas" w:hAnsi="Consolas"/>
          <w:sz w:val="18"/>
          <w:szCs w:val="18"/>
        </w:rPr>
        <w:t xml:space="preserve">[WARN] flat_bar_burden                  BAJFINANCE 1092 zero-range bars</w:t>
      </w:r>
    </w:p>
    <w:p>
      <w:pPr>
        <w:shd w:fill="F2F2F2" w:val="clear"/>
        <w:spacing w:after="0" w:before="0"/>
        <w:ind w:left="240"/>
      </w:pPr>
      <w:r>
        <w:rPr>
          <w:rFonts w:ascii="Consolas" w:cs="Consolas" w:eastAsia="Consolas" w:hAnsi="Consolas"/>
          <w:sz w:val="18"/>
          <w:szCs w:val="18"/>
        </w:rPr>
        <w:t xml:space="preserve">[WARN] prelisting_truncation            20 symbols truncated</w:t>
      </w:r>
    </w:p>
    <w:p>
      <w:pPr>
        <w:shd w:fill="F2F2F2" w:val="clear"/>
        <w:spacing w:after="0" w:before="0"/>
        <w:ind w:left="240"/>
      </w:pPr>
      <w:r>
        <w:rPr>
          <w:rFonts w:ascii="Consolas" w:cs="Consolas" w:eastAsia="Consolas" w:hAnsi="Consolas"/>
          <w:sz w:val="18"/>
          <w:szCs w:val="18"/>
        </w:rPr>
        <w:t xml:space="preserve">[WARN] symbols_dropped                  ENRIN, TATACAP, TMCV</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wrote close_panel (5820, 96)</w:t>
      </w:r>
    </w:p>
    <w:p>
      <w:pPr>
        <w:shd w:fill="F2F2F2" w:val="clear"/>
        <w:spacing w:after="170" w:before="0"/>
        <w:ind w:left="240"/>
      </w:pPr>
      <w:r>
        <w:rPr>
          <w:rFonts w:ascii="Consolas" w:cs="Consolas" w:eastAsia="Consolas" w:hAnsi="Consolas"/>
          <w:sz w:val="18"/>
          <w:szCs w:val="18"/>
        </w:rPr>
        <w:t xml:space="preserve">live symbols: 31 at 2003-01-02 -&gt; 95 at 2026-06-05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700"/>
        <w:gridCol w:w="4300"/>
      </w:tblGrid>
      <w:tr>
        <w:trPr>
          <w:tblHeader/>
        </w:trPr>
        <w:tc>
          <w:tcPr>
            <w:tcW w:type="dxa" w:w="4700"/>
            <w:shd w:fill="1F4E79" w:val="clear"/>
            <w:tcMar>
              <w:top w:type="dxa" w:w="90"/>
              <w:left w:type="dxa" w:w="130"/>
              <w:bottom w:type="dxa" w:w="90"/>
              <w:right w:type="dxa" w:w="130"/>
            </w:tcMar>
          </w:tcPr>
          <w:p>
            <w:r>
              <w:rPr>
                <w:b/>
                <w:bCs/>
                <w:color w:val="FFFFFF"/>
                <w:sz w:val="19"/>
                <w:szCs w:val="19"/>
              </w:rPr>
              <w:t xml:space="preserve">Measure</w:t>
            </w:r>
          </w:p>
        </w:tc>
        <w:tc>
          <w:tcPr>
            <w:tcW w:type="dxa" w:w="4300"/>
            <w:shd w:fill="1F4E79" w:val="clear"/>
            <w:tcMar>
              <w:top w:type="dxa" w:w="90"/>
              <w:left w:type="dxa" w:w="130"/>
              <w:bottom w:type="dxa" w:w="90"/>
              <w:right w:type="dxa" w:w="130"/>
            </w:tcMar>
          </w:tcPr>
          <w:p>
            <w:r>
              <w:rPr>
                <w:b/>
                <w:bCs/>
                <w:color w:val="FFFFFF"/>
                <w:sz w:val="19"/>
                <w:szCs w:val="19"/>
              </w:rPr>
              <w:t xml:space="preserve">Value</w:t>
            </w:r>
          </w:p>
        </w:tc>
      </w:tr>
      <w:tr>
        <w:tc>
          <w:tcPr>
            <w:tcW w:type="dxa" w:w="4700"/>
            <w:shd w:fill="F5F8FB" w:val="clear"/>
            <w:tcMar>
              <w:top w:type="dxa" w:w="80"/>
              <w:left w:type="dxa" w:w="130"/>
              <w:bottom w:type="dxa" w:w="80"/>
              <w:right w:type="dxa" w:w="130"/>
            </w:tcMar>
          </w:tcPr>
          <w:p>
            <w:r>
              <w:rPr>
                <w:sz w:val="19"/>
                <w:szCs w:val="19"/>
              </w:rPr>
              <w:t xml:space="preserve">Usable symbols</w:t>
            </w:r>
          </w:p>
        </w:tc>
        <w:tc>
          <w:tcPr>
            <w:tcW w:type="dxa" w:w="4300"/>
            <w:shd w:fill="F5F8FB" w:val="clear"/>
            <w:tcMar>
              <w:top w:type="dxa" w:w="80"/>
              <w:left w:type="dxa" w:w="130"/>
              <w:bottom w:type="dxa" w:w="80"/>
              <w:right w:type="dxa" w:w="130"/>
            </w:tcMar>
          </w:tcPr>
          <w:p>
            <w:r>
              <w:rPr>
                <w:sz w:val="19"/>
                <w:szCs w:val="19"/>
              </w:rPr>
              <w:t xml:space="preserve">96 of 100</w:t>
            </w:r>
          </w:p>
        </w:tc>
      </w:tr>
      <w:tr>
        <w:tc>
          <w:tcPr>
            <w:tcW w:type="dxa" w:w="4700"/>
            <w:shd w:fill="FFFFFF" w:val="clear"/>
            <w:tcMar>
              <w:top w:type="dxa" w:w="80"/>
              <w:left w:type="dxa" w:w="130"/>
              <w:bottom w:type="dxa" w:w="80"/>
              <w:right w:type="dxa" w:w="130"/>
            </w:tcMar>
          </w:tcPr>
          <w:p>
            <w:r>
              <w:rPr>
                <w:sz w:val="19"/>
                <w:szCs w:val="19"/>
              </w:rPr>
              <w:t xml:space="preserve">Trading days</w:t>
            </w:r>
          </w:p>
        </w:tc>
        <w:tc>
          <w:tcPr>
            <w:tcW w:type="dxa" w:w="4300"/>
            <w:shd w:fill="FFFFFF" w:val="clear"/>
            <w:tcMar>
              <w:top w:type="dxa" w:w="80"/>
              <w:left w:type="dxa" w:w="130"/>
              <w:bottom w:type="dxa" w:w="80"/>
              <w:right w:type="dxa" w:w="130"/>
            </w:tcMar>
          </w:tcPr>
          <w:p>
            <w:r>
              <w:rPr>
                <w:sz w:val="19"/>
                <w:szCs w:val="19"/>
              </w:rPr>
              <w:t xml:space="preserve">5,820 (2003-01-02 to 2026-06-05)</w:t>
            </w:r>
          </w:p>
        </w:tc>
      </w:tr>
      <w:tr>
        <w:tc>
          <w:tcPr>
            <w:tcW w:type="dxa" w:w="4700"/>
            <w:shd w:fill="F5F8FB" w:val="clear"/>
            <w:tcMar>
              <w:top w:type="dxa" w:w="80"/>
              <w:left w:type="dxa" w:w="130"/>
              <w:bottom w:type="dxa" w:w="80"/>
              <w:right w:type="dxa" w:w="130"/>
            </w:tcMar>
          </w:tcPr>
          <w:p>
            <w:r>
              <w:rPr>
                <w:sz w:val="19"/>
                <w:szCs w:val="19"/>
              </w:rPr>
              <w:t xml:space="preserve">Symbols at training start (2016-01-01)</w:t>
            </w:r>
          </w:p>
        </w:tc>
        <w:tc>
          <w:tcPr>
            <w:tcW w:type="dxa" w:w="4300"/>
            <w:shd w:fill="F5F8FB" w:val="clear"/>
            <w:tcMar>
              <w:top w:type="dxa" w:w="80"/>
              <w:left w:type="dxa" w:w="130"/>
              <w:bottom w:type="dxa" w:w="80"/>
              <w:right w:type="dxa" w:w="130"/>
            </w:tcMar>
          </w:tcPr>
          <w:p>
            <w:r>
              <w:rPr>
                <w:sz w:val="19"/>
                <w:szCs w:val="19"/>
              </w:rPr>
              <w:t xml:space="preserve">81</w:t>
            </w:r>
          </w:p>
        </w:tc>
      </w:tr>
      <w:tr>
        <w:tc>
          <w:tcPr>
            <w:tcW w:type="dxa" w:w="4700"/>
            <w:shd w:fill="FFFFFF" w:val="clear"/>
            <w:tcMar>
              <w:top w:type="dxa" w:w="80"/>
              <w:left w:type="dxa" w:w="130"/>
              <w:bottom w:type="dxa" w:w="80"/>
              <w:right w:type="dxa" w:w="130"/>
            </w:tcMar>
          </w:tcPr>
          <w:p>
            <w:r>
              <w:rPr>
                <w:sz w:val="19"/>
                <w:szCs w:val="19"/>
              </w:rPr>
              <w:t xml:space="preserve">Symbols live at end</w:t>
            </w:r>
          </w:p>
        </w:tc>
        <w:tc>
          <w:tcPr>
            <w:tcW w:type="dxa" w:w="4300"/>
            <w:shd w:fill="FFFFFF" w:val="clear"/>
            <w:tcMar>
              <w:top w:type="dxa" w:w="80"/>
              <w:left w:type="dxa" w:w="130"/>
              <w:bottom w:type="dxa" w:w="80"/>
              <w:right w:type="dxa" w:w="130"/>
            </w:tcMar>
          </w:tcPr>
          <w:p>
            <w:r>
              <w:rPr>
                <w:sz w:val="19"/>
                <w:szCs w:val="19"/>
              </w:rPr>
              <w:t xml:space="preserve">95</w:t>
            </w:r>
          </w:p>
        </w:tc>
      </w:tr>
      <w:tr>
        <w:tc>
          <w:tcPr>
            <w:tcW w:type="dxa" w:w="4700"/>
            <w:shd w:fill="F5F8FB" w:val="clear"/>
            <w:tcMar>
              <w:top w:type="dxa" w:w="80"/>
              <w:left w:type="dxa" w:w="130"/>
              <w:bottom w:type="dxa" w:w="80"/>
              <w:right w:type="dxa" w:w="130"/>
            </w:tcMar>
          </w:tcPr>
          <w:p>
            <w:r>
              <w:rPr>
                <w:sz w:val="19"/>
                <w:szCs w:val="19"/>
              </w:rPr>
              <w:t xml:space="preserve">Symbols dropped for short history</w:t>
            </w:r>
          </w:p>
        </w:tc>
        <w:tc>
          <w:tcPr>
            <w:tcW w:type="dxa" w:w="4300"/>
            <w:shd w:fill="F5F8FB" w:val="clear"/>
            <w:tcMar>
              <w:top w:type="dxa" w:w="80"/>
              <w:left w:type="dxa" w:w="130"/>
              <w:bottom w:type="dxa" w:w="80"/>
              <w:right w:type="dxa" w:w="130"/>
            </w:tcMar>
          </w:tcPr>
          <w:p>
            <w:r>
              <w:rPr>
                <w:sz w:val="19"/>
                <w:szCs w:val="19"/>
              </w:rPr>
              <w:t xml:space="preserve">3 — ENRIN, TATACAP, TMCV</w:t>
            </w:r>
          </w:p>
        </w:tc>
      </w:tr>
      <w:tr>
        <w:tc>
          <w:tcPr>
            <w:tcW w:type="dxa" w:w="4700"/>
            <w:shd w:fill="FFFFFF" w:val="clear"/>
            <w:tcMar>
              <w:top w:type="dxa" w:w="80"/>
              <w:left w:type="dxa" w:w="130"/>
              <w:bottom w:type="dxa" w:w="80"/>
              <w:right w:type="dxa" w:w="130"/>
            </w:tcMar>
          </w:tcPr>
          <w:p>
            <w:r>
              <w:rPr>
                <w:sz w:val="19"/>
                <w:szCs w:val="19"/>
              </w:rPr>
              <w:t xml:space="preserve">Median annualised volatility, 2016-2026</w:t>
            </w:r>
          </w:p>
        </w:tc>
        <w:tc>
          <w:tcPr>
            <w:tcW w:type="dxa" w:w="4300"/>
            <w:shd w:fill="FFFFFF" w:val="clear"/>
            <w:tcMar>
              <w:top w:type="dxa" w:w="80"/>
              <w:left w:type="dxa" w:w="130"/>
              <w:bottom w:type="dxa" w:w="80"/>
              <w:right w:type="dxa" w:w="130"/>
            </w:tcMar>
          </w:tcPr>
          <w:p>
            <w:r>
              <w:rPr>
                <w:sz w:val="19"/>
                <w:szCs w:val="19"/>
              </w:rPr>
              <w:t xml:space="preserve">30.6%</w:t>
            </w:r>
          </w:p>
        </w:tc>
      </w:tr>
      <w:tr>
        <w:tc>
          <w:tcPr>
            <w:tcW w:type="dxa" w:w="4700"/>
            <w:shd w:fill="F5F8FB" w:val="clear"/>
            <w:tcMar>
              <w:top w:type="dxa" w:w="80"/>
              <w:left w:type="dxa" w:w="130"/>
              <w:bottom w:type="dxa" w:w="80"/>
              <w:right w:type="dxa" w:w="130"/>
            </w:tcMar>
          </w:tcPr>
          <w:p>
            <w:r>
              <w:rPr>
                <w:sz w:val="19"/>
                <w:szCs w:val="19"/>
              </w:rPr>
              <w:t xml:space="preserve">Exact-zero daily returns</w:t>
            </w:r>
          </w:p>
        </w:tc>
        <w:tc>
          <w:tcPr>
            <w:tcW w:type="dxa" w:w="4300"/>
            <w:shd w:fill="F5F8FB" w:val="clear"/>
            <w:tcMar>
              <w:top w:type="dxa" w:w="80"/>
              <w:left w:type="dxa" w:w="130"/>
              <w:bottom w:type="dxa" w:w="80"/>
              <w:right w:type="dxa" w:w="130"/>
            </w:tcMar>
          </w:tcPr>
          <w:p>
            <w:r>
              <w:rPr>
                <w:sz w:val="19"/>
                <w:szCs w:val="19"/>
              </w:rPr>
              <w:t xml:space="preserve">0.53% — consistent with no forward filling</w:t>
            </w:r>
          </w:p>
        </w:tc>
      </w:tr>
    </w:tbl>
    <w:p>
      <w:pPr>
        <w:spacing w:after="130" w:line="300"/>
      </w:pPr>
      <w:r>
        <w:t xml:space="preserve">Three symbols are excluded for having fewer than 300 bars, which cannot support a 60-day volatility warmup plus a meaningful backtest.</w:t>
      </w:r>
    </w:p>
    <w:p>
      <w:pPr>
        <w:spacing w:after="130" w:line="300"/>
      </w:pPr>
      <w:r>
        <w:t xml:space="preserve">One number moved during Phase 1 testing: symbols covering the training start fell from 82 to 81, because CGPOWER now begins at its March 2016 demerger. That is a correct loss — the earlier bars belonged to a different company.</w:t>
      </w:r>
    </w:p>
    <w:p>
      <w:r>
        <w:br w:type="page"/>
      </w:r>
    </w:p>
    <w:p>
      <w:pPr>
        <w:pStyle w:val="Heading1"/>
        <w:spacing w:after="160" w:before="360"/>
      </w:pPr>
      <w:r>
        <w:t xml:space="preserve">9. Known limitations</w:t>
      </w:r>
    </w:p>
    <w:p>
      <w:pPr>
        <w:pStyle w:val="ListParagraph"/>
        <w:numPr>
          <w:ilvl w:val="0"/>
          <w:numId w:val="2"/>
        </w:numPr>
        <w:spacing w:after="80" w:line="290"/>
      </w:pPr>
      <w:r>
        <w:t xml:space="preserve">Survivorship bias remains. The universe is today's NIFTY 100. Documented in defect 5; the fix is historical index membership, which we have chosen not to source.</w:t>
      </w:r>
    </w:p>
    <w:p>
      <w:pPr>
        <w:pStyle w:val="ListParagraph"/>
        <w:numPr>
          <w:ilvl w:val="0"/>
          <w:numId w:val="2"/>
        </w:numPr>
        <w:spacing w:after="80" w:line="290"/>
      </w:pPr>
      <w:r>
        <w:t xml:space="preserve">close is assumed fully back-adjusted. Verified on RELIANCE across its 2017 bonus, but not confirmed with the data provider. If wrong, every return in the project is wrong. This is the single highest-value open question and it is a five-minute conversation.</w:t>
      </w:r>
    </w:p>
    <w:p>
      <w:pPr>
        <w:pStyle w:val="ListParagraph"/>
        <w:numPr>
          <w:ilvl w:val="0"/>
          <w:numId w:val="2"/>
        </w:numPr>
        <w:spacing w:after="80" w:line="290"/>
      </w:pPr>
      <w:r>
        <w:t xml:space="preserve">Corporate actions are truncated, not adjusted. A demerger discards prior history rather than rescaling it, because the demerger ratio is not in the data. CGPOWER therefore loses 2003 to 2016.</w:t>
      </w:r>
    </w:p>
    <w:p>
      <w:pPr>
        <w:pStyle w:val="ListParagraph"/>
        <w:numPr>
          <w:ilvl w:val="0"/>
          <w:numId w:val="2"/>
        </w:numPr>
        <w:spacing w:after="80" w:line="290"/>
      </w:pPr>
      <w:r>
        <w:t xml:space="preserve">Pre-2016 vendor splices are documented but untreated. They sit outside all working windows; extending the training window backwards would require addressing them.</w:t>
      </w:r>
    </w:p>
    <w:p>
      <w:pPr>
        <w:pStyle w:val="ListParagraph"/>
        <w:numPr>
          <w:ilvl w:val="0"/>
          <w:numId w:val="2"/>
        </w:numPr>
        <w:spacing w:after="80" w:line="290"/>
      </w:pPr>
      <w:r>
        <w:t xml:space="preserve">The corporate-action threshold is a judgement. 0.50 log return cleanly separates every case in the current data, but a genuine 45% one-day crash would be misclassified as an artefact. No such event exists in this universe.</w:t>
      </w:r>
    </w:p>
    <w:p>
      <w:pPr>
        <w:pStyle w:val="Heading1"/>
        <w:spacing w:after="160" w:before="360"/>
      </w:pPr>
      <w:r>
        <w:t xml:space="preserve">10. Reproducing</w:t>
      </w:r>
    </w:p>
    <w:p>
      <w:pPr>
        <w:shd w:fill="F2F2F2" w:val="clear"/>
        <w:spacing w:after="0" w:before="70"/>
        <w:ind w:left="240"/>
      </w:pPr>
      <w:r>
        <w:rPr>
          <w:rFonts w:ascii="Consolas" w:cs="Consolas" w:eastAsia="Consolas" w:hAnsi="Consolas"/>
          <w:sz w:val="18"/>
          <w:szCs w:val="18"/>
        </w:rPr>
        <w:t xml:space="preserve">pip install numpy pandas pyarrow scikit-learn pytest</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python scripts/run_phase1.py      # load, repair, validate, persist</w:t>
      </w:r>
    </w:p>
    <w:p>
      <w:pPr>
        <w:shd w:fill="F2F2F2" w:val="clear"/>
        <w:spacing w:after="170" w:before="0"/>
        <w:ind w:left="240"/>
      </w:pPr>
      <w:r>
        <w:rPr>
          <w:rFonts w:ascii="Consolas" w:cs="Consolas" w:eastAsia="Consolas" w:hAnsi="Consolas"/>
          <w:sz w:val="18"/>
          <w:szCs w:val="18"/>
        </w:rPr>
        <w:t xml:space="preserve">python -m pytest tests/ -q        # 53 tests</w:t>
      </w:r>
    </w:p>
    <w:p>
      <w:pPr>
        <w:spacing w:after="130" w:line="300"/>
      </w:pPr>
      <w:r>
        <w:t xml:space="preserve">The pipeline is deterministic and rebuilds from data/raw/ alone. Deleting data/interim/, data/processed/ and reports/ and re-running reproduces every artefact byte for byte.</w:t>
      </w:r>
    </w:p>
    <w:p>
      <w:pPr>
        <w:pStyle w:val="Heading1"/>
        <w:spacing w:after="160" w:before="360"/>
      </w:pPr>
      <w:r>
        <w:t xml:space="preserve">11. Handoff to Phase 2</w:t>
      </w:r>
    </w:p>
    <w:p>
      <w:pPr>
        <w:spacing w:after="130" w:line="300"/>
      </w:pPr>
      <w:r>
        <w:t xml:space="preserve">Phase 2 builds the features Isolation Forest will consume. It inherits from Phase 1:</w:t>
      </w:r>
    </w:p>
    <w:p>
      <w:pPr>
        <w:pStyle w:val="ListParagraph"/>
        <w:numPr>
          <w:ilvl w:val="0"/>
          <w:numId w:val="3"/>
        </w:numPr>
        <w:spacing w:after="80" w:line="290"/>
      </w:pPr>
      <w:r>
        <w:t xml:space="preserve">A clean per-symbol frame with OHLCV and quality flags</w:t>
      </w:r>
    </w:p>
    <w:p>
      <w:pPr>
        <w:pStyle w:val="ListParagraph"/>
        <w:numPr>
          <w:ilvl w:val="0"/>
          <w:numId w:val="3"/>
        </w:numPr>
        <w:spacing w:after="80" w:line="290"/>
      </w:pPr>
      <w:r>
        <w:t xml:space="preserve">An aligned close panel on a shared calendar, so cross-sectional features are well defined</w:t>
      </w:r>
    </w:p>
    <w:p>
      <w:pPr>
        <w:pStyle w:val="ListParagraph"/>
        <w:numPr>
          <w:ilvl w:val="0"/>
          <w:numId w:val="3"/>
        </w:numPr>
        <w:spacing w:after="80" w:line="290"/>
      </w:pPr>
      <w:r>
        <w:t xml:space="preserve">A listing mask, so breadth counts only companies that existed</w:t>
      </w:r>
    </w:p>
    <w:p>
      <w:pPr>
        <w:pStyle w:val="ListParagraph"/>
        <w:numPr>
          <w:ilvl w:val="0"/>
          <w:numId w:val="3"/>
        </w:numPr>
        <w:spacing w:after="80" w:line="290"/>
      </w:pPr>
      <w:r>
        <w:t xml:space="preserve">Preserved vendor metadata, keeping the sensor-disagreement angle available</w:t>
      </w:r>
    </w:p>
    <w:p>
      <w:pPr>
        <w:spacing w:after="130" w:line="300"/>
      </w:pPr>
      <w:r>
        <w:t xml:space="preserve">Two obligations carry forward. Range-based features must mask flat bars explicitly rather than assuming every bar has a usable high-low span. And every new feature must carry a causality test — the future-perturbation check that Phase 2's slope and acceleration module already uses.</w:t>
      </w:r>
    </w:p>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Open question to close before Phase 3</w:t>
            </w:r>
          </w:p>
          <w:p>
            <w:pPr>
              <w:spacing w:after="70" w:line="300"/>
            </w:pPr>
            <w:r>
              <w:t xml:space="preserve">Confirm with the data pipeline team that close is fully back-adjusted.</w:t>
            </w:r>
          </w:p>
          <w:p>
            <w:pPr>
              <w:spacing w:after="0" w:line="300"/>
            </w:pPr>
            <w:r>
              <w:t xml:space="preserve">The RELIANCE cross-check says yes. If it is wrong, every return in the project is wrong, and no amount of downstream rigour would recover it.</w:t>
            </w:r>
          </w:p>
        </w:tc>
      </w:tr>
    </w:tbl>
    <w:sectPr>
      <w:headerReference w:type="default" r:id="rId7"/>
      <w:footerReference w:type="default" r:id="rId8"/>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jc w:val="right"/>
    </w:pPr>
    <w:r>
      <w:rPr>
        <w:color w:val="595959"/>
        <w:sz w:val="17"/>
        <w:szCs w:val="17"/>
      </w:rPr>
      <w:t xml:space="preserve">QBEAST · Phase 1 — Data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5F8A"/>
      <w:sz w:val="25"/>
      <w:szCs w:val="25"/>
    </w:rPr>
  </w:style>
  <w:style w:type="paragraph" w:styleId="Heading3">
    <w:name w:val="Heading 3"/>
    <w:basedOn w:val="Normal"/>
    <w:next w:val="Normal"/>
    <w:qFormat/>
    <w:rPr>
      <w:rFonts w:ascii="Calibri" w:cs="Calibri" w:eastAsia="Calibri" w:hAnsi="Calibri"/>
      <w:b/>
      <w:b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QBEAST Phase 1 — The Data Layer</dc:title>
  <dc:creator>QBEAST</dc:creator>
  <dc:description>QBEAST crash detection system — phase documentation</dc:description>
  <cp:lastModifiedBy>Un-named</cp:lastModifiedBy>
  <cp:revision>1</cp:revision>
  <dcterms:created xsi:type="dcterms:W3CDTF">2026-07-26T02:04:35.848Z</dcterms:created>
  <dcterms:modified xsi:type="dcterms:W3CDTF">2026-07-26T02:04:35.848Z</dcterms:modified>
</cp:coreProperties>
</file>

<file path=docProps/custom.xml><?xml version="1.0" encoding="utf-8"?>
<Properties xmlns="http://schemas.openxmlformats.org/officeDocument/2006/custom-properties" xmlns:vt="http://schemas.openxmlformats.org/officeDocument/2006/docPropsVTypes"/>
</file>