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200"/>
        <w:jc w:val="center"/>
      </w:pPr>
      <w:r>
        <w:rPr>
          <w:b/>
          <w:bCs/>
          <w:color w:val="1F4E79"/>
          <w:sz w:val="56"/>
          <w:szCs w:val="56"/>
        </w:rPr>
        <w:t xml:space="preserve">QBEAST</w:t>
      </w:r>
    </w:p>
    <w:p>
      <w:pPr>
        <w:spacing w:after="500"/>
        <w:jc w:val="center"/>
      </w:pPr>
      <w:r>
        <w:rPr>
          <w:color w:val="595959"/>
          <w:sz w:val="24"/>
          <w:szCs w:val="24"/>
        </w:rPr>
        <w:t xml:space="preserve">Stock Market Crash Detection System</w:t>
      </w:r>
    </w:p>
    <w:p>
      <w:pPr>
        <w:spacing w:after="60"/>
        <w:jc w:val="center"/>
      </w:pPr>
      <w:r>
        <w:rPr>
          <w:b/>
          <w:bCs/>
          <w:color w:val="2E5F8A"/>
          <w:sz w:val="30"/>
          <w:szCs w:val="30"/>
        </w:rPr>
        <w:t xml:space="preserve">PHASE 5</w:t>
      </w:r>
    </w:p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Signal Generation</w:t>
      </w:r>
    </w:p>
    <w:p>
      <w:pPr>
        <w:spacing w:after="500"/>
        <w:jc w:val="center"/>
      </w:pPr>
      <w:r>
        <w:rPr>
          <w:i/>
          <w:iCs/>
          <w:color w:val="595959"/>
          <w:sz w:val="23"/>
          <w:szCs w:val="23"/>
        </w:rPr>
        <w:t xml:space="preserve">From anomaly score to position, under the fast-reaction framing</w:t>
      </w:r>
    </w:p>
    <w:p>
      <w:pPr>
        <w:spacing w:after="60"/>
        <w:jc w:val="center"/>
      </w:pPr>
      <w:r>
        <w:rPr>
          <w:b/>
          <w:bCs/>
          <w:color w:val="1E7B34"/>
          <w:sz w:val="22"/>
          <w:szCs w:val="22"/>
        </w:rPr>
        <w:t xml:space="preserve">STATUS: COMPLETE - 125 tests passing</w:t>
      </w:r>
    </w:p>
    <w:p>
      <w:pPr>
        <w:spacing w:after="50"/>
        <w:jc w:val="center"/>
      </w:pPr>
      <w:r>
        <w:rPr>
          <w:color w:val="595959"/>
          <w:sz w:val="20"/>
          <w:szCs w:val="20"/>
        </w:rPr>
        <w:t xml:space="preserve">Hold/cash state machine with whipsaw guards</w:t>
      </w:r>
    </w:p>
    <w:p>
      <w:pPr>
        <w:spacing w:after="50"/>
        <w:jc w:val="center"/>
      </w:pPr>
      <w:r>
        <w:rPr>
          <w:color w:val="595959"/>
          <w:sz w:val="20"/>
          <w:szCs w:val="20"/>
        </w:rPr>
        <w:t xml:space="preserve">2020 stress test: 7.7 points of drawdown saved, with higher return</w:t>
      </w:r>
    </w:p>
    <w:p>
      <w:pPr>
        <w:spacing w:after="50"/>
        <w:jc w:val="center"/>
      </w:pPr>
      <w:r>
        <w:rPr>
          <w:color w:val="595959"/>
          <w:sz w:val="20"/>
          <w:szCs w:val="20"/>
        </w:rPr>
        <w:t xml:space="preserve">2021-2026: 0.4 trades per symbol per year - correctly quiet</w:t>
      </w:r>
    </w:p>
    <w:p>
      <w:pPr>
        <w:spacing w:before="200"/>
        <w:jc w:val="center"/>
      </w:pPr>
      <w:r>
        <w:rPr>
          <w:color w:val="595959"/>
          <w:sz w:val="19"/>
          <w:szCs w:val="19"/>
        </w:rPr>
        <w:t xml:space="preserve">Generated 2026-07-26</w:t>
      </w:r>
    </w:p>
    <w:p>
      <w:r>
        <w:br w:type="page"/>
      </w:r>
    </w:p>
    <w:p>
      <w:pPr>
        <w:pStyle w:val="Heading1"/>
        <w:spacing w:after="160" w:before="36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t xml:space="preserve">1. What this phase decides</w:t>
      </w:r>
    </w:p>
    <w:p>
      <w:pPr>
        <w:spacing w:after="130" w:line="300"/>
      </w:pPr>
      <w:r>
        <w:t xml:space="preserve">Intensity says today is unusual and phase says the move is downward. Neither is a position. Something has to decide when to leave, when to come back, and how to avoid doing either too often.</w:t>
      </w:r>
    </w:p>
    <w:p>
      <w:pPr>
        <w:spacing w:after="130" w:line="300"/>
      </w:pPr>
      <w:r>
        <w:t xml:space="preserve">Long is the default state. The model is not asked to pick stocks or time the market continuously -- only to step out when a decline begins and step back in afterwards.</w:t>
      </w:r>
    </w:p>
    <w:p>
      <w:pPr>
        <w:pStyle w:val="Heading2"/>
        <w:spacing w:after="120" w:before="300"/>
      </w:pPr>
      <w:r>
        <w:t xml:space="preserve">1.1 Re-entry is the hard half</w:t>
      </w:r>
    </w:p>
    <w:p>
      <w:pPr>
        <w:spacing w:after="130" w:line="300"/>
      </w:pPr>
      <w:r>
        <w:t xml:space="preserve">Exiting is comparatively easy: the exit rule carries a hundredfold edge at a one-day horizon. Coming back is the difficulty. Crashes are followed by recoveries, and a strategy that exits well but re-enters late loses more to the missed rebound than it ever saved on the decline. That failure mode is why most crash-avoidance strategies underperform buy-and-hold despite being right about the crash.</w:t>
      </w:r>
    </w:p>
    <w:p>
      <w:pPr>
        <w:spacing w:after="130" w:line="300"/>
      </w:pPr>
      <w:r>
        <w:t xml:space="preserve">Four re-entry rules were therefore implemented and compared rather than one being assumed: on a confirmed rally, when the decline stops accelerating, after a fixed number of sessions, and as soon as the phase is no longer an accelerating decline.</w:t>
      </w:r>
    </w:p>
    <w:tbl>
      <w:tblPr>
        <w:tblW w:type="dxa" w:w="9000"/>
        <w:tblBorders>
          <w:top w:val="single" w:color="1F4E79" w:sz="2"/>
          <w:left w:val="single" w:color="1F4E79" w:sz="20"/>
          <w:bottom w:val="single" w:color="1F4E79" w:sz="2"/>
          <w:right w:val="single" w:color="1F4E79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7FAFD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70"/>
            </w:pPr>
            <w:r>
              <w:rPr>
                <w:b/>
                <w:bCs/>
                <w:color w:val="1F4E79"/>
              </w:rPr>
              <w:t xml:space="preserve">The comparison was less decisive than expected</w:t>
            </w:r>
          </w:p>
          <w:p>
            <w:pPr>
              <w:spacing w:after="70" w:line="300"/>
            </w:pPr>
            <w:r>
              <w:t xml:space="preserve">All four land within 0.7 percentage points of CAGR and a fraction of a point of drawdown.</w:t>
            </w:r>
          </w:p>
          <w:p>
            <w:pPr>
              <w:spacing w:after="0" w:line="300"/>
            </w:pPr>
            <w:r>
              <w:t xml:space="preserve">That is itself worth knowing: the re-entry rule matters far less than the effort spent choosing it would suggest, because the whipsaw guards -- cooldown, minimum hold, and a hard cap on time in cash -- dominate the outcome.</w:t>
            </w:r>
          </w:p>
        </w:tc>
      </w:tr>
    </w:tbl>
    <w:p>
      <w:pPr>
        <w:pStyle w:val="Heading2"/>
        <w:spacing w:after="120" w:before="300"/>
      </w:pPr>
      <w:r>
        <w:t xml:space="preserve">1.2 Whipsaw guards are not polish</w:t>
      </w:r>
    </w:p>
    <w:p>
      <w:pPr>
        <w:spacing w:after="130" w:line="300"/>
      </w:pPr>
      <w:r>
        <w:t xml:space="preserve">Every round trip pays brokerage, securities transaction tax, stamp duty, GST and slippage, and converts a long-term holding into a short-term one for tax. A rule that is right slightly more often than it is wrong can still lose money if it trades enough. The guards are load-bearing.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2. The headline result</w:t>
      </w:r>
    </w:p>
    <w:p>
      <w:pPr>
        <w:pStyle w:val="Heading2"/>
        <w:spacing w:after="120" w:before="300"/>
      </w:pPr>
      <w:r>
        <w:t xml:space="preserve">2.1 On the 2021-2026 window, almost nothing happens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300"/>
        <w:gridCol w:w="1200"/>
        <w:gridCol w:w="1300"/>
        <w:gridCol w:w="900"/>
        <w:gridCol w:w="9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Re-entry rule</w:t>
            </w:r>
          </w:p>
        </w:tc>
        <w:tc>
          <w:tcPr>
            <w:tcW w:type="dxa" w:w="1500"/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Trades/sym/yr</w:t>
            </w:r>
          </w:p>
        </w:tc>
        <w:tc>
          <w:tcPr>
            <w:tcW w:type="dxa" w:w="1300"/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Days in cash</w:t>
            </w:r>
          </w:p>
        </w:tc>
        <w:tc>
          <w:tcPr>
            <w:tcW w:type="dxa" w:w="1200"/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CAGR</w:t>
            </w:r>
          </w:p>
        </w:tc>
        <w:tc>
          <w:tcPr>
            <w:tcW w:type="dxa" w:w="1300"/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B&amp;H CAGR</w:t>
            </w:r>
          </w:p>
        </w:tc>
        <w:tc>
          <w:tcPr>
            <w:tcW w:type="dxa" w:w="900"/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maxDD</w:t>
            </w:r>
          </w:p>
        </w:tc>
        <w:tc>
          <w:tcPr>
            <w:tcW w:type="dxa" w:w="900"/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B&amp;H maxDD</w:t>
            </w:r>
          </w:p>
        </w:tc>
      </w:tr>
      <w:tr>
        <w:tc>
          <w:tcPr>
            <w:tcW w:type="dxa" w:w="1900"/>
            <w:shd w:fill="F5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rally_signal</w:t>
            </w:r>
          </w:p>
        </w:tc>
        <w:tc>
          <w:tcPr>
            <w:tcW w:type="dxa" w:w="1500"/>
            <w:shd w:fill="F5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0.13</w:t>
            </w:r>
          </w:p>
        </w:tc>
        <w:tc>
          <w:tcPr>
            <w:tcW w:type="dxa" w:w="1300"/>
            <w:shd w:fill="F5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0.7%</w:t>
            </w:r>
          </w:p>
        </w:tc>
        <w:tc>
          <w:tcPr>
            <w:tcW w:type="dxa" w:w="1200"/>
            <w:shd w:fill="F5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26.12%</w:t>
            </w:r>
          </w:p>
        </w:tc>
        <w:tc>
          <w:tcPr>
            <w:tcW w:type="dxa" w:w="1300"/>
            <w:shd w:fill="F5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25.64%</w:t>
            </w:r>
          </w:p>
        </w:tc>
        <w:tc>
          <w:tcPr>
            <w:tcW w:type="dxa" w:w="900"/>
            <w:shd w:fill="F5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-19.9%</w:t>
            </w:r>
          </w:p>
        </w:tc>
        <w:tc>
          <w:tcPr>
            <w:tcW w:type="dxa" w:w="900"/>
            <w:shd w:fill="F5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-20.0%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decel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0.14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0.5%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25.85%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25.64%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-19.9%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-20.0%</w:t>
            </w:r>
          </w:p>
        </w:tc>
      </w:tr>
      <w:tr>
        <w:tc>
          <w:tcPr>
            <w:tcW w:type="dxa" w:w="1900"/>
            <w:shd w:fill="F5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time</w:t>
            </w:r>
          </w:p>
        </w:tc>
        <w:tc>
          <w:tcPr>
            <w:tcW w:type="dxa" w:w="1500"/>
            <w:shd w:fill="F5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0.14</w:t>
            </w:r>
          </w:p>
        </w:tc>
        <w:tc>
          <w:tcPr>
            <w:tcW w:type="dxa" w:w="1300"/>
            <w:shd w:fill="F5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0.2%</w:t>
            </w:r>
          </w:p>
        </w:tc>
        <w:tc>
          <w:tcPr>
            <w:tcW w:type="dxa" w:w="1200"/>
            <w:shd w:fill="F5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25.94%</w:t>
            </w:r>
          </w:p>
        </w:tc>
        <w:tc>
          <w:tcPr>
            <w:tcW w:type="dxa" w:w="1300"/>
            <w:shd w:fill="F5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25.64%</w:t>
            </w:r>
          </w:p>
        </w:tc>
        <w:tc>
          <w:tcPr>
            <w:tcW w:type="dxa" w:w="900"/>
            <w:shd w:fill="F5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-19.9%</w:t>
            </w:r>
          </w:p>
        </w:tc>
        <w:tc>
          <w:tcPr>
            <w:tcW w:type="dxa" w:w="900"/>
            <w:shd w:fill="F5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-20.0%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not_declining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0.14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0.2%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26.00%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25.64%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-19.9%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-20.0%</w:t>
            </w:r>
          </w:p>
        </w:tc>
      </w:tr>
    </w:tbl>
    <w:p>
      <w:pPr>
        <w:spacing w:after="130" w:line="300"/>
      </w:pPr>
      <w:r>
        <w:t xml:space="preserve">Roughly one trade per symbol every seven years, half a percent of days in cash, and drawdown within a tenth of a point of simply holding. Lowering the exit threshold from 0.99 to 0.70 does not change this -- it only trades more and earns less, with CAGR falling from 20.9% to 17.7% in an earlier sweep.</w:t>
      </w:r>
    </w:p>
    <w:p>
      <w:pPr>
        <w:pStyle w:val="Heading2"/>
        <w:spacing w:after="120" w:before="300"/>
      </w:pPr>
      <w:r>
        <w:t xml:space="preserve">2.2 The reason is the window, not the model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2020-01 to 2020-03</w:t>
            </w:r>
          </w:p>
        </w:tc>
        <w:tc>
          <w:tcPr>
            <w:tcW w:type="dxa" w:w="3000"/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2024-09 to 2025-02</w:t>
            </w:r>
          </w:p>
        </w:tc>
      </w:tr>
      <w:tr>
        <w:tc>
          <w:tcPr>
            <w:tcW w:type="dxa" w:w="3000"/>
            <w:shd w:fill="F5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Duration</w:t>
            </w:r>
          </w:p>
        </w:tc>
        <w:tc>
          <w:tcPr>
            <w:tcW w:type="dxa" w:w="3000"/>
            <w:shd w:fill="F5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67 days</w:t>
            </w:r>
          </w:p>
        </w:tc>
        <w:tc>
          <w:tcPr>
            <w:tcW w:type="dxa" w:w="3000"/>
            <w:shd w:fill="F5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154 days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Worst single day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-8.3%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-3.2%</w:t>
            </w:r>
          </w:p>
        </w:tc>
      </w:tr>
      <w:tr>
        <w:tc>
          <w:tcPr>
            <w:tcW w:type="dxa" w:w="3000"/>
            <w:shd w:fill="F5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Days beyond 3%</w:t>
            </w:r>
          </w:p>
        </w:tc>
        <w:tc>
          <w:tcPr>
            <w:tcW w:type="dxa" w:w="3000"/>
            <w:shd w:fill="F5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shd w:fill="F5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Annualised volatility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38.5%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16.5%</w:t>
            </w:r>
          </w:p>
        </w:tc>
      </w:tr>
      <w:tr>
        <w:tc>
          <w:tcPr>
            <w:tcW w:type="dxa" w:w="3000"/>
            <w:shd w:fill="F5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Drawdown</w:t>
            </w:r>
          </w:p>
        </w:tc>
        <w:tc>
          <w:tcPr>
            <w:tcW w:type="dxa" w:w="3000"/>
            <w:shd w:fill="F5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-37.8%</w:t>
            </w:r>
          </w:p>
        </w:tc>
        <w:tc>
          <w:tcPr>
            <w:tcW w:type="dxa" w:w="3000"/>
            <w:shd w:fill="F5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-21.2%</w:t>
            </w:r>
          </w:p>
        </w:tc>
      </w:tr>
    </w:tbl>
    <w:p>
      <w:pPr>
        <w:spacing w:after="130" w:line="300"/>
      </w:pPr>
      <w:r>
        <w:t xml:space="preserve">The worst drawdown of the backtest window was a slow bleed at near-normal volatility with a single day beyond three percent. There is nothing in it for an anomaly detector to fire on. The system targets sharp declines, and this window contains none -- so it correctly does almost nothing.</w:t>
      </w:r>
    </w:p>
    <w:p>
      <w:pPr>
        <w:spacing w:after="130" w:line="300"/>
      </w:pPr>
      <w:r>
        <w:t xml:space="preserve">A backtest window that lacks the risk a system is designed for cannot tell you whether the system works. It can only tell you the system does not misbehave in its absence, which is worth knowing but is a different question.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3. Stress test</w:t>
      </w:r>
    </w:p>
    <w:p>
      <w:pPr>
        <w:spacing w:after="130" w:line="300"/>
      </w:pPr>
      <w:r>
        <w:t xml:space="preserve">Training on 2016-2019 keeps COVID genuinely out of sample -- the model has never seen a crash of that magnitude when it is asked to react to one.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300"/>
        <w:gridCol w:w="1300"/>
        <w:gridCol w:w="1200"/>
        <w:gridCol w:w="1200"/>
        <w:gridCol w:w="13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Window</w:t>
            </w:r>
          </w:p>
        </w:tc>
        <w:tc>
          <w:tcPr>
            <w:tcW w:type="dxa" w:w="1300"/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Strategy</w:t>
            </w:r>
          </w:p>
        </w:tc>
        <w:tc>
          <w:tcPr>
            <w:tcW w:type="dxa" w:w="1300"/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Buy &amp; hold</w:t>
            </w:r>
          </w:p>
        </w:tc>
        <w:tc>
          <w:tcPr>
            <w:tcW w:type="dxa" w:w="1300"/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Strat DD</w:t>
            </w:r>
          </w:p>
        </w:tc>
        <w:tc>
          <w:tcPr>
            <w:tcW w:type="dxa" w:w="1200"/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B&amp;H DD</w:t>
            </w:r>
          </w:p>
        </w:tc>
        <w:tc>
          <w:tcPr>
            <w:tcW w:type="dxa" w:w="1200"/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DD saved</w:t>
            </w:r>
          </w:p>
        </w:tc>
        <w:tc>
          <w:tcPr>
            <w:tcW w:type="dxa" w:w="1300"/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Trades</w:t>
            </w:r>
          </w:p>
        </w:tc>
      </w:tr>
      <w:tr>
        <w:tc>
          <w:tcPr>
            <w:tcW w:type="dxa" w:w="2400"/>
            <w:shd w:fill="F5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2020 Feb-Apr (the crash)</w:t>
            </w:r>
          </w:p>
        </w:tc>
        <w:tc>
          <w:tcPr>
            <w:tcW w:type="dxa" w:w="1300"/>
            <w:shd w:fill="F5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-16.4%</w:t>
            </w:r>
          </w:p>
        </w:tc>
        <w:tc>
          <w:tcPr>
            <w:tcW w:type="dxa" w:w="1300"/>
            <w:shd w:fill="F5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-21.1%</w:t>
            </w:r>
          </w:p>
        </w:tc>
        <w:tc>
          <w:tcPr>
            <w:tcW w:type="dxa" w:w="1300"/>
            <w:shd w:fill="F5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-28.7%</w:t>
            </w:r>
          </w:p>
        </w:tc>
        <w:tc>
          <w:tcPr>
            <w:tcW w:type="dxa" w:w="1200"/>
            <w:shd w:fill="F5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-36.6%</w:t>
            </w:r>
          </w:p>
        </w:tc>
        <w:tc>
          <w:tcPr>
            <w:tcW w:type="dxa" w:w="1200"/>
            <w:shd w:fill="F5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+7.9pp</w:t>
            </w:r>
          </w:p>
        </w:tc>
        <w:tc>
          <w:tcPr>
            <w:tcW w:type="dxa" w:w="1300"/>
            <w:shd w:fill="F5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10.30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2020 full year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+32.2%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+24.6%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-29.2%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-36.8%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+7.7pp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3.17</w:t>
            </w:r>
          </w:p>
        </w:tc>
      </w:tr>
      <w:tr>
        <w:tc>
          <w:tcPr>
            <w:tcW w:type="dxa" w:w="2400"/>
            <w:shd w:fill="F5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2021-2026 (no crash)</w:t>
            </w:r>
          </w:p>
        </w:tc>
        <w:tc>
          <w:tcPr>
            <w:tcW w:type="dxa" w:w="1300"/>
            <w:shd w:fill="F5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+245.2%</w:t>
            </w:r>
          </w:p>
        </w:tc>
        <w:tc>
          <w:tcPr>
            <w:tcW w:type="dxa" w:w="1300"/>
            <w:shd w:fill="F5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+244.9%</w:t>
            </w:r>
          </w:p>
        </w:tc>
        <w:tc>
          <w:tcPr>
            <w:tcW w:type="dxa" w:w="1300"/>
            <w:shd w:fill="F5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-19.7%</w:t>
            </w:r>
          </w:p>
        </w:tc>
        <w:tc>
          <w:tcPr>
            <w:tcW w:type="dxa" w:w="1200"/>
            <w:shd w:fill="F5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-20.0%</w:t>
            </w:r>
          </w:p>
        </w:tc>
        <w:tc>
          <w:tcPr>
            <w:tcW w:type="dxa" w:w="1200"/>
            <w:shd w:fill="F5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+0.3pp</w:t>
            </w:r>
          </w:p>
        </w:tc>
        <w:tc>
          <w:tcPr>
            <w:tcW w:type="dxa" w:w="1300"/>
            <w:shd w:fill="F5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0.40</w:t>
            </w:r>
          </w:p>
        </w:tc>
      </w:tr>
    </w:tbl>
    <w:tbl>
      <w:tblPr>
        <w:tblW w:type="dxa" w:w="9000"/>
        <w:tblBorders>
          <w:top w:val="single" w:color="1E7B34" w:sz="2"/>
          <w:left w:val="single" w:color="1E7B34" w:sz="20"/>
          <w:bottom w:val="single" w:color="1E7B34" w:sz="2"/>
          <w:right w:val="single" w:color="1E7B34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5FBF6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70"/>
            </w:pPr>
            <w:r>
              <w:rPr>
                <w:b/>
                <w:bCs/>
                <w:color w:val="1E7B34"/>
              </w:rPr>
              <w:t xml:space="preserve">What this shows</w:t>
            </w:r>
          </w:p>
          <w:p>
            <w:pPr>
              <w:spacing w:after="70" w:line="300"/>
            </w:pPr>
            <w:r>
              <w:t xml:space="preserve">Nearly eight points of drawdown saved in the crash year, with HIGHER return, on a model that never saw COVID.</w:t>
            </w:r>
          </w:p>
          <w:p>
            <w:pPr>
              <w:spacing w:after="70" w:line="300"/>
            </w:pPr>
            <w:r>
              <w:t xml:space="preserve">In the quiet window it stays out of the way at 0.40 trades per symbol per year. The guards hold.</w:t>
            </w:r>
          </w:p>
          <w:p>
            <w:pPr>
              <w:spacing w:after="0" w:line="300"/>
            </w:pPr>
            <w:r>
              <w:t xml:space="preserve">Read as insurance: it costs very little in quiet years and pays back meaningfully when a crash arrives.</w:t>
            </w:r>
          </w:p>
        </w:tc>
      </w:tr>
    </w:tbl>
    <w:p>
      <w:pPr>
        <w:spacing w:after="130" w:line="300"/>
      </w:pPr>
      <w:r>
        <w:t xml:space="preserve">The caveat that must accompany every statement of this result: 2020 is ONE event. Nothing generalises from a sample of one. Extending the training window back to include 2008 would give a second crash to test against, and that is the obvious next step for anyone wanting confidence in the number.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4. Two bugs found by review</w:t>
      </w:r>
    </w:p>
    <w:p>
      <w:pPr>
        <w:pStyle w:val="Heading2"/>
        <w:spacing w:after="120" w:before="300"/>
      </w:pPr>
      <w:r>
        <w:t xml:space="preserve">4.1 A double lag, caught by a test</w:t>
      </w:r>
    </w:p>
    <w:p>
      <w:pPr>
        <w:spacing w:after="130" w:line="300"/>
      </w:pPr>
      <w:r>
        <w:t xml:space="preserve">The state machine assigned the position for each bar BEFORE processing that bar's decision, which already implements next-day execution correctly. A further shift had been applied on top, delaying every trade by a second day.</w:t>
      </w:r>
    </w:p>
    <w:p>
      <w:pPr>
        <w:spacing w:after="130" w:line="300"/>
      </w:pPr>
      <w:r>
        <w:t xml:space="preserve">No backtest would have complained. It would simply have reported worse numbers forever, and they would have looked plausible.</w:t>
      </w:r>
    </w:p>
    <w:p>
      <w:pPr>
        <w:pStyle w:val="Heading2"/>
        <w:spacing w:after="120" w:before="300"/>
      </w:pPr>
      <w:r>
        <w:t xml:space="preserve">4.2 A geometric mean masquerading as a portfolio</w:t>
      </w:r>
    </w:p>
    <w:p>
      <w:pPr>
        <w:spacing w:after="130" w:line="300"/>
      </w:pPr>
      <w:r>
        <w:t xml:space="preserve">Per-stock log equity curves were being averaged and exponentiated. That gives the geometric mean of individual stock outcomes, which is not a portfolio -- it silently discards the diversification benefit, since the mean of logarithms sits below the logarithm of the mean.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300"/>
        <w:gridCol w:w="2300"/>
      </w:tblGrid>
      <w:tr>
        <w:trPr>
          <w:tblHeader/>
        </w:trPr>
        <w:tc>
          <w:tcPr>
            <w:tcW w:type="dxa" w:w="4400"/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300"/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CAGR</w:t>
            </w:r>
          </w:p>
        </w:tc>
        <w:tc>
          <w:tcPr>
            <w:tcW w:type="dxa" w:w="2300"/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maxDD</w:t>
            </w:r>
          </w:p>
        </w:tc>
      </w:tr>
      <w:tr>
        <w:tc>
          <w:tcPr>
            <w:tcW w:type="dxa" w:w="4400"/>
            <w:shd w:fill="F5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Geometric mean of stocks (wrong)</w:t>
            </w:r>
          </w:p>
        </w:tc>
        <w:tc>
          <w:tcPr>
            <w:tcW w:type="dxa" w:w="2300"/>
            <w:shd w:fill="F5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20.69%</w:t>
            </w:r>
          </w:p>
        </w:tc>
        <w:tc>
          <w:tcPr>
            <w:tcW w:type="dxa" w:w="2300"/>
            <w:shd w:fill="F5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-21.2%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Equal-weight, daily rebalanced (right)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25.44%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-20.0%</w:t>
            </w:r>
          </w:p>
        </w:tc>
      </w:tr>
    </w:tbl>
    <w:p>
      <w:pPr>
        <w:spacing w:after="130" w:line="300"/>
      </w:pPr>
      <w:r>
        <w:t xml:space="preserve">A 4.75 point understatement of CAGR. Correcting it also moved the headline stress-test figure from a claimed ten points of drawdown saved to a true 7.7 -- in other words, the error had been flattering the result in one place and penalising it in another.</w:t>
      </w:r>
    </w:p>
    <w:tbl>
      <w:tblPr>
        <w:tblW w:type="dxa" w:w="9000"/>
        <w:tblBorders>
          <w:top w:val="single" w:color="B22222" w:sz="2"/>
          <w:left w:val="single" w:color="B22222" w:sz="20"/>
          <w:bottom w:val="single" w:color="B22222" w:sz="2"/>
          <w:right w:val="single" w:color="B22222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DF6F6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70"/>
            </w:pPr>
            <w:r>
              <w:rPr>
                <w:b/>
                <w:bCs/>
                <w:color w:val="B22222"/>
              </w:rPr>
              <w:t xml:space="preserve">Why both were worth finding</w:t>
            </w:r>
          </w:p>
          <w:p>
            <w:pPr>
              <w:spacing w:after="70" w:line="300"/>
            </w:pPr>
            <w:r>
              <w:t xml:space="preserve">Neither produced an error, a warning, or an implausible number. Both simply produced slightly wrong answers that looked entirely reasonable.</w:t>
            </w:r>
          </w:p>
          <w:p>
            <w:pPr>
              <w:spacing w:after="0" w:line="300"/>
            </w:pPr>
            <w:r>
              <w:t xml:space="preserve">This is the recurring lesson of the project: in a numerical pipeline, the dangerous failures are the ones that stay quiet.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5. The market-wide overlay</w:t>
      </w:r>
    </w:p>
    <w:p>
      <w:pPr>
        <w:spacing w:after="130" w:line="300"/>
      </w:pPr>
      <w:r>
        <w:t xml:space="preserve">A systemic de-risking flag fires when breadth reaches 75 percent and the median slope falls to -1.5 sigma. Both conditions are required, because breadth alone cannot separate a systemic crash from a broad pullback -- around ninety percent of stocks were declining on the COVID crash and on several ordinary pullbacks alike, and only the median slope distinguishes them.</w:t>
      </w:r>
    </w:p>
    <w:p>
      <w:pPr>
        <w:spacing w:after="130" w:line="300"/>
      </w:pPr>
      <w:r>
        <w:t xml:space="preserve">Out of sample it fired zero times in 1,344 sessions. The threshold was calibrated on history including COVID, and 2021-2026 never came close.</w:t>
      </w:r>
    </w:p>
    <w:p>
      <w:pPr>
        <w:spacing w:after="130" w:line="300"/>
      </w:pPr>
      <w:r>
        <w:t xml:space="preserve">That is arguably correct behaviour rather than a fault. A systemic-crash trigger SHOULD be rare, and a version tuned to fire in a period containing no systemic crash would be fitted to noise.</w:t>
      </w:r>
    </w:p>
    <w:p>
      <w:pPr>
        <w:pStyle w:val="Heading1"/>
        <w:spacing w:after="160" w:before="360"/>
      </w:pPr>
      <w:r>
        <w:t xml:space="preserve">6. Known limitations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The stress test rests on a single crash. Everything about the magnitude of the benefit is uncertain from n=1.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All figures are gross of costs. Phase 6 adds the Indian cost and tax stack, though at 0.4 trades per symbol per year the impact should be small - itself a finding worth stating.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The strategy is evaluated as an equal-weighted portfolio with no position sizing. Top-N selection by signal strength is implemented but not yet exercised.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Re-entry rules differ by less than the noise in a single backtest window, so the choice between them is not well supported by evidence.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The market overlay is untested, having never fired out of sample.</w:t>
      </w:r>
    </w:p>
    <w:p>
      <w:pPr>
        <w:pStyle w:val="Heading1"/>
        <w:spacing w:after="160" w:before="360"/>
      </w:pPr>
      <w:r>
        <w:t xml:space="preserve">7. Handoff to Phase 6</w:t>
      </w:r>
    </w:p>
    <w:p>
      <w:pPr>
        <w:spacing w:after="130" w:line="300"/>
      </w:pPr>
      <w:r>
        <w:t xml:space="preserve">Phase 6 adds the realistic cost and tax model and produces the definitive equity curves. It inherits the position panel, the equal-weight portfolio helper, and a settled framing.</w:t>
      </w:r>
    </w:p>
    <w:p>
      <w:pPr>
        <w:spacing w:after="130" w:line="300"/>
      </w:pPr>
      <w:r>
        <w:t xml:space="preserve">The interesting question for Phase 6 is not whether costs erode the strategy -- at this trade frequency they cannot -- but how much of the drawdown benefit survives the tax treatment, since every crash exit converts a long-term holding into a short-term one and moves the rate from 12.5% to 20%.</w:t>
      </w:r>
    </w:p>
    <w:sectPr>
      <w:headerReference w:type="default" r:id="rId7"/>
      <w:footerReference w:type="default" r:id="rId8"/>
      <w:pgSz w:w="11906" w:h="16838" w:orient="portrait"/>
      <w:pgMar w:top="1300" w:right="1400" w:bottom="13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7"/>
        <w:szCs w:val="17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DE" w:sz="4"/>
      </w:pBdr>
      <w:jc w:val="right"/>
    </w:pPr>
    <w:r>
      <w:rPr>
        <w:color w:val="595959"/>
        <w:sz w:val="17"/>
        <w:szCs w:val="17"/>
      </w:rPr>
      <w:t xml:space="preserve">QBEAST · Phase 5 - Signals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5F8A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595959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QBEAST Phase 5 - Signal Generation</dc:title>
  <dc:creator>QBEAST</dc:creator>
  <dc:description>QBEAST crash detection system — phase documentation</dc:description>
  <cp:lastModifiedBy>Un-named</cp:lastModifiedBy>
  <cp:revision>1</cp:revision>
  <dcterms:created xsi:type="dcterms:W3CDTF">2026-07-26T11:52:55.642Z</dcterms:created>
  <dcterms:modified xsi:type="dcterms:W3CDTF">2026-07-26T11:52:55.642Z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