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b/>
          <w:bCs/>
          <w:color w:val="1F4E79"/>
          <w:sz w:val="56"/>
          <w:szCs w:val="56"/>
        </w:rPr>
        <w:t xml:space="preserve">QBEAST</w:t>
      </w:r>
    </w:p>
    <w:p>
      <w:pPr>
        <w:spacing w:after="500"/>
        <w:jc w:val="center"/>
      </w:pPr>
      <w:r>
        <w:rPr>
          <w:color w:val="595959"/>
          <w:sz w:val="24"/>
          <w:szCs w:val="24"/>
        </w:rPr>
        <w:t xml:space="preserve">Stock Market Crash Detection System</w:t>
      </w:r>
    </w:p>
    <w:p>
      <w:pPr>
        <w:spacing w:after="60"/>
        <w:jc w:val="center"/>
      </w:pPr>
      <w:r>
        <w:rPr>
          <w:b/>
          <w:bCs/>
          <w:color w:val="2E5F8A"/>
          <w:sz w:val="30"/>
          <w:szCs w:val="30"/>
        </w:rPr>
        <w:t xml:space="preserve">PHASE 4</w:t>
      </w:r>
    </w:p>
    <w:p>
      <w:pPr>
        <w:spacing w:after="100"/>
        <w:jc w:val="center"/>
      </w:pPr>
      <w:r>
        <w:rPr>
          <w:b/>
          <w:bCs/>
          <w:sz w:val="44"/>
          <w:szCs w:val="44"/>
        </w:rPr>
        <w:t xml:space="preserve">Labels &amp; Lead Time</w:t>
      </w:r>
    </w:p>
    <w:p>
      <w:pPr>
        <w:spacing w:after="500"/>
        <w:jc w:val="center"/>
      </w:pPr>
      <w:r>
        <w:rPr>
          <w:i/>
          <w:iCs/>
          <w:color w:val="595959"/>
          <w:sz w:val="23"/>
          <w:szCs w:val="23"/>
        </w:rPr>
        <w:t xml:space="preserve">The go/no-go gate: does the signal arrive early enough to be worth anything?</w:t>
      </w:r>
    </w:p>
    <w:p>
      <w:pPr>
        <w:spacing w:after="60"/>
        <w:jc w:val="center"/>
      </w:pPr>
      <w:r>
        <w:rPr>
          <w:b/>
          <w:bCs/>
          <w:color w:val="1E7B34"/>
          <w:sz w:val="22"/>
          <w:szCs w:val="22"/>
        </w:rPr>
        <w:t xml:space="preserve">STATUS: COMPLETE - the answer changes what this project can claim</w:t>
      </w:r>
    </w:p>
    <w:p>
      <w:pPr>
        <w:spacing w:after="50"/>
        <w:jc w:val="center"/>
      </w:pPr>
      <w:r>
        <w:rPr>
          <w:color w:val="595959"/>
          <w:sz w:val="20"/>
          <w:szCs w:val="20"/>
        </w:rPr>
        <w:t xml:space="preserve">705 crash onsets out of sample, measured against a random baseline</w:t>
      </w:r>
    </w:p>
    <w:p>
      <w:pPr>
        <w:spacing w:after="50"/>
        <w:jc w:val="center"/>
      </w:pPr>
      <w:r>
        <w:rPr>
          <w:color w:val="595959"/>
          <w:sz w:val="20"/>
          <w:szCs w:val="20"/>
        </w:rPr>
        <w:t xml:space="preserve">Early-warning skill: 0.88x - no better than chance</w:t>
      </w:r>
    </w:p>
    <w:p>
      <w:pPr>
        <w:spacing w:after="50"/>
        <w:jc w:val="center"/>
      </w:pPr>
      <w:r>
        <w:rPr>
          <w:color w:val="595959"/>
          <w:sz w:val="20"/>
          <w:szCs w:val="20"/>
        </w:rPr>
        <w:t xml:space="preserve">Short-horizon lift: 110x at one day</w:t>
      </w:r>
    </w:p>
    <w:p>
      <w:pPr>
        <w:spacing w:before="200"/>
        <w:jc w:val="center"/>
      </w:pPr>
      <w:r>
        <w:rPr>
          <w:color w:val="595959"/>
          <w:sz w:val="19"/>
          <w:szCs w:val="19"/>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Why this phase came before the backtest</w:t>
      </w:r>
    </w:p>
    <w:p>
      <w:pPr>
        <w:spacing w:after="130" w:line="300"/>
      </w:pPr>
      <w:r>
        <w:t xml:space="preserve">Every measurement so far showed that the signal fires when crashes are near. None showed how EARLY. Those are different questions, and only the second one matches the requirement.</w:t>
      </w:r>
    </w:p>
    <w:p>
      <w:pPr>
        <w:spacing w:after="130" w:line="300"/>
      </w:pPr>
      <w:r>
        <w:t xml:space="preserve">The phase was deliberately placed ahead of the backtest, the retraining comparison and the dashboard. If the answer had come out badly after those were built, weeks of work would have been resting on a premise that does not hold. Learning it from a histogram costs an afternoon.</w:t>
      </w:r>
    </w:p>
    <w:tbl>
      <w:tblPr>
        <w:tblW w:type="dxa" w:w="9000"/>
        <w:tblBorders>
          <w:top w:val="single" w:color="1F4E79" w:sz="2"/>
          <w:left w:val="single" w:color="1F4E79" w:sz="20"/>
          <w:bottom w:val="single" w:color="1F4E79" w:sz="2"/>
          <w:right w:val="single" w:color="1F4E79" w:sz="2"/>
          <w:insideH w:val="none"/>
          <w:insideV w:val="none"/>
        </w:tblBorders>
      </w:tblPr>
      <w:tblGrid>
        <w:gridCol w:w="9000"/>
      </w:tblGrid>
      <w:tr>
        <w:tc>
          <w:tcPr>
            <w:tcW w:type="dxa" w:w="9000"/>
            <w:shd w:fill="F7FAFD" w:val="clear"/>
            <w:tcMar>
              <w:top w:type="dxa" w:w="150"/>
              <w:left w:type="dxa" w:w="220"/>
              <w:bottom w:type="dxa" w:w="150"/>
              <w:right w:type="dxa" w:w="200"/>
            </w:tcMar>
          </w:tcPr>
          <w:p>
            <w:pPr>
              <w:spacing w:after="70"/>
            </w:pPr>
            <w:r>
              <w:rPr>
                <w:b/>
                <w:bCs/>
                <w:color w:val="1F4E79"/>
              </w:rPr>
              <w:t xml:space="preserve">The label never touches training</w:t>
            </w:r>
          </w:p>
          <w:p>
            <w:pPr>
              <w:spacing w:after="70" w:line="300"/>
            </w:pPr>
            <w:r>
              <w:t xml:space="preserve">Nothing in this module is imported by the model, and no threshold defined here influences fitting.</w:t>
            </w:r>
          </w:p>
          <w:p>
            <w:pPr>
              <w:spacing w:after="0" w:line="300"/>
            </w:pPr>
            <w:r>
              <w:t xml:space="preserve">Isolation Forest is unsupervised. If the crash definition were derived from the model, the model would be defining the event it is then scored on detecting -- the evaluation would always look good and would mean nothing.</w:t>
            </w:r>
          </w:p>
        </w:tc>
      </w:tr>
    </w:tbl>
    <w:p>
      <w:r>
        <w:br w:type="page"/>
      </w:r>
    </w:p>
    <w:p>
      <w:pPr>
        <w:pStyle w:val="Heading1"/>
        <w:spacing w:after="160" w:before="360"/>
      </w:pPr>
      <w:r>
        <w:t xml:space="preserve">2. Two calibration errors, found before the result</w:t>
      </w:r>
    </w:p>
    <w:p>
      <w:pPr>
        <w:pStyle w:val="Heading2"/>
        <w:spacing w:after="120" w:before="300"/>
      </w:pPr>
      <w:r>
        <w:t xml:space="preserve">2.1 The threshold was calibrated on the wrong thing</w:t>
      </w:r>
    </w:p>
    <w:p>
      <w:pPr>
        <w:spacing w:after="130" w:line="300"/>
      </w:pPr>
      <w:r>
        <w:t xml:space="preserve">A forward five-day drawdown of five percent is genuinely rare for the index -- 5.44% of days. Applied to individual stocks, which are roughly twice as volatile, it is an ordinary pullback.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1F4E79" w:val="clear"/>
            <w:tcMar>
              <w:top w:type="dxa" w:w="90"/>
              <w:left w:type="dxa" w:w="130"/>
              <w:bottom w:type="dxa" w:w="90"/>
              <w:right w:type="dxa" w:w="130"/>
            </w:tcMar>
          </w:tcPr>
          <w:p>
            <w:r>
              <w:rPr>
                <w:b/>
                <w:bCs/>
                <w:color w:val="FFFFFF"/>
                <w:sz w:val="19"/>
                <w:szCs w:val="19"/>
              </w:rPr>
              <w:t xml:space="preserve">Threshold</w:t>
            </w:r>
          </w:p>
        </w:tc>
        <w:tc>
          <w:tcPr>
            <w:tcW w:type="dxa" w:w="3000"/>
            <w:shd w:fill="1F4E79" w:val="clear"/>
            <w:tcMar>
              <w:top w:type="dxa" w:w="90"/>
              <w:left w:type="dxa" w:w="130"/>
              <w:bottom w:type="dxa" w:w="90"/>
              <w:right w:type="dxa" w:w="130"/>
            </w:tcMar>
          </w:tcPr>
          <w:p>
            <w:r>
              <w:rPr>
                <w:b/>
                <w:bCs/>
                <w:color w:val="FFFFFF"/>
                <w:sz w:val="19"/>
                <w:szCs w:val="19"/>
              </w:rPr>
              <w:t xml:space="preserve">Onsets 2021-2026</w:t>
            </w:r>
          </w:p>
        </w:tc>
        <w:tc>
          <w:tcPr>
            <w:tcW w:type="dxa" w:w="3800"/>
            <w:shd w:fill="1F4E79" w:val="clear"/>
            <w:tcMar>
              <w:top w:type="dxa" w:w="90"/>
              <w:left w:type="dxa" w:w="130"/>
              <w:bottom w:type="dxa" w:w="90"/>
              <w:right w:type="dxa" w:w="130"/>
            </w:tcMar>
          </w:tcPr>
          <w:p>
            <w:r>
              <w:rPr>
                <w:b/>
                <w:bCs/>
                <w:color w:val="FFFFFF"/>
                <w:sz w:val="19"/>
                <w:szCs w:val="19"/>
              </w:rPr>
              <w:t xml:space="preserve">Per stock per year</w:t>
            </w:r>
          </w:p>
        </w:tc>
      </w:tr>
      <w:tr>
        <w:tc>
          <w:tcPr>
            <w:tcW w:type="dxa" w:w="2200"/>
            <w:shd w:fill="F5F8FB" w:val="clear"/>
            <w:tcMar>
              <w:top w:type="dxa" w:w="80"/>
              <w:left w:type="dxa" w:w="130"/>
              <w:bottom w:type="dxa" w:w="80"/>
              <w:right w:type="dxa" w:w="130"/>
            </w:tcMar>
          </w:tcPr>
          <w:p>
            <w:r>
              <w:rPr>
                <w:sz w:val="19"/>
                <w:szCs w:val="19"/>
              </w:rPr>
              <w:t xml:space="preserve">-5%</w:t>
            </w:r>
          </w:p>
        </w:tc>
        <w:tc>
          <w:tcPr>
            <w:tcW w:type="dxa" w:w="3000"/>
            <w:shd w:fill="F5F8FB" w:val="clear"/>
            <w:tcMar>
              <w:top w:type="dxa" w:w="80"/>
              <w:left w:type="dxa" w:w="130"/>
              <w:bottom w:type="dxa" w:w="80"/>
              <w:right w:type="dxa" w:w="130"/>
            </w:tcMar>
          </w:tcPr>
          <w:p>
            <w:r>
              <w:rPr>
                <w:sz w:val="19"/>
                <w:szCs w:val="19"/>
              </w:rPr>
              <w:t xml:space="preserve">3,950</w:t>
            </w:r>
          </w:p>
        </w:tc>
        <w:tc>
          <w:tcPr>
            <w:tcW w:type="dxa" w:w="3800"/>
            <w:shd w:fill="F5F8FB" w:val="clear"/>
            <w:tcMar>
              <w:top w:type="dxa" w:w="80"/>
              <w:left w:type="dxa" w:w="130"/>
              <w:bottom w:type="dxa" w:w="80"/>
              <w:right w:type="dxa" w:w="130"/>
            </w:tcMar>
          </w:tcPr>
          <w:p>
            <w:r>
              <w:rPr>
                <w:sz w:val="19"/>
                <w:szCs w:val="19"/>
              </w:rPr>
              <w:t xml:space="preserve">7.6   (ordinary pullbacks)</w:t>
            </w:r>
          </w:p>
        </w:tc>
      </w:tr>
      <w:tr>
        <w:tc>
          <w:tcPr>
            <w:tcW w:type="dxa" w:w="2200"/>
            <w:shd w:fill="FFFFFF" w:val="clear"/>
            <w:tcMar>
              <w:top w:type="dxa" w:w="80"/>
              <w:left w:type="dxa" w:w="130"/>
              <w:bottom w:type="dxa" w:w="80"/>
              <w:right w:type="dxa" w:w="130"/>
            </w:tcMar>
          </w:tcPr>
          <w:p>
            <w:r>
              <w:rPr>
                <w:sz w:val="19"/>
                <w:szCs w:val="19"/>
              </w:rPr>
              <w:t xml:space="preserve">-8%</w:t>
            </w:r>
          </w:p>
        </w:tc>
        <w:tc>
          <w:tcPr>
            <w:tcW w:type="dxa" w:w="3000"/>
            <w:shd w:fill="FFFFFF" w:val="clear"/>
            <w:tcMar>
              <w:top w:type="dxa" w:w="80"/>
              <w:left w:type="dxa" w:w="130"/>
              <w:bottom w:type="dxa" w:w="80"/>
              <w:right w:type="dxa" w:w="130"/>
            </w:tcMar>
          </w:tcPr>
          <w:p>
            <w:r>
              <w:rPr>
                <w:sz w:val="19"/>
                <w:szCs w:val="19"/>
              </w:rPr>
              <w:t xml:space="preserve">1,479</w:t>
            </w:r>
          </w:p>
        </w:tc>
        <w:tc>
          <w:tcPr>
            <w:tcW w:type="dxa" w:w="3800"/>
            <w:shd w:fill="FFFFFF" w:val="clear"/>
            <w:tcMar>
              <w:top w:type="dxa" w:w="80"/>
              <w:left w:type="dxa" w:w="130"/>
              <w:bottom w:type="dxa" w:w="80"/>
              <w:right w:type="dxa" w:w="130"/>
            </w:tcMar>
          </w:tcPr>
          <w:p>
            <w:r>
              <w:rPr>
                <w:sz w:val="19"/>
                <w:szCs w:val="19"/>
              </w:rPr>
              <w:t xml:space="preserve">2.9</w:t>
            </w:r>
          </w:p>
        </w:tc>
      </w:tr>
      <w:tr>
        <w:tc>
          <w:tcPr>
            <w:tcW w:type="dxa" w:w="2200"/>
            <w:shd w:fill="F5F8FB" w:val="clear"/>
            <w:tcMar>
              <w:top w:type="dxa" w:w="80"/>
              <w:left w:type="dxa" w:w="130"/>
              <w:bottom w:type="dxa" w:w="80"/>
              <w:right w:type="dxa" w:w="130"/>
            </w:tcMar>
          </w:tcPr>
          <w:p>
            <w:r>
              <w:rPr>
                <w:sz w:val="19"/>
                <w:szCs w:val="19"/>
              </w:rPr>
              <w:t xml:space="preserve">-10%</w:t>
            </w:r>
          </w:p>
        </w:tc>
        <w:tc>
          <w:tcPr>
            <w:tcW w:type="dxa" w:w="3000"/>
            <w:shd w:fill="F5F8FB" w:val="clear"/>
            <w:tcMar>
              <w:top w:type="dxa" w:w="80"/>
              <w:left w:type="dxa" w:w="130"/>
              <w:bottom w:type="dxa" w:w="80"/>
              <w:right w:type="dxa" w:w="130"/>
            </w:tcMar>
          </w:tcPr>
          <w:p>
            <w:r>
              <w:rPr>
                <w:sz w:val="19"/>
                <w:szCs w:val="19"/>
              </w:rPr>
              <w:t xml:space="preserve">705</w:t>
            </w:r>
          </w:p>
        </w:tc>
        <w:tc>
          <w:tcPr>
            <w:tcW w:type="dxa" w:w="3800"/>
            <w:shd w:fill="F5F8FB" w:val="clear"/>
            <w:tcMar>
              <w:top w:type="dxa" w:w="80"/>
              <w:left w:type="dxa" w:w="130"/>
              <w:bottom w:type="dxa" w:w="80"/>
              <w:right w:type="dxa" w:w="130"/>
            </w:tcMar>
          </w:tcPr>
          <w:p>
            <w:r>
              <w:rPr>
                <w:sz w:val="19"/>
                <w:szCs w:val="19"/>
              </w:rPr>
              <w:t xml:space="preserve">1.4   (adopted)</w:t>
            </w:r>
          </w:p>
        </w:tc>
      </w:tr>
      <w:tr>
        <w:tc>
          <w:tcPr>
            <w:tcW w:type="dxa" w:w="2200"/>
            <w:shd w:fill="FFFFFF" w:val="clear"/>
            <w:tcMar>
              <w:top w:type="dxa" w:w="80"/>
              <w:left w:type="dxa" w:w="130"/>
              <w:bottom w:type="dxa" w:w="80"/>
              <w:right w:type="dxa" w:w="130"/>
            </w:tcMar>
          </w:tcPr>
          <w:p>
            <w:r>
              <w:rPr>
                <w:sz w:val="19"/>
                <w:szCs w:val="19"/>
              </w:rPr>
              <w:t xml:space="preserve">-12%</w:t>
            </w:r>
          </w:p>
        </w:tc>
        <w:tc>
          <w:tcPr>
            <w:tcW w:type="dxa" w:w="3000"/>
            <w:shd w:fill="FFFFFF" w:val="clear"/>
            <w:tcMar>
              <w:top w:type="dxa" w:w="80"/>
              <w:left w:type="dxa" w:w="130"/>
              <w:bottom w:type="dxa" w:w="80"/>
              <w:right w:type="dxa" w:w="130"/>
            </w:tcMar>
          </w:tcPr>
          <w:p>
            <w:r>
              <w:rPr>
                <w:sz w:val="19"/>
                <w:szCs w:val="19"/>
              </w:rPr>
              <w:t xml:space="preserve">350</w:t>
            </w:r>
          </w:p>
        </w:tc>
        <w:tc>
          <w:tcPr>
            <w:tcW w:type="dxa" w:w="3800"/>
            <w:shd w:fill="FFFFFF" w:val="clear"/>
            <w:tcMar>
              <w:top w:type="dxa" w:w="80"/>
              <w:left w:type="dxa" w:w="130"/>
              <w:bottom w:type="dxa" w:w="80"/>
              <w:right w:type="dxa" w:w="130"/>
            </w:tcMar>
          </w:tcPr>
          <w:p>
            <w:r>
              <w:rPr>
                <w:sz w:val="19"/>
                <w:szCs w:val="19"/>
              </w:rPr>
              <w:t xml:space="preserve">0.7</w:t>
            </w:r>
          </w:p>
        </w:tc>
      </w:tr>
      <w:tr>
        <w:tc>
          <w:tcPr>
            <w:tcW w:type="dxa" w:w="2200"/>
            <w:shd w:fill="F5F8FB" w:val="clear"/>
            <w:tcMar>
              <w:top w:type="dxa" w:w="80"/>
              <w:left w:type="dxa" w:w="130"/>
              <w:bottom w:type="dxa" w:w="80"/>
              <w:right w:type="dxa" w:w="130"/>
            </w:tcMar>
          </w:tcPr>
          <w:p>
            <w:r>
              <w:rPr>
                <w:sz w:val="19"/>
                <w:szCs w:val="19"/>
              </w:rPr>
              <w:t xml:space="preserve">-20%</w:t>
            </w:r>
          </w:p>
        </w:tc>
        <w:tc>
          <w:tcPr>
            <w:tcW w:type="dxa" w:w="3000"/>
            <w:shd w:fill="F5F8FB" w:val="clear"/>
            <w:tcMar>
              <w:top w:type="dxa" w:w="80"/>
              <w:left w:type="dxa" w:w="130"/>
              <w:bottom w:type="dxa" w:w="80"/>
              <w:right w:type="dxa" w:w="130"/>
            </w:tcMar>
          </w:tcPr>
          <w:p>
            <w:r>
              <w:rPr>
                <w:sz w:val="19"/>
                <w:szCs w:val="19"/>
              </w:rPr>
              <w:t xml:space="preserve">36</w:t>
            </w:r>
          </w:p>
        </w:tc>
        <w:tc>
          <w:tcPr>
            <w:tcW w:type="dxa" w:w="3800"/>
            <w:shd w:fill="F5F8FB" w:val="clear"/>
            <w:tcMar>
              <w:top w:type="dxa" w:w="80"/>
              <w:left w:type="dxa" w:w="130"/>
              <w:bottom w:type="dxa" w:w="80"/>
              <w:right w:type="dxa" w:w="130"/>
            </w:tcMar>
          </w:tcPr>
          <w:p>
            <w:r>
              <w:rPr>
                <w:sz w:val="19"/>
                <w:szCs w:val="19"/>
              </w:rPr>
              <w:t xml:space="preserve">0.1</w:t>
            </w:r>
          </w:p>
        </w:tc>
      </w:tr>
    </w:tbl>
    <w:p>
      <w:pPr>
        <w:spacing w:after="130" w:line="300"/>
      </w:pPr>
      <w:r>
        <w:t xml:space="preserve">At -5% the event count is inflated sevenfold and every recall figure computed against it is meaningless. Stocks now use -10%; the index keeps -5%.</w:t>
      </w:r>
    </w:p>
    <w:p>
      <w:pPr>
        <w:pStyle w:val="Heading2"/>
        <w:spacing w:after="120" w:before="300"/>
      </w:pPr>
      <w:r>
        <w:t xml:space="preserve">2.2 Raw recall is not evidence of skill</w:t>
      </w:r>
    </w:p>
    <w:p>
      <w:pPr>
        <w:spacing w:after="130" w:line="300"/>
      </w:pPr>
      <w:r>
        <w:t xml:space="preserve">Crash events are frequent enough that any rule firing often will land near one by chance. A recall figure on its own therefore says nothing at all. Every rule is now measured against a RANDOM signal firing at exactly the same rate, on the same calendar.</w:t>
      </w:r>
    </w:p>
    <w:p>
      <w:pPr>
        <w:spacing w:after="130" w:line="300"/>
      </w:pPr>
      <w:r>
        <w:t xml:space="preserve">This is the single most transferable habit in the project: before believing any number, ask what a deliberately stupid baseline would score.</w:t>
      </w:r>
    </w:p>
    <w:p>
      <w:r>
        <w:br w:type="page"/>
      </w:r>
    </w:p>
    <w:p>
      <w:pPr>
        <w:pStyle w:val="Heading1"/>
        <w:spacing w:after="160" w:before="360"/>
      </w:pPr>
      <w:r>
        <w:t xml:space="preserve">3. The result</w:t>
      </w:r>
    </w:p>
    <w:p>
      <w:pPr>
        <w:pStyle w:val="Heading2"/>
        <w:spacing w:after="120" w:before="300"/>
      </w:pPr>
      <w:r>
        <w:t xml:space="preserve">3.1 Early warning: none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1600"/>
      </w:tblGrid>
      <w:tr>
        <w:trPr>
          <w:tblHeader/>
        </w:trPr>
        <w:tc>
          <w:tcPr>
            <w:tcW w:type="dxa" w:w="3200"/>
            <w:shd w:fill="1F4E79" w:val="clear"/>
            <w:tcMar>
              <w:top w:type="dxa" w:w="90"/>
              <w:left w:type="dxa" w:w="130"/>
              <w:bottom w:type="dxa" w:w="90"/>
              <w:right w:type="dxa" w:w="130"/>
            </w:tcMar>
          </w:tcPr>
          <w:p>
            <w:r>
              <w:rPr>
                <w:b/>
                <w:bCs/>
                <w:color w:val="FFFFFF"/>
                <w:sz w:val="19"/>
                <w:szCs w:val="19"/>
              </w:rPr>
              <w:t xml:space="preserve">Rule</w:t>
            </w:r>
          </w:p>
        </w:tc>
        <w:tc>
          <w:tcPr>
            <w:tcW w:type="dxa" w:w="1400"/>
            <w:shd w:fill="1F4E79" w:val="clear"/>
            <w:tcMar>
              <w:top w:type="dxa" w:w="90"/>
              <w:left w:type="dxa" w:w="130"/>
              <w:bottom w:type="dxa" w:w="90"/>
              <w:right w:type="dxa" w:w="130"/>
            </w:tcMar>
          </w:tcPr>
          <w:p>
            <w:r>
              <w:rPr>
                <w:b/>
                <w:bCs/>
                <w:color w:val="FFFFFF"/>
                <w:sz w:val="19"/>
                <w:szCs w:val="19"/>
              </w:rPr>
              <w:t xml:space="preserve">Signals</w:t>
            </w:r>
          </w:p>
        </w:tc>
        <w:tc>
          <w:tcPr>
            <w:tcW w:type="dxa" w:w="1400"/>
            <w:shd w:fill="1F4E79" w:val="clear"/>
            <w:tcMar>
              <w:top w:type="dxa" w:w="90"/>
              <w:left w:type="dxa" w:w="130"/>
              <w:bottom w:type="dxa" w:w="90"/>
              <w:right w:type="dxa" w:w="130"/>
            </w:tcMar>
          </w:tcPr>
          <w:p>
            <w:r>
              <w:rPr>
                <w:b/>
                <w:bCs/>
                <w:color w:val="FFFFFF"/>
                <w:sz w:val="19"/>
                <w:szCs w:val="19"/>
              </w:rPr>
              <w:t xml:space="preserve">Recall</w:t>
            </w:r>
          </w:p>
        </w:tc>
        <w:tc>
          <w:tcPr>
            <w:tcW w:type="dxa" w:w="1400"/>
            <w:shd w:fill="1F4E79" w:val="clear"/>
            <w:tcMar>
              <w:top w:type="dxa" w:w="90"/>
              <w:left w:type="dxa" w:w="130"/>
              <w:bottom w:type="dxa" w:w="90"/>
              <w:right w:type="dxa" w:w="130"/>
            </w:tcMar>
          </w:tcPr>
          <w:p>
            <w:r>
              <w:rPr>
                <w:b/>
                <w:bCs/>
                <w:color w:val="FFFFFF"/>
                <w:sz w:val="19"/>
                <w:szCs w:val="19"/>
              </w:rPr>
              <w:t xml:space="preserve">Random</w:t>
            </w:r>
          </w:p>
        </w:tc>
        <w:tc>
          <w:tcPr>
            <w:tcW w:type="dxa" w:w="1600"/>
            <w:shd w:fill="1F4E79" w:val="clear"/>
            <w:tcMar>
              <w:top w:type="dxa" w:w="90"/>
              <w:left w:type="dxa" w:w="130"/>
              <w:bottom w:type="dxa" w:w="90"/>
              <w:right w:type="dxa" w:w="130"/>
            </w:tcMar>
          </w:tcPr>
          <w:p>
            <w:r>
              <w:rPr>
                <w:b/>
                <w:bCs/>
                <w:color w:val="FFFFFF"/>
                <w:sz w:val="19"/>
                <w:szCs w:val="19"/>
              </w:rPr>
              <w:t xml:space="preserve">Skill</w:t>
            </w:r>
          </w:p>
        </w:tc>
      </w:tr>
      <w:tr>
        <w:tc>
          <w:tcPr>
            <w:tcW w:type="dxa" w:w="3200"/>
            <w:shd w:fill="F5F8FB" w:val="clear"/>
            <w:tcMar>
              <w:top w:type="dxa" w:w="80"/>
              <w:left w:type="dxa" w:w="130"/>
              <w:bottom w:type="dxa" w:w="80"/>
              <w:right w:type="dxa" w:w="130"/>
            </w:tcMar>
          </w:tcPr>
          <w:p>
            <w:r>
              <w:rPr>
                <w:sz w:val="19"/>
                <w:szCs w:val="19"/>
              </w:rPr>
              <w:t xml:space="preserve">intensity 0.99+ and AccelDecline</w:t>
            </w:r>
          </w:p>
        </w:tc>
        <w:tc>
          <w:tcPr>
            <w:tcW w:type="dxa" w:w="1400"/>
            <w:shd w:fill="F5F8FB" w:val="clear"/>
            <w:tcMar>
              <w:top w:type="dxa" w:w="80"/>
              <w:left w:type="dxa" w:w="130"/>
              <w:bottom w:type="dxa" w:w="80"/>
              <w:right w:type="dxa" w:w="130"/>
            </w:tcMar>
          </w:tcPr>
          <w:p>
            <w:r>
              <w:rPr>
                <w:sz w:val="19"/>
                <w:szCs w:val="19"/>
              </w:rPr>
              <w:t xml:space="preserve">130</w:t>
            </w:r>
          </w:p>
        </w:tc>
        <w:tc>
          <w:tcPr>
            <w:tcW w:type="dxa" w:w="1400"/>
            <w:shd w:fill="F5F8FB" w:val="clear"/>
            <w:tcMar>
              <w:top w:type="dxa" w:w="80"/>
              <w:left w:type="dxa" w:w="130"/>
              <w:bottom w:type="dxa" w:w="80"/>
              <w:right w:type="dxa" w:w="130"/>
            </w:tcMar>
          </w:tcPr>
          <w:p>
            <w:r>
              <w:rPr>
                <w:sz w:val="19"/>
                <w:szCs w:val="19"/>
              </w:rPr>
              <w:t xml:space="preserve">2.2%</w:t>
            </w:r>
          </w:p>
        </w:tc>
        <w:tc>
          <w:tcPr>
            <w:tcW w:type="dxa" w:w="1400"/>
            <w:shd w:fill="F5F8FB" w:val="clear"/>
            <w:tcMar>
              <w:top w:type="dxa" w:w="80"/>
              <w:left w:type="dxa" w:w="130"/>
              <w:bottom w:type="dxa" w:w="80"/>
              <w:right w:type="dxa" w:w="130"/>
            </w:tcMar>
          </w:tcPr>
          <w:p>
            <w:r>
              <w:rPr>
                <w:sz w:val="19"/>
                <w:szCs w:val="19"/>
              </w:rPr>
              <w:t xml:space="preserve">2.5%</w:t>
            </w:r>
          </w:p>
        </w:tc>
        <w:tc>
          <w:tcPr>
            <w:tcW w:type="dxa" w:w="1600"/>
            <w:shd w:fill="F5F8FB" w:val="clear"/>
            <w:tcMar>
              <w:top w:type="dxa" w:w="80"/>
              <w:left w:type="dxa" w:w="130"/>
              <w:bottom w:type="dxa" w:w="80"/>
              <w:right w:type="dxa" w:w="130"/>
            </w:tcMar>
          </w:tcPr>
          <w:p>
            <w:r>
              <w:rPr>
                <w:sz w:val="19"/>
                <w:szCs w:val="19"/>
              </w:rPr>
              <w:t xml:space="preserve">0.88x</w:t>
            </w:r>
          </w:p>
        </w:tc>
      </w:tr>
      <w:tr>
        <w:tc>
          <w:tcPr>
            <w:tcW w:type="dxa" w:w="3200"/>
            <w:shd w:fill="FFFFFF" w:val="clear"/>
            <w:tcMar>
              <w:top w:type="dxa" w:w="80"/>
              <w:left w:type="dxa" w:w="130"/>
              <w:bottom w:type="dxa" w:w="80"/>
              <w:right w:type="dxa" w:w="130"/>
            </w:tcMar>
          </w:tcPr>
          <w:p>
            <w:r>
              <w:rPr>
                <w:sz w:val="19"/>
                <w:szCs w:val="19"/>
              </w:rPr>
              <w:t xml:space="preserve">intensity 0.95+ and AccelDecline</w:t>
            </w:r>
          </w:p>
        </w:tc>
        <w:tc>
          <w:tcPr>
            <w:tcW w:type="dxa" w:w="1400"/>
            <w:shd w:fill="FFFFFF" w:val="clear"/>
            <w:tcMar>
              <w:top w:type="dxa" w:w="80"/>
              <w:left w:type="dxa" w:w="130"/>
              <w:bottom w:type="dxa" w:w="80"/>
              <w:right w:type="dxa" w:w="130"/>
            </w:tcMar>
          </w:tcPr>
          <w:p>
            <w:r>
              <w:rPr>
                <w:sz w:val="19"/>
                <w:szCs w:val="19"/>
              </w:rPr>
              <w:t xml:space="preserve">958</w:t>
            </w:r>
          </w:p>
        </w:tc>
        <w:tc>
          <w:tcPr>
            <w:tcW w:type="dxa" w:w="1400"/>
            <w:shd w:fill="FFFFFF" w:val="clear"/>
            <w:tcMar>
              <w:top w:type="dxa" w:w="80"/>
              <w:left w:type="dxa" w:w="130"/>
              <w:bottom w:type="dxa" w:w="80"/>
              <w:right w:type="dxa" w:w="130"/>
            </w:tcMar>
          </w:tcPr>
          <w:p>
            <w:r>
              <w:rPr>
                <w:sz w:val="19"/>
                <w:szCs w:val="19"/>
              </w:rPr>
              <w:t xml:space="preserve">8.0%</w:t>
            </w:r>
          </w:p>
        </w:tc>
        <w:tc>
          <w:tcPr>
            <w:tcW w:type="dxa" w:w="1400"/>
            <w:shd w:fill="FFFFFF" w:val="clear"/>
            <w:tcMar>
              <w:top w:type="dxa" w:w="80"/>
              <w:left w:type="dxa" w:w="130"/>
              <w:bottom w:type="dxa" w:w="80"/>
              <w:right w:type="dxa" w:w="130"/>
            </w:tcMar>
          </w:tcPr>
          <w:p>
            <w:r>
              <w:rPr>
                <w:sz w:val="19"/>
                <w:szCs w:val="19"/>
              </w:rPr>
              <w:t xml:space="preserve">14.5%</w:t>
            </w:r>
          </w:p>
        </w:tc>
        <w:tc>
          <w:tcPr>
            <w:tcW w:type="dxa" w:w="1600"/>
            <w:shd w:fill="FFFFFF" w:val="clear"/>
            <w:tcMar>
              <w:top w:type="dxa" w:w="80"/>
              <w:left w:type="dxa" w:w="130"/>
              <w:bottom w:type="dxa" w:w="80"/>
              <w:right w:type="dxa" w:w="130"/>
            </w:tcMar>
          </w:tcPr>
          <w:p>
            <w:r>
              <w:rPr>
                <w:sz w:val="19"/>
                <w:szCs w:val="19"/>
              </w:rPr>
              <w:t xml:space="preserve">0.55x</w:t>
            </w:r>
          </w:p>
        </w:tc>
      </w:tr>
      <w:tr>
        <w:tc>
          <w:tcPr>
            <w:tcW w:type="dxa" w:w="3200"/>
            <w:shd w:fill="F5F8FB" w:val="clear"/>
            <w:tcMar>
              <w:top w:type="dxa" w:w="80"/>
              <w:left w:type="dxa" w:w="130"/>
              <w:bottom w:type="dxa" w:w="80"/>
              <w:right w:type="dxa" w:w="130"/>
            </w:tcMar>
          </w:tcPr>
          <w:p>
            <w:r>
              <w:rPr>
                <w:sz w:val="19"/>
                <w:szCs w:val="19"/>
              </w:rPr>
              <w:t xml:space="preserve">intensity 0.99+ (no direction)</w:t>
            </w:r>
          </w:p>
        </w:tc>
        <w:tc>
          <w:tcPr>
            <w:tcW w:type="dxa" w:w="1400"/>
            <w:shd w:fill="F5F8FB" w:val="clear"/>
            <w:tcMar>
              <w:top w:type="dxa" w:w="80"/>
              <w:left w:type="dxa" w:w="130"/>
              <w:bottom w:type="dxa" w:w="80"/>
              <w:right w:type="dxa" w:w="130"/>
            </w:tcMar>
          </w:tcPr>
          <w:p>
            <w:r>
              <w:rPr>
                <w:sz w:val="19"/>
                <w:szCs w:val="19"/>
              </w:rPr>
              <w:t xml:space="preserve">326</w:t>
            </w:r>
          </w:p>
        </w:tc>
        <w:tc>
          <w:tcPr>
            <w:tcW w:type="dxa" w:w="1400"/>
            <w:shd w:fill="F5F8FB" w:val="clear"/>
            <w:tcMar>
              <w:top w:type="dxa" w:w="80"/>
              <w:left w:type="dxa" w:w="130"/>
              <w:bottom w:type="dxa" w:w="80"/>
              <w:right w:type="dxa" w:w="130"/>
            </w:tcMar>
          </w:tcPr>
          <w:p>
            <w:r>
              <w:rPr>
                <w:sz w:val="19"/>
                <w:szCs w:val="19"/>
              </w:rPr>
              <w:t xml:space="preserve">4.8%</w:t>
            </w:r>
          </w:p>
        </w:tc>
        <w:tc>
          <w:tcPr>
            <w:tcW w:type="dxa" w:w="1400"/>
            <w:shd w:fill="F5F8FB" w:val="clear"/>
            <w:tcMar>
              <w:top w:type="dxa" w:w="80"/>
              <w:left w:type="dxa" w:w="130"/>
              <w:bottom w:type="dxa" w:w="80"/>
              <w:right w:type="dxa" w:w="130"/>
            </w:tcMar>
          </w:tcPr>
          <w:p>
            <w:r>
              <w:rPr>
                <w:sz w:val="19"/>
                <w:szCs w:val="19"/>
              </w:rPr>
              <w:t xml:space="preserve">5.9%</w:t>
            </w:r>
          </w:p>
        </w:tc>
        <w:tc>
          <w:tcPr>
            <w:tcW w:type="dxa" w:w="1600"/>
            <w:shd w:fill="F5F8FB" w:val="clear"/>
            <w:tcMar>
              <w:top w:type="dxa" w:w="80"/>
              <w:left w:type="dxa" w:w="130"/>
              <w:bottom w:type="dxa" w:w="80"/>
              <w:right w:type="dxa" w:w="130"/>
            </w:tcMar>
          </w:tcPr>
          <w:p>
            <w:r>
              <w:rPr>
                <w:sz w:val="19"/>
                <w:szCs w:val="19"/>
              </w:rPr>
              <w:t xml:space="preserve">0.80x</w:t>
            </w:r>
          </w:p>
        </w:tc>
      </w:tr>
    </w:tbl>
    <w:p>
      <w:pPr>
        <w:spacing w:after="130" w:line="300"/>
      </w:pPr>
      <w:r>
        <w:t xml:space="preserve">Every rule sits at or below 1.00x. At a fifteen-day horizon the detector provides no early warning beyond chance. The requirement to predict crashes two to three days ahead, in the sense of forecasting from a calm market, is not met.</w:t>
      </w:r>
    </w:p>
    <w:p>
      <w:pPr>
        <w:pStyle w:val="Heading2"/>
        <w:spacing w:after="120" w:before="300"/>
      </w:pPr>
      <w:r>
        <w:t xml:space="preserve">3.2 Short-horizon information: a great deal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00"/>
      </w:tblGrid>
      <w:tr>
        <w:trPr>
          <w:tblHeader/>
        </w:trPr>
        <w:tc>
          <w:tcPr>
            <w:tcW w:type="dxa" w:w="2000"/>
            <w:shd w:fill="1F4E79" w:val="clear"/>
            <w:tcMar>
              <w:top w:type="dxa" w:w="90"/>
              <w:left w:type="dxa" w:w="130"/>
              <w:bottom w:type="dxa" w:w="90"/>
              <w:right w:type="dxa" w:w="130"/>
            </w:tcMar>
          </w:tcPr>
          <w:p>
            <w:r>
              <w:rPr>
                <w:b/>
                <w:bCs/>
                <w:color w:val="FFFFFF"/>
                <w:sz w:val="19"/>
                <w:szCs w:val="19"/>
              </w:rPr>
              <w:t xml:space="preserve">Horizon</w:t>
            </w:r>
          </w:p>
        </w:tc>
        <w:tc>
          <w:tcPr>
            <w:tcW w:type="dxa" w:w="2200"/>
            <w:shd w:fill="1F4E79" w:val="clear"/>
            <w:tcMar>
              <w:top w:type="dxa" w:w="90"/>
              <w:left w:type="dxa" w:w="130"/>
              <w:bottom w:type="dxa" w:w="90"/>
              <w:right w:type="dxa" w:w="130"/>
            </w:tcMar>
          </w:tcPr>
          <w:p>
            <w:r>
              <w:rPr>
                <w:b/>
                <w:bCs/>
                <w:color w:val="FFFFFF"/>
                <w:sz w:val="19"/>
                <w:szCs w:val="19"/>
              </w:rPr>
              <w:t xml:space="preserve">Base rate</w:t>
            </w:r>
          </w:p>
        </w:tc>
        <w:tc>
          <w:tcPr>
            <w:tcW w:type="dxa" w:w="2400"/>
            <w:shd w:fill="1F4E79" w:val="clear"/>
            <w:tcMar>
              <w:top w:type="dxa" w:w="90"/>
              <w:left w:type="dxa" w:w="130"/>
              <w:bottom w:type="dxa" w:w="90"/>
              <w:right w:type="dxa" w:w="130"/>
            </w:tcMar>
          </w:tcPr>
          <w:p>
            <w:r>
              <w:rPr>
                <w:b/>
                <w:bCs/>
                <w:color w:val="FFFFFF"/>
                <w:sz w:val="19"/>
                <w:szCs w:val="19"/>
              </w:rPr>
              <w:t xml:space="preserve">Given a signal</w:t>
            </w:r>
          </w:p>
        </w:tc>
        <w:tc>
          <w:tcPr>
            <w:tcW w:type="dxa" w:w="2400"/>
            <w:shd w:fill="1F4E79" w:val="clear"/>
            <w:tcMar>
              <w:top w:type="dxa" w:w="90"/>
              <w:left w:type="dxa" w:w="130"/>
              <w:bottom w:type="dxa" w:w="90"/>
              <w:right w:type="dxa" w:w="130"/>
            </w:tcMar>
          </w:tcPr>
          <w:p>
            <w:r>
              <w:rPr>
                <w:b/>
                <w:bCs/>
                <w:color w:val="FFFFFF"/>
                <w:sz w:val="19"/>
                <w:szCs w:val="19"/>
              </w:rPr>
              <w:t xml:space="preserve">Lift</w:t>
            </w:r>
          </w:p>
        </w:tc>
      </w:tr>
      <w:tr>
        <w:tc>
          <w:tcPr>
            <w:tcW w:type="dxa" w:w="2000"/>
            <w:shd w:fill="F5F8FB" w:val="clear"/>
            <w:tcMar>
              <w:top w:type="dxa" w:w="80"/>
              <w:left w:type="dxa" w:w="130"/>
              <w:bottom w:type="dxa" w:w="80"/>
              <w:right w:type="dxa" w:w="130"/>
            </w:tcMar>
          </w:tcPr>
          <w:p>
            <w:r>
              <w:rPr>
                <w:sz w:val="19"/>
                <w:szCs w:val="19"/>
              </w:rPr>
              <w:t xml:space="preserve">1 day</w:t>
            </w:r>
          </w:p>
        </w:tc>
        <w:tc>
          <w:tcPr>
            <w:tcW w:type="dxa" w:w="2200"/>
            <w:shd w:fill="F5F8FB" w:val="clear"/>
            <w:tcMar>
              <w:top w:type="dxa" w:w="80"/>
              <w:left w:type="dxa" w:w="130"/>
              <w:bottom w:type="dxa" w:w="80"/>
              <w:right w:type="dxa" w:w="130"/>
            </w:tcMar>
          </w:tcPr>
          <w:p>
            <w:r>
              <w:rPr>
                <w:sz w:val="19"/>
                <w:szCs w:val="19"/>
              </w:rPr>
              <w:t xml:space="preserve">0.06%</w:t>
            </w:r>
          </w:p>
        </w:tc>
        <w:tc>
          <w:tcPr>
            <w:tcW w:type="dxa" w:w="2400"/>
            <w:shd w:fill="F5F8FB" w:val="clear"/>
            <w:tcMar>
              <w:top w:type="dxa" w:w="80"/>
              <w:left w:type="dxa" w:w="130"/>
              <w:bottom w:type="dxa" w:w="80"/>
              <w:right w:type="dxa" w:w="130"/>
            </w:tcMar>
          </w:tcPr>
          <w:p>
            <w:r>
              <w:rPr>
                <w:sz w:val="19"/>
                <w:szCs w:val="19"/>
              </w:rPr>
              <w:t xml:space="preserve">6.92%</w:t>
            </w:r>
          </w:p>
        </w:tc>
        <w:tc>
          <w:tcPr>
            <w:tcW w:type="dxa" w:w="2400"/>
            <w:shd w:fill="F5F8FB" w:val="clear"/>
            <w:tcMar>
              <w:top w:type="dxa" w:w="80"/>
              <w:left w:type="dxa" w:w="130"/>
              <w:bottom w:type="dxa" w:w="80"/>
              <w:right w:type="dxa" w:w="130"/>
            </w:tcMar>
          </w:tcPr>
          <w:p>
            <w:r>
              <w:rPr>
                <w:sz w:val="19"/>
                <w:szCs w:val="19"/>
              </w:rPr>
              <w:t xml:space="preserve">110.0x</w:t>
            </w:r>
          </w:p>
        </w:tc>
      </w:tr>
      <w:tr>
        <w:tc>
          <w:tcPr>
            <w:tcW w:type="dxa" w:w="2000"/>
            <w:shd w:fill="FFFFFF" w:val="clear"/>
            <w:tcMar>
              <w:top w:type="dxa" w:w="80"/>
              <w:left w:type="dxa" w:w="130"/>
              <w:bottom w:type="dxa" w:w="80"/>
              <w:right w:type="dxa" w:w="130"/>
            </w:tcMar>
          </w:tcPr>
          <w:p>
            <w:r>
              <w:rPr>
                <w:sz w:val="19"/>
                <w:szCs w:val="19"/>
              </w:rPr>
              <w:t xml:space="preserve">2 days</w:t>
            </w:r>
          </w:p>
        </w:tc>
        <w:tc>
          <w:tcPr>
            <w:tcW w:type="dxa" w:w="2200"/>
            <w:shd w:fill="FFFFFF" w:val="clear"/>
            <w:tcMar>
              <w:top w:type="dxa" w:w="80"/>
              <w:left w:type="dxa" w:w="130"/>
              <w:bottom w:type="dxa" w:w="80"/>
              <w:right w:type="dxa" w:w="130"/>
            </w:tcMar>
          </w:tcPr>
          <w:p>
            <w:r>
              <w:rPr>
                <w:sz w:val="19"/>
                <w:szCs w:val="19"/>
              </w:rPr>
              <w:t xml:space="preserve">0.23%</w:t>
            </w:r>
          </w:p>
        </w:tc>
        <w:tc>
          <w:tcPr>
            <w:tcW w:type="dxa" w:w="2400"/>
            <w:shd w:fill="FFFFFF" w:val="clear"/>
            <w:tcMar>
              <w:top w:type="dxa" w:w="80"/>
              <w:left w:type="dxa" w:w="130"/>
              <w:bottom w:type="dxa" w:w="80"/>
              <w:right w:type="dxa" w:w="130"/>
            </w:tcMar>
          </w:tcPr>
          <w:p>
            <w:r>
              <w:rPr>
                <w:sz w:val="19"/>
                <w:szCs w:val="19"/>
              </w:rPr>
              <w:t xml:space="preserve">13.08%</w:t>
            </w:r>
          </w:p>
        </w:tc>
        <w:tc>
          <w:tcPr>
            <w:tcW w:type="dxa" w:w="2400"/>
            <w:shd w:fill="FFFFFF" w:val="clear"/>
            <w:tcMar>
              <w:top w:type="dxa" w:w="80"/>
              <w:left w:type="dxa" w:w="130"/>
              <w:bottom w:type="dxa" w:w="80"/>
              <w:right w:type="dxa" w:w="130"/>
            </w:tcMar>
          </w:tcPr>
          <w:p>
            <w:r>
              <w:rPr>
                <w:sz w:val="19"/>
                <w:szCs w:val="19"/>
              </w:rPr>
              <w:t xml:space="preserve">57.9x</w:t>
            </w:r>
          </w:p>
        </w:tc>
      </w:tr>
      <w:tr>
        <w:tc>
          <w:tcPr>
            <w:tcW w:type="dxa" w:w="2000"/>
            <w:shd w:fill="F5F8FB" w:val="clear"/>
            <w:tcMar>
              <w:top w:type="dxa" w:w="80"/>
              <w:left w:type="dxa" w:w="130"/>
              <w:bottom w:type="dxa" w:w="80"/>
              <w:right w:type="dxa" w:w="130"/>
            </w:tcMar>
          </w:tcPr>
          <w:p>
            <w:r>
              <w:rPr>
                <w:sz w:val="19"/>
                <w:szCs w:val="19"/>
              </w:rPr>
              <w:t xml:space="preserve">3 days</w:t>
            </w:r>
          </w:p>
        </w:tc>
        <w:tc>
          <w:tcPr>
            <w:tcW w:type="dxa" w:w="2200"/>
            <w:shd w:fill="F5F8FB" w:val="clear"/>
            <w:tcMar>
              <w:top w:type="dxa" w:w="80"/>
              <w:left w:type="dxa" w:w="130"/>
              <w:bottom w:type="dxa" w:w="80"/>
              <w:right w:type="dxa" w:w="130"/>
            </w:tcMar>
          </w:tcPr>
          <w:p>
            <w:r>
              <w:rPr>
                <w:sz w:val="19"/>
                <w:szCs w:val="19"/>
              </w:rPr>
              <w:t xml:space="preserve">0.57%</w:t>
            </w:r>
          </w:p>
        </w:tc>
        <w:tc>
          <w:tcPr>
            <w:tcW w:type="dxa" w:w="2400"/>
            <w:shd w:fill="F5F8FB" w:val="clear"/>
            <w:tcMar>
              <w:top w:type="dxa" w:w="80"/>
              <w:left w:type="dxa" w:w="130"/>
              <w:bottom w:type="dxa" w:w="80"/>
              <w:right w:type="dxa" w:w="130"/>
            </w:tcMar>
          </w:tcPr>
          <w:p>
            <w:r>
              <w:rPr>
                <w:sz w:val="19"/>
                <w:szCs w:val="19"/>
              </w:rPr>
              <w:t xml:space="preserve">20.00%</w:t>
            </w:r>
          </w:p>
        </w:tc>
        <w:tc>
          <w:tcPr>
            <w:tcW w:type="dxa" w:w="2400"/>
            <w:shd w:fill="F5F8FB" w:val="clear"/>
            <w:tcMar>
              <w:top w:type="dxa" w:w="80"/>
              <w:left w:type="dxa" w:w="130"/>
              <w:bottom w:type="dxa" w:w="80"/>
              <w:right w:type="dxa" w:w="130"/>
            </w:tcMar>
          </w:tcPr>
          <w:p>
            <w:r>
              <w:rPr>
                <w:sz w:val="19"/>
                <w:szCs w:val="19"/>
              </w:rPr>
              <w:t xml:space="preserve">35.1x</w:t>
            </w:r>
          </w:p>
        </w:tc>
      </w:tr>
      <w:tr>
        <w:tc>
          <w:tcPr>
            <w:tcW w:type="dxa" w:w="2000"/>
            <w:shd w:fill="FFFFFF" w:val="clear"/>
            <w:tcMar>
              <w:top w:type="dxa" w:w="80"/>
              <w:left w:type="dxa" w:w="130"/>
              <w:bottom w:type="dxa" w:w="80"/>
              <w:right w:type="dxa" w:w="130"/>
            </w:tcMar>
          </w:tcPr>
          <w:p>
            <w:r>
              <w:rPr>
                <w:sz w:val="19"/>
                <w:szCs w:val="19"/>
              </w:rPr>
              <w:t xml:space="preserve">5 days</w:t>
            </w:r>
          </w:p>
        </w:tc>
        <w:tc>
          <w:tcPr>
            <w:tcW w:type="dxa" w:w="2200"/>
            <w:shd w:fill="FFFFFF" w:val="clear"/>
            <w:tcMar>
              <w:top w:type="dxa" w:w="80"/>
              <w:left w:type="dxa" w:w="130"/>
              <w:bottom w:type="dxa" w:w="80"/>
              <w:right w:type="dxa" w:w="130"/>
            </w:tcMar>
          </w:tcPr>
          <w:p>
            <w:r>
              <w:rPr>
                <w:sz w:val="19"/>
                <w:szCs w:val="19"/>
              </w:rPr>
              <w:t xml:space="preserve">1.48%</w:t>
            </w:r>
          </w:p>
        </w:tc>
        <w:tc>
          <w:tcPr>
            <w:tcW w:type="dxa" w:w="2400"/>
            <w:shd w:fill="FFFFFF" w:val="clear"/>
            <w:tcMar>
              <w:top w:type="dxa" w:w="80"/>
              <w:left w:type="dxa" w:w="130"/>
              <w:bottom w:type="dxa" w:w="80"/>
              <w:right w:type="dxa" w:w="130"/>
            </w:tcMar>
          </w:tcPr>
          <w:p>
            <w:r>
              <w:rPr>
                <w:sz w:val="19"/>
                <w:szCs w:val="19"/>
              </w:rPr>
              <w:t xml:space="preserve">23.08%</w:t>
            </w:r>
          </w:p>
        </w:tc>
        <w:tc>
          <w:tcPr>
            <w:tcW w:type="dxa" w:w="2400"/>
            <w:shd w:fill="FFFFFF" w:val="clear"/>
            <w:tcMar>
              <w:top w:type="dxa" w:w="80"/>
              <w:left w:type="dxa" w:w="130"/>
              <w:bottom w:type="dxa" w:w="80"/>
              <w:right w:type="dxa" w:w="130"/>
            </w:tcMar>
          </w:tcPr>
          <w:p>
            <w:r>
              <w:rPr>
                <w:sz w:val="19"/>
                <w:szCs w:val="19"/>
              </w:rPr>
              <w:t xml:space="preserve">15.6x</w:t>
            </w:r>
          </w:p>
        </w:tc>
      </w:tr>
      <w:tr>
        <w:tc>
          <w:tcPr>
            <w:tcW w:type="dxa" w:w="2000"/>
            <w:shd w:fill="F5F8FB" w:val="clear"/>
            <w:tcMar>
              <w:top w:type="dxa" w:w="80"/>
              <w:left w:type="dxa" w:w="130"/>
              <w:bottom w:type="dxa" w:w="80"/>
              <w:right w:type="dxa" w:w="130"/>
            </w:tcMar>
          </w:tcPr>
          <w:p>
            <w:r>
              <w:rPr>
                <w:sz w:val="19"/>
                <w:szCs w:val="19"/>
              </w:rPr>
              <w:t xml:space="preserve">10 days</w:t>
            </w:r>
          </w:p>
        </w:tc>
        <w:tc>
          <w:tcPr>
            <w:tcW w:type="dxa" w:w="2200"/>
            <w:shd w:fill="F5F8FB" w:val="clear"/>
            <w:tcMar>
              <w:top w:type="dxa" w:w="80"/>
              <w:left w:type="dxa" w:w="130"/>
              <w:bottom w:type="dxa" w:w="80"/>
              <w:right w:type="dxa" w:w="130"/>
            </w:tcMar>
          </w:tcPr>
          <w:p>
            <w:r>
              <w:rPr>
                <w:sz w:val="19"/>
                <w:szCs w:val="19"/>
              </w:rPr>
              <w:t xml:space="preserve">4.82%</w:t>
            </w:r>
          </w:p>
        </w:tc>
        <w:tc>
          <w:tcPr>
            <w:tcW w:type="dxa" w:w="2400"/>
            <w:shd w:fill="F5F8FB" w:val="clear"/>
            <w:tcMar>
              <w:top w:type="dxa" w:w="80"/>
              <w:left w:type="dxa" w:w="130"/>
              <w:bottom w:type="dxa" w:w="80"/>
              <w:right w:type="dxa" w:w="130"/>
            </w:tcMar>
          </w:tcPr>
          <w:p>
            <w:r>
              <w:rPr>
                <w:sz w:val="19"/>
                <w:szCs w:val="19"/>
              </w:rPr>
              <w:t xml:space="preserve">26.15%</w:t>
            </w:r>
          </w:p>
        </w:tc>
        <w:tc>
          <w:tcPr>
            <w:tcW w:type="dxa" w:w="2400"/>
            <w:shd w:fill="F5F8FB" w:val="clear"/>
            <w:tcMar>
              <w:top w:type="dxa" w:w="80"/>
              <w:left w:type="dxa" w:w="130"/>
              <w:bottom w:type="dxa" w:w="80"/>
              <w:right w:type="dxa" w:w="130"/>
            </w:tcMar>
          </w:tcPr>
          <w:p>
            <w:r>
              <w:rPr>
                <w:sz w:val="19"/>
                <w:szCs w:val="19"/>
              </w:rPr>
              <w:t xml:space="preserve">5.4x</w:t>
            </w:r>
          </w:p>
        </w:tc>
      </w:tr>
    </w:tbl>
    <w:p>
      <w:pPr>
        <w:spacing w:after="130" w:line="300"/>
      </w:pPr>
      <w:r>
        <w:t xml:space="preserve">Probability of a ten percent drawdown within H days. The lift decays sharply with horizon, which is the signature of a coincident detector rather than a predictive one.</w:t>
      </w:r>
    </w:p>
    <w:p>
      <w:pPr>
        <w:spacing w:after="130" w:line="300"/>
      </w:pPr>
      <w:r>
        <w:t xml:space="preserve">Confirmed directly: the median same-day return on signal days is -1.14%, against +0.02% across all days. The signal fires as a decline BEGINS, not before it.</w:t>
      </w:r>
    </w:p>
    <w:p>
      <w:pPr>
        <w:pStyle w:val="Heading2"/>
        <w:spacing w:after="120" w:before="300"/>
      </w:pPr>
      <w:r>
        <w:t xml:space="preserve">3.3 Reconciling with Phase 3</w:t>
      </w:r>
    </w:p>
    <w:p>
      <w:pPr>
        <w:spacing w:after="130" w:line="300"/>
      </w:pPr>
      <w:r>
        <w:t xml:space="preserve">Phase 3 reported 3.48x lift and this phase reports no skill. Both are correct, because they measure different quantities. Phase 3 measured P(crash given a signal) -- </w:t>
      </w:r>
      <w:r>
        <w:rPr>
          <w:b/>
          <w:bCs/>
        </w:rPr>
        <w:t xml:space="preserve">precision</w:t>
      </w:r>
      <w:r>
        <w:t xml:space="preserve">, which is high. This phase measures P(signal given a crash) -- </w:t>
      </w:r>
      <w:r>
        <w:rPr>
          <w:b/>
          <w:bCs/>
        </w:rPr>
        <w:t xml:space="preserve">recall</w:t>
      </w:r>
      <w:r>
        <w:t xml:space="preserve">, which is low. The signal is precise but rare, firing on 130 of 128,737 symbol-days, so it can only ever cover a fraction of 705 events.</w:t>
      </w:r>
    </w:p>
    <w:p>
      <w:pPr>
        <w:spacing w:after="130" w:line="300"/>
      </w:pPr>
      <w:r>
        <w:t xml:space="preserve">Confusing precision with recall is the most common mistake in applied machine learning, and this is a clean example of why it matters: the same detector looks excellent under one and useless under the other.</w:t>
      </w:r>
    </w:p>
    <w:p>
      <w:r>
        <w:br w:type="page"/>
      </w:r>
    </w:p>
    <w:p>
      <w:pPr>
        <w:pStyle w:val="Heading1"/>
        <w:spacing w:after="160" w:before="360"/>
      </w:pPr>
      <w:r>
        <w:t xml:space="preserve">4. What it means</w:t>
      </w:r>
    </w:p>
    <w:p>
      <w:pPr>
        <w:spacing w:after="130" w:line="300"/>
      </w:pPr>
      <w:r>
        <w:t xml:space="preserve">The honest framing is fast reaction rather than prediction: recognise within a day that a decline has started, and leave before it deepens. A 110-fold edge at one day is exactly what an exit rule needs.</w:t>
      </w:r>
    </w:p>
    <w:p>
      <w:pPr>
        <w:spacing w:after="130" w:line="300"/>
      </w:pPr>
      <w:r>
        <w:t xml:space="preserve">This is a weaker claim than the original requirement, and it is the one the evidence supports. It is also enough. Drawdown reduction was always the primary objective, and reducing drawdown does not require forecasting from a calm market -- it requires reacting faster than the decline completes.</w:t>
      </w:r>
    </w:p>
    <w:tbl>
      <w:tblPr>
        <w:tblW w:type="dxa" w:w="9000"/>
        <w:tblBorders>
          <w:top w:val="single" w:color="1E7B34" w:sz="2"/>
          <w:left w:val="single" w:color="1E7B34" w:sz="20"/>
          <w:bottom w:val="single" w:color="1E7B34" w:sz="2"/>
          <w:right w:val="single" w:color="1E7B34" w:sz="2"/>
          <w:insideH w:val="none"/>
          <w:insideV w:val="none"/>
        </w:tblBorders>
      </w:tblPr>
      <w:tblGrid>
        <w:gridCol w:w="9000"/>
      </w:tblGrid>
      <w:tr>
        <w:tc>
          <w:tcPr>
            <w:tcW w:type="dxa" w:w="9000"/>
            <w:shd w:fill="F5FBF6" w:val="clear"/>
            <w:tcMar>
              <w:top w:type="dxa" w:w="150"/>
              <w:left w:type="dxa" w:w="220"/>
              <w:bottom w:type="dxa" w:w="150"/>
              <w:right w:type="dxa" w:w="200"/>
            </w:tcMar>
          </w:tcPr>
          <w:p>
            <w:pPr>
              <w:spacing w:after="70"/>
            </w:pPr>
            <w:r>
              <w:rPr>
                <w:b/>
                <w:bCs/>
                <w:color w:val="1E7B34"/>
              </w:rPr>
              <w:t xml:space="preserve">For the research paper</w:t>
            </w:r>
          </w:p>
          <w:p>
            <w:pPr>
              <w:spacing w:after="70" w:line="300"/>
            </w:pPr>
            <w:r>
              <w:t xml:space="preserve">“Unsupervised anomaly detection reduces drawdown through rapid exit” is honest, measurable, and defensible.</w:t>
            </w:r>
          </w:p>
          <w:p>
            <w:pPr>
              <w:spacing w:after="70" w:line="300"/>
            </w:pPr>
            <w:r>
              <w:t xml:space="preserve">“Predicts crashes three days ahead” would not survive review, and now there is a measurement showing exactly why.</w:t>
            </w:r>
          </w:p>
          <w:p>
            <w:pPr>
              <w:spacing w:after="0" w:line="300"/>
            </w:pPr>
            <w:r>
              <w:t xml:space="preserve">Reporting the negative result alongside the positive one is a strength, not a weakness. It is evidence the evaluation was designed to be capable of failing.</w:t>
            </w:r>
          </w:p>
        </w:tc>
      </w:tr>
    </w:tbl>
    <w:p>
      <w:pPr>
        <w:pStyle w:val="Heading1"/>
        <w:spacing w:after="160" w:before="360"/>
      </w:pPr>
      <w:r>
        <w:t xml:space="preserve">5. Known limitations</w:t>
      </w:r>
    </w:p>
    <w:p>
      <w:pPr>
        <w:pStyle w:val="ListParagraph"/>
        <w:numPr>
          <w:ilvl w:val="0"/>
          <w:numId w:val="2"/>
        </w:numPr>
        <w:spacing w:after="80" w:line="290"/>
      </w:pPr>
      <w:r>
        <w:t xml:space="preserve">The random baseline assumes signals could have fallen anywhere. In reality they cluster in volatile periods, which are also when crashes occur, so the true baseline is arguably even higher and the measured skill even weaker.</w:t>
      </w:r>
    </w:p>
    <w:p>
      <w:pPr>
        <w:pStyle w:val="ListParagraph"/>
        <w:numPr>
          <w:ilvl w:val="0"/>
          <w:numId w:val="2"/>
        </w:numPr>
        <w:spacing w:after="80" w:line="290"/>
      </w:pPr>
      <w:r>
        <w:t xml:space="preserve">A fifteen-day lookback was chosen as the search window. A longer one would find more coincidental hits, not more genuine warnings.</w:t>
      </w:r>
    </w:p>
    <w:p>
      <w:pPr>
        <w:pStyle w:val="ListParagraph"/>
        <w:numPr>
          <w:ilvl w:val="0"/>
          <w:numId w:val="2"/>
        </w:numPr>
        <w:spacing w:after="80" w:line="290"/>
      </w:pPr>
      <w:r>
        <w:t xml:space="preserve">Events overlap across correlated stocks: one market episode produces many symbol-level events on the same day, so the effective independent sample is far smaller than 705.</w:t>
      </w:r>
    </w:p>
    <w:p>
      <w:pPr>
        <w:pStyle w:val="ListParagraph"/>
        <w:numPr>
          <w:ilvl w:val="0"/>
          <w:numId w:val="2"/>
        </w:numPr>
        <w:spacing w:after="80" w:line="290"/>
      </w:pPr>
      <w:r>
        <w:t xml:space="preserve">The -10% threshold is a judgement, though the sensitivity table shows the conclusion is not delicate.</w:t>
      </w:r>
    </w:p>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595959"/>
        <w:sz w:val="17"/>
        <w:szCs w:val="17"/>
      </w:rPr>
      <w:t xml:space="preserve">QBEAST · Phase 4 - Lead Time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Phase 4 - Labels and Lead Time</dc:title>
  <dc:creator>QBEAST</dc:creator>
  <dc:description>QBEAST crash detection system — phase documentation</dc:description>
  <cp:lastModifiedBy>Un-named</cp:lastModifiedBy>
  <cp:revision>1</cp:revision>
  <dcterms:created xsi:type="dcterms:W3CDTF">2026-07-26T19:05:51.924Z</dcterms:created>
  <dcterms:modified xsi:type="dcterms:W3CDTF">2026-07-26T19:05:51.924Z</dcterms:modified>
</cp:coreProperties>
</file>

<file path=docProps/custom.xml><?xml version="1.0" encoding="utf-8"?>
<Properties xmlns="http://schemas.openxmlformats.org/officeDocument/2006/custom-properties" xmlns:vt="http://schemas.openxmlformats.org/officeDocument/2006/docPropsVTypes"/>
</file>