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b/>
          <w:bCs/>
          <w:color w:val="1F4E79"/>
          <w:sz w:val="56"/>
          <w:szCs w:val="56"/>
        </w:rPr>
        <w:t xml:space="preserve">QBEAST</w:t>
      </w:r>
    </w:p>
    <w:p>
      <w:pPr>
        <w:spacing w:after="500"/>
        <w:jc w:val="center"/>
      </w:pPr>
      <w:r>
        <w:rPr>
          <w:color w:val="595959"/>
          <w:sz w:val="24"/>
          <w:szCs w:val="24"/>
        </w:rPr>
        <w:t xml:space="preserve">Stock Market Crash Detection System</w:t>
      </w:r>
    </w:p>
    <w:p>
      <w:pPr>
        <w:spacing w:after="60"/>
        <w:jc w:val="center"/>
      </w:pPr>
      <w:r>
        <w:rPr>
          <w:b/>
          <w:bCs/>
          <w:color w:val="2E5F8A"/>
          <w:sz w:val="30"/>
          <w:szCs w:val="30"/>
        </w:rPr>
        <w:t xml:space="preserve">PHASE 8</w:t>
      </w:r>
    </w:p>
    <w:p>
      <w:pPr>
        <w:spacing w:after="100"/>
        <w:jc w:val="center"/>
      </w:pPr>
      <w:r>
        <w:rPr>
          <w:b/>
          <w:bCs/>
          <w:sz w:val="44"/>
          <w:szCs w:val="44"/>
        </w:rPr>
        <w:t xml:space="preserve">Drawdown Analysis</w:t>
      </w:r>
    </w:p>
    <w:p>
      <w:pPr>
        <w:spacing w:after="500"/>
        <w:jc w:val="center"/>
      </w:pPr>
      <w:r>
        <w:rPr>
          <w:i/>
          <w:iCs/>
          <w:color w:val="595959"/>
          <w:sz w:val="23"/>
          <w:szCs w:val="23"/>
        </w:rPr>
        <w:t xml:space="preserve">Measuring the headline claim, and making it inspectable</w:t>
      </w:r>
    </w:p>
    <w:p>
      <w:pPr>
        <w:spacing w:after="60"/>
        <w:jc w:val="center"/>
      </w:pPr>
      <w:r>
        <w:rPr>
          <w:b/>
          <w:bCs/>
          <w:color w:val="1E7B34"/>
          <w:sz w:val="22"/>
          <w:szCs w:val="22"/>
        </w:rPr>
        <w:t xml:space="preserve">STATUS: COMPLETE - 183 tests passing</w:t>
      </w:r>
    </w:p>
    <w:p>
      <w:pPr>
        <w:spacing w:after="50"/>
        <w:jc w:val="center"/>
      </w:pPr>
      <w:r>
        <w:rPr>
          <w:color w:val="595959"/>
          <w:sz w:val="20"/>
          <w:szCs w:val="20"/>
        </w:rPr>
        <w:t xml:space="preserve">96 per-stock charts, a portfolio chart, and a scatter</w:t>
      </w:r>
    </w:p>
    <w:p>
      <w:pPr>
        <w:spacing w:after="50"/>
        <w:jc w:val="center"/>
      </w:pPr>
      <w:r>
        <w:rPr>
          <w:color w:val="595959"/>
          <w:sz w:val="20"/>
          <w:szCs w:val="20"/>
        </w:rPr>
        <w:t xml:space="preserve">25 symbols shallower, 6 deeper, 65 never traded</w:t>
      </w:r>
    </w:p>
    <w:p>
      <w:pPr>
        <w:spacing w:after="50"/>
        <w:jc w:val="center"/>
      </w:pPr>
      <w:r>
        <w:rPr>
          <w:color w:val="595959"/>
          <w:sz w:val="20"/>
          <w:szCs w:val="20"/>
        </w:rPr>
        <w:t xml:space="preserve">Depth improves slightly; duration does not improve at all</w:t>
      </w:r>
    </w:p>
    <w:p>
      <w:pPr>
        <w:spacing w:before="200"/>
        <w:jc w:val="center"/>
      </w:pPr>
      <w:r>
        <w:rPr>
          <w:color w:val="595959"/>
          <w:sz w:val="19"/>
          <w:szCs w:val="19"/>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What drawdown is, and what it is not</w:t>
      </w:r>
    </w:p>
    <w:p>
      <w:pPr>
        <w:shd w:fill="F2F2F2" w:val="clear"/>
        <w:spacing w:after="0" w:before="70"/>
        <w:ind w:left="240"/>
      </w:pPr>
      <w:r>
        <w:rPr>
          <w:rFonts w:ascii="Consolas" w:cs="Consolas" w:eastAsia="Consolas" w:hAnsi="Consolas"/>
          <w:sz w:val="18"/>
          <w:szCs w:val="18"/>
        </w:rPr>
        <w:t xml:space="preserve">peak_t   = highest equity seen up to day t</w:t>
      </w:r>
    </w:p>
    <w:p>
      <w:pPr>
        <w:shd w:fill="F2F2F2" w:val="clear"/>
        <w:spacing w:after="0" w:before="0"/>
        <w:ind w:left="240"/>
      </w:pPr>
      <w:r>
        <w:rPr>
          <w:rFonts w:ascii="Consolas" w:cs="Consolas" w:eastAsia="Consolas" w:hAnsi="Consolas"/>
          <w:sz w:val="18"/>
          <w:szCs w:val="18"/>
        </w:rPr>
        <w:t xml:space="preserve">dd_t     = equity_t / peak_t - 1          (always &lt;= 0)</w:t>
      </w:r>
    </w:p>
    <w:p>
      <w:pPr>
        <w:shd w:fill="F2F2F2" w:val="clear"/>
        <w:spacing w:after="170" w:before="0"/>
        <w:ind w:left="240"/>
      </w:pPr>
      <w:r>
        <w:rPr>
          <w:rFonts w:ascii="Consolas" w:cs="Consolas" w:eastAsia="Consolas" w:hAnsi="Consolas"/>
          <w:sz w:val="18"/>
          <w:szCs w:val="18"/>
        </w:rPr>
        <w:t xml:space="preserve">max_dd   = the most negative dd_t</w:t>
      </w:r>
    </w:p>
    <w:p>
      <w:pPr>
        <w:spacing w:after="130" w:line="300"/>
      </w:pPr>
      <w:r>
        <w:t xml:space="preserve">Maximum drawdown is the number most strategies are judged on, and on its own it is incomplete. It says how far you fell. It says nothing about how long you stayed down, and the second is what actually decides whether a strategy is livable -- a 20% fall recovered in a month is a different experience from the same 20% taking three years.</w:t>
      </w:r>
    </w:p>
    <w:p>
      <w:pPr>
        <w:spacing w:after="130" w:line="300"/>
      </w:pPr>
      <w:r>
        <w:t xml:space="preserve">Three measures are therefore reported together: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79" w:val="clear"/>
            <w:tcMar>
              <w:top w:type="dxa" w:w="90"/>
              <w:left w:type="dxa" w:w="130"/>
              <w:bottom w:type="dxa" w:w="90"/>
              <w:right w:type="dxa" w:w="130"/>
            </w:tcMar>
          </w:tcPr>
          <w:p>
            <w:r>
              <w:rPr>
                <w:b/>
                <w:bCs/>
                <w:color w:val="FFFFFF"/>
                <w:sz w:val="19"/>
                <w:szCs w:val="19"/>
              </w:rPr>
              <w:t xml:space="preserve">Measure</w:t>
            </w:r>
          </w:p>
        </w:tc>
        <w:tc>
          <w:tcPr>
            <w:tcW w:type="dxa" w:w="6200"/>
            <w:shd w:fill="1F4E79" w:val="clear"/>
            <w:tcMar>
              <w:top w:type="dxa" w:w="90"/>
              <w:left w:type="dxa" w:w="130"/>
              <w:bottom w:type="dxa" w:w="90"/>
              <w:right w:type="dxa" w:w="130"/>
            </w:tcMar>
          </w:tcPr>
          <w:p>
            <w:r>
              <w:rPr>
                <w:b/>
                <w:bCs/>
                <w:color w:val="FFFFFF"/>
                <w:sz w:val="19"/>
                <w:szCs w:val="19"/>
              </w:rPr>
              <w:t xml:space="preserve">Question it answers</w:t>
            </w:r>
          </w:p>
        </w:tc>
      </w:tr>
      <w:tr>
        <w:tc>
          <w:tcPr>
            <w:tcW w:type="dxa" w:w="2800"/>
            <w:shd w:fill="F5F8FB" w:val="clear"/>
            <w:tcMar>
              <w:top w:type="dxa" w:w="80"/>
              <w:left w:type="dxa" w:w="130"/>
              <w:bottom w:type="dxa" w:w="80"/>
              <w:right w:type="dxa" w:w="130"/>
            </w:tcMar>
          </w:tcPr>
          <w:p>
            <w:r>
              <w:rPr>
                <w:sz w:val="19"/>
                <w:szCs w:val="19"/>
              </w:rPr>
              <w:t xml:space="preserve">Maximum drawdown</w:t>
            </w:r>
          </w:p>
        </w:tc>
        <w:tc>
          <w:tcPr>
            <w:tcW w:type="dxa" w:w="6200"/>
            <w:shd w:fill="F5F8FB" w:val="clear"/>
            <w:tcMar>
              <w:top w:type="dxa" w:w="80"/>
              <w:left w:type="dxa" w:w="130"/>
              <w:bottom w:type="dxa" w:w="80"/>
              <w:right w:type="dxa" w:w="130"/>
            </w:tcMar>
          </w:tcPr>
          <w:p>
            <w:r>
              <w:rPr>
                <w:sz w:val="19"/>
                <w:szCs w:val="19"/>
              </w:rPr>
              <w:t xml:space="preserve">How far below the peak did the portfolio fall?</w:t>
            </w:r>
          </w:p>
        </w:tc>
      </w:tr>
      <w:tr>
        <w:tc>
          <w:tcPr>
            <w:tcW w:type="dxa" w:w="2800"/>
            <w:shd w:fill="FFFFFF" w:val="clear"/>
            <w:tcMar>
              <w:top w:type="dxa" w:w="80"/>
              <w:left w:type="dxa" w:w="130"/>
              <w:bottom w:type="dxa" w:w="80"/>
              <w:right w:type="dxa" w:w="130"/>
            </w:tcMar>
          </w:tcPr>
          <w:p>
            <w:r>
              <w:rPr>
                <w:sz w:val="19"/>
                <w:szCs w:val="19"/>
              </w:rPr>
              <w:t xml:space="preserve">Time under water</w:t>
            </w:r>
          </w:p>
        </w:tc>
        <w:tc>
          <w:tcPr>
            <w:tcW w:type="dxa" w:w="6200"/>
            <w:shd w:fill="FFFFFF" w:val="clear"/>
            <w:tcMar>
              <w:top w:type="dxa" w:w="80"/>
              <w:left w:type="dxa" w:w="130"/>
              <w:bottom w:type="dxa" w:w="80"/>
              <w:right w:type="dxa" w:w="130"/>
            </w:tcMar>
          </w:tcPr>
          <w:p>
            <w:r>
              <w:rPr>
                <w:sz w:val="19"/>
                <w:szCs w:val="19"/>
              </w:rPr>
              <w:t xml:space="preserve">How many sessions were spent below a prior peak?</w:t>
            </w:r>
          </w:p>
        </w:tc>
      </w:tr>
      <w:tr>
        <w:tc>
          <w:tcPr>
            <w:tcW w:type="dxa" w:w="2800"/>
            <w:shd w:fill="F5F8FB" w:val="clear"/>
            <w:tcMar>
              <w:top w:type="dxa" w:w="80"/>
              <w:left w:type="dxa" w:w="130"/>
              <w:bottom w:type="dxa" w:w="80"/>
              <w:right w:type="dxa" w:w="130"/>
            </w:tcMar>
          </w:tcPr>
          <w:p>
            <w:r>
              <w:rPr>
                <w:sz w:val="19"/>
                <w:szCs w:val="19"/>
              </w:rPr>
              <w:t xml:space="preserve">Time to recover</w:t>
            </w:r>
          </w:p>
        </w:tc>
        <w:tc>
          <w:tcPr>
            <w:tcW w:type="dxa" w:w="6200"/>
            <w:shd w:fill="F5F8FB" w:val="clear"/>
            <w:tcMar>
              <w:top w:type="dxa" w:w="80"/>
              <w:left w:type="dxa" w:w="130"/>
              <w:bottom w:type="dxa" w:w="80"/>
              <w:right w:type="dxa" w:w="130"/>
            </w:tcMar>
          </w:tcPr>
          <w:p>
            <w:r>
              <w:rPr>
                <w:sz w:val="19"/>
                <w:szCs w:val="19"/>
              </w:rPr>
              <w:t xml:space="preserve">How long from the trough back to the old peak?</w:t>
            </w:r>
          </w:p>
        </w:tc>
      </w:tr>
    </w:tbl>
    <w:p>
      <w:pPr>
        <w:spacing w:after="130" w:line="300"/>
      </w:pPr>
      <w:r>
        <w:t xml:space="preserve">The last two are reliability metrics, which is what lets the cyber-physical framing be literal rather than decorative: depth is the magnitude of degradation, and recovery time is mean time to recovery.</w:t>
      </w:r>
    </w:p>
    <w:p>
      <w:pPr>
        <w:pStyle w:val="Heading2"/>
        <w:spacing w:after="120" w:before="300"/>
      </w:pPr>
      <w:r>
        <w:t xml:space="preserve">1.1 A design detail that matters</w:t>
      </w:r>
    </w:p>
    <w:p>
      <w:pPr>
        <w:spacing w:after="130" w:line="300"/>
      </w:pPr>
      <w:r>
        <w:t xml:space="preserve">The running peak is taken over the EQUITY CURVE, not over prices. That is what the portfolio actually experienced. Taking it over prices would measure something the investor never lived through.</w:t>
      </w:r>
    </w:p>
    <w:p>
      <w:pPr>
        <w:spacing w:after="130" w:line="300"/>
      </w:pPr>
      <w:r>
        <w:t xml:space="preserve">Where a position was never recovered, time-to-recover is reported as absent rather than filled with the end of the window. Never regaining the peak IS the answer, and substituting a number would quietly convert an unresolved drawdown into a resolved one.</w:t>
      </w:r>
    </w:p>
    <w:p>
      <w:r>
        <w:br w:type="page"/>
      </w:r>
    </w:p>
    <w:p>
      <w:pPr>
        <w:pStyle w:val="Heading1"/>
        <w:spacing w:after="160" w:before="360"/>
      </w:pPr>
      <w:r>
        <w:t xml:space="preserve">2. Results across 96 symbols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1F4E79" w:val="clear"/>
            <w:tcMar>
              <w:top w:type="dxa" w:w="90"/>
              <w:left w:type="dxa" w:w="130"/>
              <w:bottom w:type="dxa" w:w="90"/>
              <w:right w:type="dxa" w:w="130"/>
            </w:tcMar>
          </w:tcPr>
          <w:p>
            <w:r>
              <w:rPr>
                <w:b/>
                <w:bCs/>
                <w:color w:val="FFFFFF"/>
                <w:sz w:val="19"/>
                <w:szCs w:val="19"/>
              </w:rPr>
              <w:t xml:space="preserve"/>
            </w:r>
          </w:p>
        </w:tc>
        <w:tc>
          <w:tcPr>
            <w:tcW w:type="dxa" w:w="3400"/>
            <w:shd w:fill="1F4E79" w:val="clear"/>
            <w:tcMar>
              <w:top w:type="dxa" w:w="90"/>
              <w:left w:type="dxa" w:w="130"/>
              <w:bottom w:type="dxa" w:w="90"/>
              <w:right w:type="dxa" w:w="130"/>
            </w:tcMar>
          </w:tcPr>
          <w:p>
            <w:r>
              <w:rPr>
                <w:b/>
                <w:bCs/>
                <w:color w:val="FFFFFF"/>
                <w:sz w:val="19"/>
                <w:szCs w:val="19"/>
              </w:rPr>
              <w:t xml:space="preserve">Count</w:t>
            </w:r>
          </w:p>
        </w:tc>
      </w:tr>
      <w:tr>
        <w:tc>
          <w:tcPr>
            <w:tcW w:type="dxa" w:w="5600"/>
            <w:shd w:fill="F5F8FB" w:val="clear"/>
            <w:tcMar>
              <w:top w:type="dxa" w:w="80"/>
              <w:left w:type="dxa" w:w="130"/>
              <w:bottom w:type="dxa" w:w="80"/>
              <w:right w:type="dxa" w:w="130"/>
            </w:tcMar>
          </w:tcPr>
          <w:p>
            <w:r>
              <w:rPr>
                <w:sz w:val="19"/>
                <w:szCs w:val="19"/>
              </w:rPr>
              <w:t xml:space="preserve">Shallower drawdown than buy &amp; hold</w:t>
            </w:r>
          </w:p>
        </w:tc>
        <w:tc>
          <w:tcPr>
            <w:tcW w:type="dxa" w:w="3400"/>
            <w:shd w:fill="F5F8FB" w:val="clear"/>
            <w:tcMar>
              <w:top w:type="dxa" w:w="80"/>
              <w:left w:type="dxa" w:w="130"/>
              <w:bottom w:type="dxa" w:w="80"/>
              <w:right w:type="dxa" w:w="130"/>
            </w:tcMar>
          </w:tcPr>
          <w:p>
            <w:r>
              <w:rPr>
                <w:sz w:val="19"/>
                <w:szCs w:val="19"/>
              </w:rPr>
              <w:t xml:space="preserve">25</w:t>
            </w:r>
          </w:p>
        </w:tc>
      </w:tr>
      <w:tr>
        <w:tc>
          <w:tcPr>
            <w:tcW w:type="dxa" w:w="5600"/>
            <w:shd w:fill="FFFFFF" w:val="clear"/>
            <w:tcMar>
              <w:top w:type="dxa" w:w="80"/>
              <w:left w:type="dxa" w:w="130"/>
              <w:bottom w:type="dxa" w:w="80"/>
              <w:right w:type="dxa" w:w="130"/>
            </w:tcMar>
          </w:tcPr>
          <w:p>
            <w:r>
              <w:rPr>
                <w:sz w:val="19"/>
                <w:szCs w:val="19"/>
              </w:rPr>
              <w:t xml:space="preserve">Deeper</w:t>
            </w:r>
          </w:p>
        </w:tc>
        <w:tc>
          <w:tcPr>
            <w:tcW w:type="dxa" w:w="3400"/>
            <w:shd w:fill="FFFFFF" w:val="clear"/>
            <w:tcMar>
              <w:top w:type="dxa" w:w="80"/>
              <w:left w:type="dxa" w:w="130"/>
              <w:bottom w:type="dxa" w:w="80"/>
              <w:right w:type="dxa" w:w="130"/>
            </w:tcMar>
          </w:tcPr>
          <w:p>
            <w:r>
              <w:rPr>
                <w:sz w:val="19"/>
                <w:szCs w:val="19"/>
              </w:rPr>
              <w:t xml:space="preserve">6</w:t>
            </w:r>
          </w:p>
        </w:tc>
      </w:tr>
      <w:tr>
        <w:tc>
          <w:tcPr>
            <w:tcW w:type="dxa" w:w="5600"/>
            <w:shd w:fill="F5F8FB" w:val="clear"/>
            <w:tcMar>
              <w:top w:type="dxa" w:w="80"/>
              <w:left w:type="dxa" w:w="130"/>
              <w:bottom w:type="dxa" w:w="80"/>
              <w:right w:type="dxa" w:w="130"/>
            </w:tcMar>
          </w:tcPr>
          <w:p>
            <w:r>
              <w:rPr>
                <w:sz w:val="19"/>
                <w:szCs w:val="19"/>
              </w:rPr>
              <w:t xml:space="preserve">Never traded at all</w:t>
            </w:r>
          </w:p>
        </w:tc>
        <w:tc>
          <w:tcPr>
            <w:tcW w:type="dxa" w:w="3400"/>
            <w:shd w:fill="F5F8FB" w:val="clear"/>
            <w:tcMar>
              <w:top w:type="dxa" w:w="80"/>
              <w:left w:type="dxa" w:w="130"/>
              <w:bottom w:type="dxa" w:w="80"/>
              <w:right w:type="dxa" w:w="130"/>
            </w:tcMar>
          </w:tcPr>
          <w:p>
            <w:r>
              <w:rPr>
                <w:sz w:val="19"/>
                <w:szCs w:val="19"/>
              </w:rPr>
              <w:t xml:space="preserve">65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4E79" w:val="clear"/>
            <w:tcMar>
              <w:top w:type="dxa" w:w="90"/>
              <w:left w:type="dxa" w:w="130"/>
              <w:bottom w:type="dxa" w:w="90"/>
              <w:right w:type="dxa" w:w="130"/>
            </w:tcMar>
          </w:tcPr>
          <w:p>
            <w:r>
              <w:rPr>
                <w:b/>
                <w:bCs/>
                <w:color w:val="FFFFFF"/>
                <w:sz w:val="19"/>
                <w:szCs w:val="19"/>
              </w:rPr>
              <w:t xml:space="preserve">Measure</w:t>
            </w:r>
          </w:p>
        </w:tc>
        <w:tc>
          <w:tcPr>
            <w:tcW w:type="dxa" w:w="4000"/>
            <w:shd w:fill="1F4E79" w:val="clear"/>
            <w:tcMar>
              <w:top w:type="dxa" w:w="90"/>
              <w:left w:type="dxa" w:w="130"/>
              <w:bottom w:type="dxa" w:w="90"/>
              <w:right w:type="dxa" w:w="130"/>
            </w:tcMar>
          </w:tcPr>
          <w:p>
            <w:r>
              <w:rPr>
                <w:b/>
                <w:bCs/>
                <w:color w:val="FFFFFF"/>
                <w:sz w:val="19"/>
                <w:szCs w:val="19"/>
              </w:rPr>
              <w:t xml:space="preserve">Value</w:t>
            </w:r>
          </w:p>
        </w:tc>
      </w:tr>
      <w:tr>
        <w:tc>
          <w:tcPr>
            <w:tcW w:type="dxa" w:w="5000"/>
            <w:shd w:fill="F5F8FB" w:val="clear"/>
            <w:tcMar>
              <w:top w:type="dxa" w:w="80"/>
              <w:left w:type="dxa" w:w="130"/>
              <w:bottom w:type="dxa" w:w="80"/>
              <w:right w:type="dxa" w:w="130"/>
            </w:tcMar>
          </w:tcPr>
          <w:p>
            <w:r>
              <w:rPr>
                <w:sz w:val="19"/>
                <w:szCs w:val="19"/>
              </w:rPr>
              <w:t xml:space="preserve">Mean drawdown saved, all symbols</w:t>
            </w:r>
          </w:p>
        </w:tc>
        <w:tc>
          <w:tcPr>
            <w:tcW w:type="dxa" w:w="4000"/>
            <w:shd w:fill="F5F8FB" w:val="clear"/>
            <w:tcMar>
              <w:top w:type="dxa" w:w="80"/>
              <w:left w:type="dxa" w:w="130"/>
              <w:bottom w:type="dxa" w:w="80"/>
              <w:right w:type="dxa" w:w="130"/>
            </w:tcMar>
          </w:tcPr>
          <w:p>
            <w:r>
              <w:rPr>
                <w:sz w:val="19"/>
                <w:szCs w:val="19"/>
              </w:rPr>
              <w:t xml:space="preserve">+1.00pp</w:t>
            </w:r>
          </w:p>
        </w:tc>
      </w:tr>
      <w:tr>
        <w:tc>
          <w:tcPr>
            <w:tcW w:type="dxa" w:w="5000"/>
            <w:shd w:fill="FFFFFF" w:val="clear"/>
            <w:tcMar>
              <w:top w:type="dxa" w:w="80"/>
              <w:left w:type="dxa" w:w="130"/>
              <w:bottom w:type="dxa" w:w="80"/>
              <w:right w:type="dxa" w:w="130"/>
            </w:tcMar>
          </w:tcPr>
          <w:p>
            <w:r>
              <w:rPr>
                <w:sz w:val="19"/>
                <w:szCs w:val="19"/>
              </w:rPr>
              <w:t xml:space="preserve">Median drawdown saved, all symbols</w:t>
            </w:r>
          </w:p>
        </w:tc>
        <w:tc>
          <w:tcPr>
            <w:tcW w:type="dxa" w:w="4000"/>
            <w:shd w:fill="FFFFFF" w:val="clear"/>
            <w:tcMar>
              <w:top w:type="dxa" w:w="80"/>
              <w:left w:type="dxa" w:w="130"/>
              <w:bottom w:type="dxa" w:w="80"/>
              <w:right w:type="dxa" w:w="130"/>
            </w:tcMar>
          </w:tcPr>
          <w:p>
            <w:r>
              <w:rPr>
                <w:sz w:val="19"/>
                <w:szCs w:val="19"/>
              </w:rPr>
              <w:t xml:space="preserve">+0.00pp</w:t>
            </w:r>
          </w:p>
        </w:tc>
      </w:tr>
      <w:tr>
        <w:tc>
          <w:tcPr>
            <w:tcW w:type="dxa" w:w="5000"/>
            <w:shd w:fill="F5F8FB" w:val="clear"/>
            <w:tcMar>
              <w:top w:type="dxa" w:w="80"/>
              <w:left w:type="dxa" w:w="130"/>
              <w:bottom w:type="dxa" w:w="80"/>
              <w:right w:type="dxa" w:w="130"/>
            </w:tcMar>
          </w:tcPr>
          <w:p>
            <w:r>
              <w:rPr>
                <w:sz w:val="19"/>
                <w:szCs w:val="19"/>
              </w:rPr>
              <w:t xml:space="preserve">Mean among the 44 it traded</w:t>
            </w:r>
          </w:p>
        </w:tc>
        <w:tc>
          <w:tcPr>
            <w:tcW w:type="dxa" w:w="4000"/>
            <w:shd w:fill="F5F8FB" w:val="clear"/>
            <w:tcMar>
              <w:top w:type="dxa" w:w="80"/>
              <w:left w:type="dxa" w:w="130"/>
              <w:bottom w:type="dxa" w:w="80"/>
              <w:right w:type="dxa" w:w="130"/>
            </w:tcMar>
          </w:tcPr>
          <w:p>
            <w:r>
              <w:rPr>
                <w:sz w:val="19"/>
                <w:szCs w:val="19"/>
              </w:rPr>
              <w:t xml:space="preserve">+2.18pp</w:t>
            </w:r>
          </w:p>
        </w:tc>
      </w:tr>
      <w:tr>
        <w:tc>
          <w:tcPr>
            <w:tcW w:type="dxa" w:w="5000"/>
            <w:shd w:fill="FFFFFF" w:val="clear"/>
            <w:tcMar>
              <w:top w:type="dxa" w:w="80"/>
              <w:left w:type="dxa" w:w="130"/>
              <w:bottom w:type="dxa" w:w="80"/>
              <w:right w:type="dxa" w:w="130"/>
            </w:tcMar>
          </w:tcPr>
          <w:p>
            <w:r>
              <w:rPr>
                <w:sz w:val="19"/>
                <w:szCs w:val="19"/>
              </w:rPr>
              <w:t xml:space="preserve">Best</w:t>
            </w:r>
          </w:p>
        </w:tc>
        <w:tc>
          <w:tcPr>
            <w:tcW w:type="dxa" w:w="4000"/>
            <w:shd w:fill="FFFFFF" w:val="clear"/>
            <w:tcMar>
              <w:top w:type="dxa" w:w="80"/>
              <w:left w:type="dxa" w:w="130"/>
              <w:bottom w:type="dxa" w:w="80"/>
              <w:right w:type="dxa" w:w="130"/>
            </w:tcMar>
          </w:tcPr>
          <w:p>
            <w:r>
              <w:rPr>
                <w:sz w:val="19"/>
                <w:szCs w:val="19"/>
              </w:rPr>
              <w:t xml:space="preserve">ADANIPORTS +16.1pp</w:t>
            </w:r>
          </w:p>
        </w:tc>
      </w:tr>
      <w:tr>
        <w:tc>
          <w:tcPr>
            <w:tcW w:type="dxa" w:w="5000"/>
            <w:shd w:fill="F5F8FB" w:val="clear"/>
            <w:tcMar>
              <w:top w:type="dxa" w:w="80"/>
              <w:left w:type="dxa" w:w="130"/>
              <w:bottom w:type="dxa" w:w="80"/>
              <w:right w:type="dxa" w:w="130"/>
            </w:tcMar>
          </w:tcPr>
          <w:p>
            <w:r>
              <w:rPr>
                <w:sz w:val="19"/>
                <w:szCs w:val="19"/>
              </w:rPr>
              <w:t xml:space="preserve">Worst</w:t>
            </w:r>
          </w:p>
        </w:tc>
        <w:tc>
          <w:tcPr>
            <w:tcW w:type="dxa" w:w="4000"/>
            <w:shd w:fill="F5F8FB" w:val="clear"/>
            <w:tcMar>
              <w:top w:type="dxa" w:w="80"/>
              <w:left w:type="dxa" w:w="130"/>
              <w:bottom w:type="dxa" w:w="80"/>
              <w:right w:type="dxa" w:w="130"/>
            </w:tcMar>
          </w:tcPr>
          <w:p>
            <w:r>
              <w:rPr>
                <w:sz w:val="19"/>
                <w:szCs w:val="19"/>
              </w:rPr>
              <w:t xml:space="preserve">ASIANPAINT -3.6pp</w:t>
            </w:r>
          </w:p>
        </w:tc>
      </w:tr>
    </w:tbl>
    <w:p>
      <w:pPr>
        <w:spacing w:after="130" w:line="300"/>
      </w:pPr>
      <w:r>
        <w:t xml:space="preserve">The median is zero because two-thirds of symbols are never touched. Reporting only the mean would imply a broad effect where there is a narrow one, which is why both are given and why the scatter chart exists.</w:t>
      </w:r>
    </w:p>
    <w:p>
      <w:pPr>
        <w:pStyle w:val="Heading2"/>
        <w:spacing w:after="120" w:before="300"/>
      </w:pPr>
      <w:r>
        <w:t xml:space="preserve">2.1 Depth improves; duration does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3000"/>
            <w:shd w:fill="1F4E79" w:val="clear"/>
            <w:tcMar>
              <w:top w:type="dxa" w:w="90"/>
              <w:left w:type="dxa" w:w="130"/>
              <w:bottom w:type="dxa" w:w="90"/>
              <w:right w:type="dxa" w:w="130"/>
            </w:tcMar>
          </w:tcPr>
          <w:p>
            <w:r>
              <w:rPr>
                <w:b/>
                <w:bCs/>
                <w:color w:val="FFFFFF"/>
                <w:sz w:val="19"/>
                <w:szCs w:val="19"/>
              </w:rPr>
              <w:t xml:space="preserve"/>
            </w:r>
          </w:p>
        </w:tc>
        <w:tc>
          <w:tcPr>
            <w:tcW w:type="dxa" w:w="3200"/>
            <w:shd w:fill="1F4E79" w:val="clear"/>
            <w:tcMar>
              <w:top w:type="dxa" w:w="90"/>
              <w:left w:type="dxa" w:w="130"/>
              <w:bottom w:type="dxa" w:w="90"/>
              <w:right w:type="dxa" w:w="130"/>
            </w:tcMar>
          </w:tcPr>
          <w:p>
            <w:r>
              <w:rPr>
                <w:b/>
                <w:bCs/>
                <w:color w:val="FFFFFF"/>
                <w:sz w:val="19"/>
                <w:szCs w:val="19"/>
              </w:rPr>
              <w:t xml:space="preserve">Median sessions under water</w:t>
            </w:r>
          </w:p>
        </w:tc>
        <w:tc>
          <w:tcPr>
            <w:tcW w:type="dxa" w:w="2800"/>
            <w:shd w:fill="1F4E79" w:val="clear"/>
            <w:tcMar>
              <w:top w:type="dxa" w:w="90"/>
              <w:left w:type="dxa" w:w="130"/>
              <w:bottom w:type="dxa" w:w="90"/>
              <w:right w:type="dxa" w:w="130"/>
            </w:tcMar>
          </w:tcPr>
          <w:p>
            <w:r>
              <w:rPr>
                <w:b/>
                <w:bCs/>
                <w:color w:val="FFFFFF"/>
                <w:sz w:val="19"/>
                <w:szCs w:val="19"/>
              </w:rPr>
              <w:t xml:space="preserve">Median longest spell</w:t>
            </w:r>
          </w:p>
        </w:tc>
      </w:tr>
      <w:tr>
        <w:tc>
          <w:tcPr>
            <w:tcW w:type="dxa" w:w="3000"/>
            <w:shd w:fill="F5F8FB" w:val="clear"/>
            <w:tcMar>
              <w:top w:type="dxa" w:w="80"/>
              <w:left w:type="dxa" w:w="130"/>
              <w:bottom w:type="dxa" w:w="80"/>
              <w:right w:type="dxa" w:w="130"/>
            </w:tcMar>
          </w:tcPr>
          <w:p>
            <w:r>
              <w:rPr>
                <w:sz w:val="19"/>
                <w:szCs w:val="19"/>
              </w:rPr>
              <w:t xml:space="preserve">Strategy</w:t>
            </w:r>
          </w:p>
        </w:tc>
        <w:tc>
          <w:tcPr>
            <w:tcW w:type="dxa" w:w="3200"/>
            <w:shd w:fill="F5F8FB" w:val="clear"/>
            <w:tcMar>
              <w:top w:type="dxa" w:w="80"/>
              <w:left w:type="dxa" w:w="130"/>
              <w:bottom w:type="dxa" w:w="80"/>
              <w:right w:type="dxa" w:w="130"/>
            </w:tcMar>
          </w:tcPr>
          <w:p>
            <w:r>
              <w:rPr>
                <w:sz w:val="19"/>
                <w:szCs w:val="19"/>
              </w:rPr>
              <w:t xml:space="preserve">1,256</w:t>
            </w:r>
          </w:p>
        </w:tc>
        <w:tc>
          <w:tcPr>
            <w:tcW w:type="dxa" w:w="2800"/>
            <w:shd w:fill="F5F8FB" w:val="clear"/>
            <w:tcMar>
              <w:top w:type="dxa" w:w="80"/>
              <w:left w:type="dxa" w:w="130"/>
              <w:bottom w:type="dxa" w:w="80"/>
              <w:right w:type="dxa" w:w="130"/>
            </w:tcMar>
          </w:tcPr>
          <w:p>
            <w:r>
              <w:rPr>
                <w:sz w:val="19"/>
                <w:szCs w:val="19"/>
              </w:rPr>
              <w:t xml:space="preserve">452</w:t>
            </w:r>
          </w:p>
        </w:tc>
      </w:tr>
      <w:tr>
        <w:tc>
          <w:tcPr>
            <w:tcW w:type="dxa" w:w="3000"/>
            <w:shd w:fill="FFFFFF" w:val="clear"/>
            <w:tcMar>
              <w:top w:type="dxa" w:w="80"/>
              <w:left w:type="dxa" w:w="130"/>
              <w:bottom w:type="dxa" w:w="80"/>
              <w:right w:type="dxa" w:w="130"/>
            </w:tcMar>
          </w:tcPr>
          <w:p>
            <w:r>
              <w:rPr>
                <w:sz w:val="19"/>
                <w:szCs w:val="19"/>
              </w:rPr>
              <w:t xml:space="preserve">Buy &amp; hold</w:t>
            </w:r>
          </w:p>
        </w:tc>
        <w:tc>
          <w:tcPr>
            <w:tcW w:type="dxa" w:w="3200"/>
            <w:shd w:fill="FFFFFF" w:val="clear"/>
            <w:tcMar>
              <w:top w:type="dxa" w:w="80"/>
              <w:left w:type="dxa" w:w="130"/>
              <w:bottom w:type="dxa" w:w="80"/>
              <w:right w:type="dxa" w:w="130"/>
            </w:tcMar>
          </w:tcPr>
          <w:p>
            <w:r>
              <w:rPr>
                <w:sz w:val="19"/>
                <w:szCs w:val="19"/>
              </w:rPr>
              <w:t xml:space="preserve">1,256</w:t>
            </w:r>
          </w:p>
        </w:tc>
        <w:tc>
          <w:tcPr>
            <w:tcW w:type="dxa" w:w="2800"/>
            <w:shd w:fill="FFFFFF" w:val="clear"/>
            <w:tcMar>
              <w:top w:type="dxa" w:w="80"/>
              <w:left w:type="dxa" w:w="130"/>
              <w:bottom w:type="dxa" w:w="80"/>
              <w:right w:type="dxa" w:w="130"/>
            </w:tcMar>
          </w:tcPr>
          <w:p>
            <w:r>
              <w:rPr>
                <w:sz w:val="19"/>
                <w:szCs w:val="19"/>
              </w:rPr>
              <w:t xml:space="preserve">456</w:t>
            </w:r>
          </w:p>
        </w:tc>
      </w:tr>
    </w:tbl>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This deserves to be stated plainly in the paper</w:t>
            </w:r>
          </w:p>
          <w:p>
            <w:pPr>
              <w:spacing w:after="70" w:line="300"/>
            </w:pPr>
            <w:r>
              <w:t xml:space="preserve">The strategy reduces how FAR the portfolio falls, very slightly. It does not reduce how LONG it stays down at all - the medians are identical to within four sessions.</w:t>
            </w:r>
          </w:p>
          <w:p>
            <w:pPr>
              <w:spacing w:after="0" w:line="300"/>
            </w:pPr>
            <w:r>
              <w:t xml:space="preserve">So an investor experiences almost exactly the same length of discomfort, ending marginally less deep. That is a narrower benefit than “drawdown reduction” suggests on its own, and stating it is more persuasive than omitting it.</w:t>
            </w:r>
          </w:p>
        </w:tc>
      </w:tr>
    </w:tbl>
    <w:p>
      <w:pPr>
        <w:pStyle w:val="Heading2"/>
        <w:spacing w:after="120" w:before="300"/>
      </w:pPr>
      <w:r>
        <w:t xml:space="preserve">2.2 Why per-stock savings do not aggregate</w:t>
      </w:r>
    </w:p>
    <w:p>
      <w:pPr>
        <w:spacing w:after="130" w:line="300"/>
      </w:pPr>
      <w:r>
        <w:t xml:space="preserve">On the ten-symbol portfolio, ADANIENT alone saved 17.5 points of drawdown and ITC 12.0 -- yet the portfolio drawdown improved by only 1.0 point.</w:t>
      </w:r>
    </w:p>
    <w:p>
      <w:pPr>
        <w:spacing w:after="130" w:line="300"/>
      </w:pPr>
      <w:r>
        <w:t xml:space="preserve">The reason is that stocks trough at different times. ADANIENT's worst moment was February 2023, the Hindenburg report. The portfolio's worst moment was March 2026, when ADANIENT was not the problem. Diversification had already absorbed most of what the model avoided.</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Arguably the most important result in the project</w:t>
            </w:r>
          </w:p>
          <w:p>
            <w:pPr>
              <w:spacing w:after="70" w:line="300"/>
            </w:pPr>
            <w:r>
              <w:t xml:space="preserve">The strategy is far better at protecting a CONCENTRATED position than a diversified one.</w:t>
            </w:r>
          </w:p>
          <w:p>
            <w:pPr>
              <w:spacing w:after="70" w:line="300"/>
            </w:pPr>
            <w:r>
              <w:t xml:space="preserve">Avoiding one stock's crash barely moves a portfolio drawdown that is driven by everything falling together - and a broad, correlated decline is precisely what a portfolio-level drawdown is made of.</w:t>
            </w:r>
          </w:p>
          <w:p>
            <w:pPr>
              <w:spacing w:after="0" w:line="300"/>
            </w:pPr>
            <w:r>
              <w:t xml:space="preserve">This reframes who the system is for. It is a single-stock risk tool that happens to aggregate weakly, not a portfolio hedge.</w:t>
            </w:r>
          </w:p>
        </w:tc>
      </w:tr>
    </w:tbl>
    <w:p>
      <w:r>
        <w:br w:type="page"/>
      </w:r>
    </w:p>
    <w:p>
      <w:pPr>
        <w:pStyle w:val="Heading1"/>
        <w:spacing w:after="160" w:before="360"/>
      </w:pPr>
      <w:r>
        <w:t xml:space="preserve">3. The charts</w:t>
      </w:r>
    </w:p>
    <w:p>
      <w:pPr>
        <w:pStyle w:val="ListParagraph"/>
        <w:numPr>
          <w:ilvl w:val="0"/>
          <w:numId w:val="2"/>
        </w:numPr>
        <w:spacing w:after="80" w:line="290"/>
      </w:pPr>
      <w:r>
        <w:t xml:space="preserve">figures/symbols/&lt;SYMBOL&gt;.png -- price with exits and re-entries, cash periods shaded, anomaly intensity, and drawdown against buy-and-hold. 96 charts.</w:t>
      </w:r>
    </w:p>
    <w:p>
      <w:pPr>
        <w:pStyle w:val="ListParagraph"/>
        <w:numPr>
          <w:ilvl w:val="0"/>
          <w:numId w:val="2"/>
        </w:numPr>
        <w:spacing w:after="80" w:line="290"/>
      </w:pPr>
      <w:r>
        <w:t xml:space="preserve">figures/portfolio.png -- portfolio equity and drawdown, net of costs and tax.</w:t>
      </w:r>
    </w:p>
    <w:p>
      <w:pPr>
        <w:pStyle w:val="ListParagraph"/>
        <w:numPr>
          <w:ilvl w:val="0"/>
          <w:numId w:val="2"/>
        </w:numPr>
        <w:spacing w:after="80" w:line="290"/>
      </w:pPr>
      <w:r>
        <w:t xml:space="preserve">figures/drawdown_scatter.png -- every symbol as one point, buy-and-hold drawdown against the strategy's.</w:t>
      </w:r>
    </w:p>
    <w:p>
      <w:pPr>
        <w:spacing w:after="130" w:line="300"/>
      </w:pPr>
      <w:r>
        <w:t xml:space="preserve">The shading on the per-stock chart carries more information than the markers. A triangle tells you a sell fired; the shaded band shows what the strategy was holding through, and that is where you can see whether an exit helped or simply missed a rebound.</w:t>
      </w:r>
    </w:p>
    <w:p>
      <w:pPr>
        <w:pStyle w:val="Heading2"/>
        <w:spacing w:after="120" w:before="300"/>
      </w:pPr>
      <w:r>
        <w:t xml:space="preserve">3.1 A chart bug that only a human eye would catch</w:t>
      </w:r>
    </w:p>
    <w:p>
      <w:pPr>
        <w:spacing w:after="130" w:line="300"/>
      </w:pPr>
      <w:r>
        <w:t xml:space="preserve">The scatter chart was titled “below the line means the model helped”. Both axes are negative, so a shallower drawdown -- minus 36% against minus 52% -- plots ABOVE the diagonal. The label was inverted.</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Why this one is worth recording</w:t>
            </w:r>
          </w:p>
          <w:p>
            <w:pPr>
              <w:spacing w:after="70" w:line="300"/>
            </w:pPr>
            <w:r>
              <w:t xml:space="preserve">It raised no error and produced no implausible number. The chart looked entirely reasonable while saying the opposite of the truth, and every summary statistic feeding it was correct.</w:t>
            </w:r>
          </w:p>
          <w:p>
            <w:pPr>
              <w:spacing w:after="70" w:line="300"/>
            </w:pPr>
            <w:r>
              <w:t xml:space="preserve">It is the seventh defect in this project to produce quietly wrong output rather than a visible failure - and the first that no test could have caught, because the maths was right and only the label was wrong.</w:t>
            </w:r>
          </w:p>
          <w:p>
            <w:pPr>
              <w:spacing w:after="0" w:line="300"/>
            </w:pPr>
            <w:r>
              <w:t xml:space="preserve">Some classes of error are only reachable by looking at the artefact.</w:t>
            </w:r>
          </w:p>
        </w:tc>
      </w:tr>
    </w:tbl>
    <w:p>
      <w:pPr>
        <w:spacing w:after="130" w:line="300"/>
      </w:pPr>
      <w:r>
        <w:t xml:space="preserve">The same chart was also splitting points two ways, which lumped the 65 never-traded symbols in with the 6 genuinely worse ones under “deeper or equal”. That presented inaction as failure. Points are now split three ways -- shallower, unchanged, deeper -- so the dominant fact about this strategy, that it does nothing for most symbols, is visible rather than disguised.</w:t>
      </w:r>
    </w:p>
    <w:p>
      <w:r>
        <w:br w:type="page"/>
      </w:r>
    </w:p>
    <w:p>
      <w:pPr>
        <w:pStyle w:val="Heading1"/>
        <w:spacing w:after="160" w:before="360"/>
      </w:pPr>
      <w:r>
        <w:t xml:space="preserve">4. Known limitations</w:t>
      </w:r>
    </w:p>
    <w:p>
      <w:pPr>
        <w:pStyle w:val="ListParagraph"/>
        <w:numPr>
          <w:ilvl w:val="0"/>
          <w:numId w:val="3"/>
        </w:numPr>
        <w:spacing w:after="80" w:line="290"/>
      </w:pPr>
      <w:r>
        <w:t xml:space="preserve">The window contains no sharp market-wide crash. Every conclusion about magnitude is conditioned on that, and the 2020 stress test remains the only evidence of behaviour during one.</w:t>
      </w:r>
    </w:p>
    <w:p>
      <w:pPr>
        <w:pStyle w:val="ListParagraph"/>
        <w:numPr>
          <w:ilvl w:val="0"/>
          <w:numId w:val="3"/>
        </w:numPr>
        <w:spacing w:after="80" w:line="290"/>
      </w:pPr>
      <w:r>
        <w:t xml:space="preserve">Drawdown is measured gross at the per-stock level. Costs and tax are applied at portfolio level in Phase 6; the per-symbol table would look marginally worse with them included.</w:t>
      </w:r>
    </w:p>
    <w:p>
      <w:pPr>
        <w:pStyle w:val="ListParagraph"/>
        <w:numPr>
          <w:ilvl w:val="0"/>
          <w:numId w:val="3"/>
        </w:numPr>
        <w:spacing w:after="80" w:line="290"/>
      </w:pPr>
      <w:r>
        <w:t xml:space="preserve">Time-to-recover is unavailable for symbols still under water at the end of the window, which is most of them. Median figures are therefore computed over a biased subset and should be read as indicative.</w:t>
      </w:r>
    </w:p>
    <w:p>
      <w:pPr>
        <w:pStyle w:val="ListParagraph"/>
        <w:numPr>
          <w:ilvl w:val="0"/>
          <w:numId w:val="3"/>
        </w:numPr>
        <w:spacing w:after="80" w:line="290"/>
      </w:pPr>
      <w:r>
        <w:t xml:space="preserve">The equal-weight portfolio has no position sizing. Top-N selection by signal strength exists but is not exercised, so the portfolio result does not reflect the concentration the signal could justify.</w:t>
      </w:r>
    </w:p>
    <w:p>
      <w:pPr>
        <w:pStyle w:val="ListParagraph"/>
        <w:numPr>
          <w:ilvl w:val="0"/>
          <w:numId w:val="3"/>
        </w:numPr>
        <w:spacing w:after="80" w:line="290"/>
      </w:pPr>
      <w:r>
        <w:t xml:space="preserve">Charts are static images. Inspecting 96 of them is impractical in review, which is what Phase 10's dashboard is for.</w:t>
      </w:r>
    </w:p>
    <w:p>
      <w:pPr>
        <w:pStyle w:val="Heading1"/>
        <w:spacing w:after="160" w:before="360"/>
      </w:pPr>
      <w:r>
        <w:t xml:space="preserve">5. Handoff to Phase 10</w:t>
      </w:r>
    </w:p>
    <w:p>
      <w:pPr>
        <w:spacing w:after="130" w:line="300"/>
      </w:pPr>
      <w:r>
        <w:t xml:space="preserve">Phases 9 and 10 remain: the robustness experiment, and the HTML dashboard.</w:t>
      </w:r>
    </w:p>
    <w:p>
      <w:pPr>
        <w:spacing w:after="130" w:line="300"/>
      </w:pPr>
      <w:r>
        <w:t xml:space="preserve">The dashboard inherits everything needed -- per-symbol drawdown tables, per-scheme comparisons, the lead-time distribution, and the cost and tax breakdown. Its job is to make 96 charts navigable, which static files cannot be.</w:t>
      </w:r>
    </w:p>
    <w:p>
      <w:pPr>
        <w:spacing w:after="130" w:line="300"/>
      </w:pPr>
      <w:r>
        <w:t xml:space="preserve">One design note carried forward: the honest results in this project are mostly negative or narrow, and a dashboard makes it very easy to show only the flattering view. The per-symbol scatter and the untouched-symbol count should be prominent rather than buried, because they are what stop the headline mean from being read as a broad effect.</w:t>
      </w:r>
    </w:p>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595959"/>
        <w:sz w:val="17"/>
        <w:szCs w:val="17"/>
      </w:rPr>
      <w:t xml:space="preserve">QBEAST · Phase 8 - Drawdown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Phase 8 - Drawdown Analysis and Visualisation</dc:title>
  <dc:creator>QBEAST</dc:creator>
  <dc:description>QBEAST crash detection system — phase documentation</dc:description>
  <cp:lastModifiedBy>Un-named</cp:lastModifiedBy>
  <cp:revision>1</cp:revision>
  <dcterms:created xsi:type="dcterms:W3CDTF">2026-07-26T19:05:51.989Z</dcterms:created>
  <dcterms:modified xsi:type="dcterms:W3CDTF">2026-07-26T19:05:51.989Z</dcterms:modified>
</cp:coreProperties>
</file>

<file path=docProps/custom.xml><?xml version="1.0" encoding="utf-8"?>
<Properties xmlns="http://schemas.openxmlformats.org/officeDocument/2006/custom-properties" xmlns:vt="http://schemas.openxmlformats.org/officeDocument/2006/docPropsVTypes"/>
</file>