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200"/>
        <w:jc w:val="center"/>
      </w:pPr>
      <w:r>
        <w:rPr>
          <w:b/>
          <w:bCs/>
          <w:color w:val="1F4E79"/>
          <w:sz w:val="56"/>
          <w:szCs w:val="56"/>
        </w:rPr>
        <w:t xml:space="preserve">QBEAST</w:t>
      </w:r>
    </w:p>
    <w:p>
      <w:pPr>
        <w:spacing w:after="500"/>
        <w:jc w:val="center"/>
      </w:pPr>
      <w:r>
        <w:rPr>
          <w:color w:val="595959"/>
          <w:sz w:val="24"/>
          <w:szCs w:val="24"/>
        </w:rPr>
        <w:t xml:space="preserve">Stock Market Crash Detection System</w:t>
      </w:r>
    </w:p>
    <w:p>
      <w:pPr>
        <w:spacing w:after="60"/>
        <w:jc w:val="center"/>
      </w:pPr>
      <w:r>
        <w:rPr>
          <w:b/>
          <w:bCs/>
          <w:color w:val="2E5F8A"/>
          <w:sz w:val="30"/>
          <w:szCs w:val="30"/>
        </w:rPr>
        <w:t xml:space="preserve">PHASE 2</w:t>
      </w:r>
    </w:p>
    <w:p>
      <w:pPr>
        <w:spacing w:after="100"/>
        <w:jc w:val="center"/>
      </w:pPr>
      <w:r>
        <w:rPr>
          <w:b/>
          <w:bCs/>
          <w:sz w:val="44"/>
          <w:szCs w:val="44"/>
        </w:rPr>
        <w:t xml:space="preserve">Features</w:t>
      </w:r>
    </w:p>
    <w:p>
      <w:pPr>
        <w:spacing w:after="500"/>
        <w:jc w:val="center"/>
      </w:pPr>
      <w:r>
        <w:rPr>
          <w:i/>
          <w:iCs/>
          <w:color w:val="595959"/>
          <w:sz w:val="23"/>
          <w:szCs w:val="23"/>
        </w:rPr>
        <w:t xml:space="preserve">Building the inputs that decide whether early detection is possible at all</w:t>
      </w:r>
    </w:p>
    <w:p>
      <w:pPr>
        <w:spacing w:after="60"/>
        <w:jc w:val="center"/>
      </w:pPr>
      <w:r>
        <w:rPr>
          <w:b/>
          <w:bCs/>
          <w:color w:val="1E7B34"/>
          <w:sz w:val="22"/>
          <w:szCs w:val="22"/>
        </w:rPr>
        <w:t xml:space="preserve">STATUS: COMPLETE — 71 tests passing</w:t>
      </w:r>
    </w:p>
    <w:p>
      <w:pPr>
        <w:spacing w:after="50"/>
        <w:jc w:val="center"/>
      </w:pPr>
      <w:r>
        <w:rPr>
          <w:color w:val="595959"/>
          <w:sz w:val="20"/>
          <w:szCs w:val="20"/>
        </w:rPr>
        <w:t xml:space="preserve">468,266 symbol-days × 10 model features · 5,820 days × 7 market features</w:t>
      </w:r>
    </w:p>
    <w:p>
      <w:pPr>
        <w:spacing w:after="50"/>
        <w:jc w:val="center"/>
      </w:pPr>
      <w:r>
        <w:rPr>
          <w:color w:val="595959"/>
          <w:sz w:val="20"/>
          <w:szCs w:val="20"/>
        </w:rPr>
        <w:t xml:space="preserve">All features &gt;98.6% populated in the backtest window</w:t>
      </w:r>
    </w:p>
    <w:p>
      <w:pPr>
        <w:spacing w:after="50"/>
        <w:jc w:val="center"/>
      </w:pPr>
      <w:r>
        <w:rPr>
          <w:color w:val="595959"/>
          <w:sz w:val="20"/>
          <w:szCs w:val="20"/>
        </w:rPr>
        <w:t xml:space="preserve">Strongest measured signal: 3.91× lift over base rate</w:t>
      </w:r>
    </w:p>
    <w:p>
      <w:pPr>
        <w:spacing w:before="200"/>
        <w:jc w:val="center"/>
      </w:pPr>
      <w:r>
        <w:rPr>
          <w:color w:val="595959"/>
          <w:sz w:val="19"/>
          <w:szCs w:val="19"/>
        </w:rPr>
        <w:t xml:space="preserve">Generated 2026-07-26</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The central idea</w:t>
      </w:r>
    </w:p>
    <w:p>
      <w:pPr>
        <w:spacing w:after="130" w:line="300"/>
      </w:pPr>
      <w:r>
        <w:t xml:space="preserve">The project requires detecting a crash two to ten days before it happens. It is tempting to treat that as a modelling problem — pick a better algorithm, tune it harder. It is not. It is a feature problem, and no amount of downstream cleverness can recover from getting it wrong.</w:t>
      </w:r>
    </w:p>
    <w:p>
      <w:pPr>
        <w:spacing w:after="130" w:line="300"/>
      </w:pPr>
      <w:r>
        <w:t xml:space="preserve">Isolation Forest finds whatever is unusual in what you give it. Give it today's return and it will faithfully report that today's minus six percent day was unusual — on the day it happened. That is a description, not a prediction. The model has done nothing wrong; it answered exactly the question it was asked.</w:t>
      </w:r>
    </w:p>
    <w:tbl>
      <w:tblPr>
        <w:tblW w:type="dxa" w:w="9000"/>
        <w:tblBorders>
          <w:top w:val="single" w:color="1F4E79" w:sz="2"/>
          <w:left w:val="single" w:color="1F4E79" w:sz="20"/>
          <w:bottom w:val="single" w:color="1F4E79" w:sz="2"/>
          <w:right w:val="single" w:color="1F4E79" w:sz="2"/>
          <w:insideH w:val="none"/>
          <w:insideV w:val="none"/>
        </w:tblBorders>
      </w:tblPr>
      <w:tblGrid>
        <w:gridCol w:w="9000"/>
      </w:tblGrid>
      <w:tr>
        <w:tc>
          <w:tcPr>
            <w:tcW w:type="dxa" w:w="9000"/>
            <w:shd w:fill="F7FAFD" w:val="clear"/>
            <w:tcMar>
              <w:top w:type="dxa" w:w="150"/>
              <w:left w:type="dxa" w:w="220"/>
              <w:bottom w:type="dxa" w:w="150"/>
              <w:right w:type="dxa" w:w="200"/>
            </w:tcMar>
          </w:tcPr>
          <w:p>
            <w:pPr>
              <w:spacing w:after="70"/>
            </w:pPr>
            <w:r>
              <w:rPr>
                <w:b/>
                <w:bCs/>
                <w:color w:val="1F4E79"/>
              </w:rPr>
              <w:t xml:space="preserve">The design rule for this phase</w:t>
            </w:r>
          </w:p>
          <w:p>
            <w:pPr>
              <w:spacing w:after="70" w:line="300"/>
            </w:pPr>
            <w:r>
              <w:t xml:space="preserve">Every feature must measure market STRESS rather than price MOVEMENT.</w:t>
            </w:r>
          </w:p>
          <w:p>
            <w:pPr>
              <w:spacing w:after="70" w:line="300"/>
            </w:pPr>
            <w:r>
              <w:t xml:space="preserve">Stress is slow. It builds while price is still roughly flat, which is what makes it available before the break rather than during it.</w:t>
            </w:r>
          </w:p>
          <w:p>
            <w:pPr>
              <w:spacing w:after="0" w:line="300"/>
            </w:pPr>
            <w:r>
              <w:t xml:space="preserve">ret_1d is computed and returned for labelling, plotting and debugging, but it is NOT in FEATURE_COLUMNS and never reaches the model. A test guards against it leaking in later.</w:t>
            </w:r>
          </w:p>
        </w:tc>
      </w:tr>
    </w:tbl>
    <w:p>
      <w:pPr>
        <w:pStyle w:val="Heading2"/>
        <w:spacing w:after="120" w:before="300"/>
      </w:pPr>
      <w:r>
        <w:t xml:space="preserve">1.1 Three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700"/>
      </w:tblGrid>
      <w:tr>
        <w:trPr>
          <w:tblHeader/>
        </w:trPr>
        <w:tc>
          <w:tcPr>
            <w:tcW w:type="dxa" w:w="2600"/>
            <w:shd w:fill="1F4E79" w:val="clear"/>
            <w:tcMar>
              <w:top w:type="dxa" w:w="90"/>
              <w:left w:type="dxa" w:w="130"/>
              <w:bottom w:type="dxa" w:w="90"/>
              <w:right w:type="dxa" w:w="130"/>
            </w:tcMar>
          </w:tcPr>
          <w:p>
            <w:r>
              <w:rPr>
                <w:b/>
                <w:bCs/>
                <w:color w:val="FFFFFF"/>
                <w:sz w:val="19"/>
                <w:szCs w:val="19"/>
              </w:rPr>
              <w:t xml:space="preserve">Layer</w:t>
            </w:r>
          </w:p>
        </w:tc>
        <w:tc>
          <w:tcPr>
            <w:tcW w:type="dxa" w:w="1700"/>
            <w:shd w:fill="1F4E79" w:val="clear"/>
            <w:tcMar>
              <w:top w:type="dxa" w:w="90"/>
              <w:left w:type="dxa" w:w="130"/>
              <w:bottom w:type="dxa" w:w="90"/>
              <w:right w:type="dxa" w:w="130"/>
            </w:tcMar>
          </w:tcPr>
          <w:p>
            <w:r>
              <w:rPr>
                <w:b/>
                <w:bCs/>
                <w:color w:val="FFFFFF"/>
                <w:sz w:val="19"/>
                <w:szCs w:val="19"/>
              </w:rPr>
              <w:t xml:space="preserve">Scope</w:t>
            </w:r>
          </w:p>
        </w:tc>
        <w:tc>
          <w:tcPr>
            <w:tcW w:type="dxa" w:w="4700"/>
            <w:shd w:fill="1F4E79" w:val="clear"/>
            <w:tcMar>
              <w:top w:type="dxa" w:w="90"/>
              <w:left w:type="dxa" w:w="130"/>
              <w:bottom w:type="dxa" w:w="90"/>
              <w:right w:type="dxa" w:w="130"/>
            </w:tcMar>
          </w:tcPr>
          <w:p>
            <w:r>
              <w:rPr>
                <w:b/>
                <w:bCs/>
                <w:color w:val="FFFFFF"/>
                <w:sz w:val="19"/>
                <w:szCs w:val="19"/>
              </w:rPr>
              <w:t xml:space="preserve">Answers</w:t>
            </w:r>
          </w:p>
        </w:tc>
      </w:tr>
      <w:tr>
        <w:tc>
          <w:tcPr>
            <w:tcW w:type="dxa" w:w="2600"/>
            <w:shd w:fill="F5F8FB" w:val="clear"/>
            <w:tcMar>
              <w:top w:type="dxa" w:w="80"/>
              <w:left w:type="dxa" w:w="130"/>
              <w:bottom w:type="dxa" w:w="80"/>
              <w:right w:type="dxa" w:w="130"/>
            </w:tcMar>
          </w:tcPr>
          <w:p>
            <w:r>
              <w:rPr>
                <w:sz w:val="19"/>
                <w:szCs w:val="19"/>
              </w:rPr>
              <w:t xml:space="preserve">Slope and acceleration</w:t>
            </w:r>
          </w:p>
        </w:tc>
        <w:tc>
          <w:tcPr>
            <w:tcW w:type="dxa" w:w="1700"/>
            <w:shd w:fill="F5F8FB" w:val="clear"/>
            <w:tcMar>
              <w:top w:type="dxa" w:w="80"/>
              <w:left w:type="dxa" w:w="130"/>
              <w:bottom w:type="dxa" w:w="80"/>
              <w:right w:type="dxa" w:w="130"/>
            </w:tcMar>
          </w:tcPr>
          <w:p>
            <w:r>
              <w:rPr>
                <w:sz w:val="19"/>
                <w:szCs w:val="19"/>
              </w:rPr>
              <w:t xml:space="preserve">per stock</w:t>
            </w:r>
          </w:p>
        </w:tc>
        <w:tc>
          <w:tcPr>
            <w:tcW w:type="dxa" w:w="4700"/>
            <w:shd w:fill="F5F8FB" w:val="clear"/>
            <w:tcMar>
              <w:top w:type="dxa" w:w="80"/>
              <w:left w:type="dxa" w:w="130"/>
              <w:bottom w:type="dxa" w:w="80"/>
              <w:right w:type="dxa" w:w="130"/>
            </w:tcMar>
          </w:tcPr>
          <w:p>
            <w:r>
              <w:rPr>
                <w:sz w:val="19"/>
                <w:szCs w:val="19"/>
              </w:rPr>
              <w:t xml:space="preserve">Which direction, and is the move building or exhausting?</w:t>
            </w:r>
          </w:p>
        </w:tc>
      </w:tr>
      <w:tr>
        <w:tc>
          <w:tcPr>
            <w:tcW w:type="dxa" w:w="2600"/>
            <w:shd w:fill="FFFFFF" w:val="clear"/>
            <w:tcMar>
              <w:top w:type="dxa" w:w="80"/>
              <w:left w:type="dxa" w:w="130"/>
              <w:bottom w:type="dxa" w:w="80"/>
              <w:right w:type="dxa" w:w="130"/>
            </w:tcMar>
          </w:tcPr>
          <w:p>
            <w:r>
              <w:rPr>
                <w:sz w:val="19"/>
                <w:szCs w:val="19"/>
              </w:rPr>
              <w:t xml:space="preserve">Precursors</w:t>
            </w:r>
          </w:p>
        </w:tc>
        <w:tc>
          <w:tcPr>
            <w:tcW w:type="dxa" w:w="1700"/>
            <w:shd w:fill="FFFFFF" w:val="clear"/>
            <w:tcMar>
              <w:top w:type="dxa" w:w="80"/>
              <w:left w:type="dxa" w:w="130"/>
              <w:bottom w:type="dxa" w:w="80"/>
              <w:right w:type="dxa" w:w="130"/>
            </w:tcMar>
          </w:tcPr>
          <w:p>
            <w:r>
              <w:rPr>
                <w:sz w:val="19"/>
                <w:szCs w:val="19"/>
              </w:rPr>
              <w:t xml:space="preserve">per stock</w:t>
            </w:r>
          </w:p>
        </w:tc>
        <w:tc>
          <w:tcPr>
            <w:tcW w:type="dxa" w:w="4700"/>
            <w:shd w:fill="FFFFFF" w:val="clear"/>
            <w:tcMar>
              <w:top w:type="dxa" w:w="80"/>
              <w:left w:type="dxa" w:w="130"/>
              <w:bottom w:type="dxa" w:w="80"/>
              <w:right w:type="dxa" w:w="130"/>
            </w:tcMar>
          </w:tcPr>
          <w:p>
            <w:r>
              <w:rPr>
                <w:sz w:val="19"/>
                <w:szCs w:val="19"/>
              </w:rPr>
              <w:t xml:space="preserve">Is stress accumulating in this name?</w:t>
            </w:r>
          </w:p>
        </w:tc>
      </w:tr>
      <w:tr>
        <w:tc>
          <w:tcPr>
            <w:tcW w:type="dxa" w:w="2600"/>
            <w:shd w:fill="F5F8FB" w:val="clear"/>
            <w:tcMar>
              <w:top w:type="dxa" w:w="80"/>
              <w:left w:type="dxa" w:w="130"/>
              <w:bottom w:type="dxa" w:w="80"/>
              <w:right w:type="dxa" w:w="130"/>
            </w:tcMar>
          </w:tcPr>
          <w:p>
            <w:r>
              <w:rPr>
                <w:sz w:val="19"/>
                <w:szCs w:val="19"/>
              </w:rPr>
              <w:t xml:space="preserve">Cross-sectional</w:t>
            </w:r>
          </w:p>
        </w:tc>
        <w:tc>
          <w:tcPr>
            <w:tcW w:type="dxa" w:w="1700"/>
            <w:shd w:fill="F5F8FB" w:val="clear"/>
            <w:tcMar>
              <w:top w:type="dxa" w:w="80"/>
              <w:left w:type="dxa" w:w="130"/>
              <w:bottom w:type="dxa" w:w="80"/>
              <w:right w:type="dxa" w:w="130"/>
            </w:tcMar>
          </w:tcPr>
          <w:p>
            <w:r>
              <w:rPr>
                <w:sz w:val="19"/>
                <w:szCs w:val="19"/>
              </w:rPr>
              <w:t xml:space="preserve">whole universe</w:t>
            </w:r>
          </w:p>
        </w:tc>
        <w:tc>
          <w:tcPr>
            <w:tcW w:type="dxa" w:w="4700"/>
            <w:shd w:fill="F5F8FB" w:val="clear"/>
            <w:tcMar>
              <w:top w:type="dxa" w:w="80"/>
              <w:left w:type="dxa" w:w="130"/>
              <w:bottom w:type="dxa" w:w="80"/>
              <w:right w:type="dxa" w:w="130"/>
            </w:tcMar>
          </w:tcPr>
          <w:p>
            <w:r>
              <w:rPr>
                <w:sz w:val="19"/>
                <w:szCs w:val="19"/>
              </w:rPr>
              <w:t xml:space="preserve">Is this one stock, or is it everything at once?</w:t>
            </w:r>
          </w:p>
        </w:tc>
      </w:tr>
    </w:tbl>
    <w:p>
      <w:pPr>
        <w:spacing w:after="130" w:line="300"/>
      </w:pPr>
      <w:r>
        <w:t xml:space="preserve">The third layer exists because a single stock falling on its own news is an exit for that stock, whereas the whole market falling together is a different event needing a different response. Per-stock features cannot tell those apart. Only the cross-section can.</w:t>
      </w:r>
    </w:p>
    <w:p>
      <w:r>
        <w:br w:type="page"/>
      </w:r>
    </w:p>
    <w:p>
      <w:pPr>
        <w:pStyle w:val="Heading1"/>
        <w:spacing w:after="160" w:before="360"/>
      </w:pPr>
      <w:r>
        <w:t xml:space="preserve">2. Layer 1 — slope and acceleration</w:t>
      </w:r>
    </w:p>
    <w:p>
      <w:pPr>
        <w:spacing w:after="130" w:line="300"/>
      </w:pPr>
      <w:r>
        <w:t xml:space="preserve">Slope is how steeply price is moving; acceleration is whether that steepness is increasing or easing. In calculus terms, the first and second derivative.</w:t>
      </w:r>
    </w:p>
    <w:p>
      <w:pPr>
        <w:spacing w:after="130" w:line="300"/>
      </w:pPr>
      <w:r>
        <w:t xml:space="preserve">Both are measured on the </w:t>
      </w:r>
      <w:r>
        <w:rPr>
          <w:b/>
          <w:bCs/>
        </w:rPr>
        <w:t xml:space="preserve">logarithm</w:t>
      </w:r>
      <w:r>
        <w:t xml:space="preserve"> of price. A ten-rupee move means something very different for a 200-rupee stock than for a 20,000-rupee one; the slope of log price is percentage change per day, which means the same thing everywhere. It also makes the measure immune to stock splits.</w:t>
      </w:r>
    </w:p>
    <w:p>
      <w:pPr>
        <w:pStyle w:val="Heading2"/>
        <w:spacing w:after="120" w:before="300"/>
      </w:pPr>
      <w:r>
        <w:t xml:space="preserve">2.1 How they are computed</w:t>
      </w:r>
    </w:p>
    <w:p>
      <w:pPr>
        <w:spacing w:after="130" w:line="300"/>
      </w:pPr>
      <w:r>
        <w:t xml:space="preserve">Slope is a least-squares straight line fitted through the last few days of log price. Acceleration is the curvature term from a single quadratic fit — deliberately not the difference between two slope readings, because stacking two smoothers roughly doubles the lag, and lag is precisely what cannot be afforded when the goal is seeing a turn several days early.</w:t>
      </w:r>
    </w:p>
    <w:p>
      <w:pPr>
        <w:spacing w:after="130" w:line="300"/>
      </w:pPr>
      <w:r>
        <w:t xml:space="preserve">Because the trailing window is evenly spaced in time, both regressions collapse mathematically to a fixed set of weights. Each feature is therefore a single weighted sum over the trailing window. This is not merely fast: it makes causality structural. There is no code path that could look forward, so it cannot be broken by a later edit.</w:t>
      </w:r>
    </w:p>
    <w:p>
      <w:pPr>
        <w:pStyle w:val="Heading2"/>
        <w:spacing w:after="120" w:before="300"/>
      </w:pPr>
      <w:r>
        <w:t xml:space="preserve">2.2 The sign pair is the signal logic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500"/>
        <w:gridCol w:w="3600"/>
      </w:tblGrid>
      <w:tr>
        <w:trPr>
          <w:tblHeader/>
        </w:trPr>
        <w:tc>
          <w:tcPr>
            <w:tcW w:type="dxa" w:w="1300"/>
            <w:shd w:fill="1F4E79" w:val="clear"/>
            <w:tcMar>
              <w:top w:type="dxa" w:w="90"/>
              <w:left w:type="dxa" w:w="130"/>
              <w:bottom w:type="dxa" w:w="90"/>
              <w:right w:type="dxa" w:w="130"/>
            </w:tcMar>
          </w:tcPr>
          <w:p>
            <w:r>
              <w:rPr>
                <w:b/>
                <w:bCs/>
                <w:color w:val="FFFFFF"/>
                <w:sz w:val="19"/>
                <w:szCs w:val="19"/>
              </w:rPr>
              <w:t xml:space="preserve">Slope</w:t>
            </w:r>
          </w:p>
        </w:tc>
        <w:tc>
          <w:tcPr>
            <w:tcW w:type="dxa" w:w="1600"/>
            <w:shd w:fill="1F4E79" w:val="clear"/>
            <w:tcMar>
              <w:top w:type="dxa" w:w="90"/>
              <w:left w:type="dxa" w:w="130"/>
              <w:bottom w:type="dxa" w:w="90"/>
              <w:right w:type="dxa" w:w="130"/>
            </w:tcMar>
          </w:tcPr>
          <w:p>
            <w:r>
              <w:rPr>
                <w:b/>
                <w:bCs/>
                <w:color w:val="FFFFFF"/>
                <w:sz w:val="19"/>
                <w:szCs w:val="19"/>
              </w:rPr>
              <w:t xml:space="preserve">Acceleration</w:t>
            </w:r>
          </w:p>
        </w:tc>
        <w:tc>
          <w:tcPr>
            <w:tcW w:type="dxa" w:w="2500"/>
            <w:shd w:fill="1F4E79" w:val="clear"/>
            <w:tcMar>
              <w:top w:type="dxa" w:w="90"/>
              <w:left w:type="dxa" w:w="130"/>
              <w:bottom w:type="dxa" w:w="90"/>
              <w:right w:type="dxa" w:w="130"/>
            </w:tcMar>
          </w:tcPr>
          <w:p>
            <w:r>
              <w:rPr>
                <w:b/>
                <w:bCs/>
                <w:color w:val="FFFFFF"/>
                <w:sz w:val="19"/>
                <w:szCs w:val="19"/>
              </w:rPr>
              <w:t xml:space="preserve">Phase</w:t>
            </w:r>
          </w:p>
        </w:tc>
        <w:tc>
          <w:tcPr>
            <w:tcW w:type="dxa" w:w="3600"/>
            <w:shd w:fill="1F4E79" w:val="clear"/>
            <w:tcMar>
              <w:top w:type="dxa" w:w="90"/>
              <w:left w:type="dxa" w:w="130"/>
              <w:bottom w:type="dxa" w:w="90"/>
              <w:right w:type="dxa" w:w="130"/>
            </w:tcMar>
          </w:tcPr>
          <w:p>
            <w:r>
              <w:rPr>
                <w:b/>
                <w:bCs/>
                <w:color w:val="FFFFFF"/>
                <w:sz w:val="19"/>
                <w:szCs w:val="19"/>
              </w:rPr>
              <w:t xml:space="preserve">Reading</w:t>
            </w:r>
          </w:p>
        </w:tc>
      </w:tr>
      <w:tr>
        <w:tc>
          <w:tcPr>
            <w:tcW w:type="dxa" w:w="1300"/>
            <w:shd w:fill="F5F8FB" w:val="clear"/>
            <w:tcMar>
              <w:top w:type="dxa" w:w="80"/>
              <w:left w:type="dxa" w:w="130"/>
              <w:bottom w:type="dxa" w:w="80"/>
              <w:right w:type="dxa" w:w="130"/>
            </w:tcMar>
          </w:tcPr>
          <w:p>
            <w:r>
              <w:rPr>
                <w:sz w:val="19"/>
                <w:szCs w:val="19"/>
              </w:rPr>
              <w:t xml:space="preserve">negative</w:t>
            </w:r>
          </w:p>
        </w:tc>
        <w:tc>
          <w:tcPr>
            <w:tcW w:type="dxa" w:w="1600"/>
            <w:shd w:fill="F5F8FB" w:val="clear"/>
            <w:tcMar>
              <w:top w:type="dxa" w:w="80"/>
              <w:left w:type="dxa" w:w="130"/>
              <w:bottom w:type="dxa" w:w="80"/>
              <w:right w:type="dxa" w:w="130"/>
            </w:tcMar>
          </w:tcPr>
          <w:p>
            <w:r>
              <w:rPr>
                <w:sz w:val="19"/>
                <w:szCs w:val="19"/>
              </w:rPr>
              <w:t xml:space="preserve">negative</w:t>
            </w:r>
          </w:p>
        </w:tc>
        <w:tc>
          <w:tcPr>
            <w:tcW w:type="dxa" w:w="2500"/>
            <w:shd w:fill="F5F8FB" w:val="clear"/>
            <w:tcMar>
              <w:top w:type="dxa" w:w="80"/>
              <w:left w:type="dxa" w:w="130"/>
              <w:bottom w:type="dxa" w:w="80"/>
              <w:right w:type="dxa" w:w="130"/>
            </w:tcMar>
          </w:tcPr>
          <w:p>
            <w:r>
              <w:rPr>
                <w:sz w:val="19"/>
                <w:szCs w:val="19"/>
              </w:rPr>
              <w:t xml:space="preserve">AcceleratingDecline</w:t>
            </w:r>
          </w:p>
        </w:tc>
        <w:tc>
          <w:tcPr>
            <w:tcW w:type="dxa" w:w="3600"/>
            <w:shd w:fill="F5F8FB" w:val="clear"/>
            <w:tcMar>
              <w:top w:type="dxa" w:w="80"/>
              <w:left w:type="dxa" w:w="130"/>
              <w:bottom w:type="dxa" w:w="80"/>
              <w:right w:type="dxa" w:w="130"/>
            </w:tcMar>
          </w:tcPr>
          <w:p>
            <w:r>
              <w:rPr>
                <w:sz w:val="19"/>
                <w:szCs w:val="19"/>
              </w:rPr>
              <w:t xml:space="preserve">falling and worsening — crash developing, EXIT</w:t>
            </w:r>
          </w:p>
        </w:tc>
      </w:tr>
      <w:tr>
        <w:tc>
          <w:tcPr>
            <w:tcW w:type="dxa" w:w="1300"/>
            <w:shd w:fill="FFFFFF" w:val="clear"/>
            <w:tcMar>
              <w:top w:type="dxa" w:w="80"/>
              <w:left w:type="dxa" w:w="130"/>
              <w:bottom w:type="dxa" w:w="80"/>
              <w:right w:type="dxa" w:w="130"/>
            </w:tcMar>
          </w:tcPr>
          <w:p>
            <w:r>
              <w:rPr>
                <w:sz w:val="19"/>
                <w:szCs w:val="19"/>
              </w:rPr>
              <w:t xml:space="preserve">negative</w:t>
            </w:r>
          </w:p>
        </w:tc>
        <w:tc>
          <w:tcPr>
            <w:tcW w:type="dxa" w:w="1600"/>
            <w:shd w:fill="FFFFFF" w:val="clear"/>
            <w:tcMar>
              <w:top w:type="dxa" w:w="80"/>
              <w:left w:type="dxa" w:w="130"/>
              <w:bottom w:type="dxa" w:w="80"/>
              <w:right w:type="dxa" w:w="130"/>
            </w:tcMar>
          </w:tcPr>
          <w:p>
            <w:r>
              <w:rPr>
                <w:sz w:val="19"/>
                <w:szCs w:val="19"/>
              </w:rPr>
              <w:t xml:space="preserve">positive</w:t>
            </w:r>
          </w:p>
        </w:tc>
        <w:tc>
          <w:tcPr>
            <w:tcW w:type="dxa" w:w="2500"/>
            <w:shd w:fill="FFFFFF" w:val="clear"/>
            <w:tcMar>
              <w:top w:type="dxa" w:w="80"/>
              <w:left w:type="dxa" w:w="130"/>
              <w:bottom w:type="dxa" w:w="80"/>
              <w:right w:type="dxa" w:w="130"/>
            </w:tcMar>
          </w:tcPr>
          <w:p>
            <w:r>
              <w:rPr>
                <w:sz w:val="19"/>
                <w:szCs w:val="19"/>
              </w:rPr>
              <w:t xml:space="preserve">DeceleratingDecline</w:t>
            </w:r>
          </w:p>
        </w:tc>
        <w:tc>
          <w:tcPr>
            <w:tcW w:type="dxa" w:w="3600"/>
            <w:shd w:fill="FFFFFF" w:val="clear"/>
            <w:tcMar>
              <w:top w:type="dxa" w:w="80"/>
              <w:left w:type="dxa" w:w="130"/>
              <w:bottom w:type="dxa" w:w="80"/>
              <w:right w:type="dxa" w:w="130"/>
            </w:tcMar>
          </w:tcPr>
          <w:p>
            <w:r>
              <w:rPr>
                <w:sz w:val="19"/>
                <w:szCs w:val="19"/>
              </w:rPr>
              <w:t xml:space="preserve">selloff exhausting — watch for re-entry</w:t>
            </w:r>
          </w:p>
        </w:tc>
      </w:tr>
      <w:tr>
        <w:tc>
          <w:tcPr>
            <w:tcW w:type="dxa" w:w="1300"/>
            <w:shd w:fill="F5F8FB" w:val="clear"/>
            <w:tcMar>
              <w:top w:type="dxa" w:w="80"/>
              <w:left w:type="dxa" w:w="130"/>
              <w:bottom w:type="dxa" w:w="80"/>
              <w:right w:type="dxa" w:w="130"/>
            </w:tcMar>
          </w:tcPr>
          <w:p>
            <w:r>
              <w:rPr>
                <w:sz w:val="19"/>
                <w:szCs w:val="19"/>
              </w:rPr>
              <w:t xml:space="preserve">positive</w:t>
            </w:r>
          </w:p>
        </w:tc>
        <w:tc>
          <w:tcPr>
            <w:tcW w:type="dxa" w:w="1600"/>
            <w:shd w:fill="F5F8FB" w:val="clear"/>
            <w:tcMar>
              <w:top w:type="dxa" w:w="80"/>
              <w:left w:type="dxa" w:w="130"/>
              <w:bottom w:type="dxa" w:w="80"/>
              <w:right w:type="dxa" w:w="130"/>
            </w:tcMar>
          </w:tcPr>
          <w:p>
            <w:r>
              <w:rPr>
                <w:sz w:val="19"/>
                <w:szCs w:val="19"/>
              </w:rPr>
              <w:t xml:space="preserve">positive</w:t>
            </w:r>
          </w:p>
        </w:tc>
        <w:tc>
          <w:tcPr>
            <w:tcW w:type="dxa" w:w="2500"/>
            <w:shd w:fill="F5F8FB" w:val="clear"/>
            <w:tcMar>
              <w:top w:type="dxa" w:w="80"/>
              <w:left w:type="dxa" w:w="130"/>
              <w:bottom w:type="dxa" w:w="80"/>
              <w:right w:type="dxa" w:w="130"/>
            </w:tcMar>
          </w:tcPr>
          <w:p>
            <w:r>
              <w:rPr>
                <w:sz w:val="19"/>
                <w:szCs w:val="19"/>
              </w:rPr>
              <w:t xml:space="preserve">AcceleratingAdvance</w:t>
            </w:r>
          </w:p>
        </w:tc>
        <w:tc>
          <w:tcPr>
            <w:tcW w:type="dxa" w:w="3600"/>
            <w:shd w:fill="F5F8FB" w:val="clear"/>
            <w:tcMar>
              <w:top w:type="dxa" w:w="80"/>
              <w:left w:type="dxa" w:w="130"/>
              <w:bottom w:type="dxa" w:w="80"/>
              <w:right w:type="dxa" w:w="130"/>
            </w:tcMar>
          </w:tcPr>
          <w:p>
            <w:r>
              <w:rPr>
                <w:sz w:val="19"/>
                <w:szCs w:val="19"/>
              </w:rPr>
              <w:t xml:space="preserve">rally building — ENTER</w:t>
            </w:r>
          </w:p>
        </w:tc>
      </w:tr>
      <w:tr>
        <w:tc>
          <w:tcPr>
            <w:tcW w:type="dxa" w:w="1300"/>
            <w:shd w:fill="FFFFFF" w:val="clear"/>
            <w:tcMar>
              <w:top w:type="dxa" w:w="80"/>
              <w:left w:type="dxa" w:w="130"/>
              <w:bottom w:type="dxa" w:w="80"/>
              <w:right w:type="dxa" w:w="130"/>
            </w:tcMar>
          </w:tcPr>
          <w:p>
            <w:r>
              <w:rPr>
                <w:sz w:val="19"/>
                <w:szCs w:val="19"/>
              </w:rPr>
              <w:t xml:space="preserve">positive</w:t>
            </w:r>
          </w:p>
        </w:tc>
        <w:tc>
          <w:tcPr>
            <w:tcW w:type="dxa" w:w="1600"/>
            <w:shd w:fill="FFFFFF" w:val="clear"/>
            <w:tcMar>
              <w:top w:type="dxa" w:w="80"/>
              <w:left w:type="dxa" w:w="130"/>
              <w:bottom w:type="dxa" w:w="80"/>
              <w:right w:type="dxa" w:w="130"/>
            </w:tcMar>
          </w:tcPr>
          <w:p>
            <w:r>
              <w:rPr>
                <w:sz w:val="19"/>
                <w:szCs w:val="19"/>
              </w:rPr>
              <w:t xml:space="preserve">negative</w:t>
            </w:r>
          </w:p>
        </w:tc>
        <w:tc>
          <w:tcPr>
            <w:tcW w:type="dxa" w:w="2500"/>
            <w:shd w:fill="FFFFFF" w:val="clear"/>
            <w:tcMar>
              <w:top w:type="dxa" w:w="80"/>
              <w:left w:type="dxa" w:w="130"/>
              <w:bottom w:type="dxa" w:w="80"/>
              <w:right w:type="dxa" w:w="130"/>
            </w:tcMar>
          </w:tcPr>
          <w:p>
            <w:r>
              <w:rPr>
                <w:sz w:val="19"/>
                <w:szCs w:val="19"/>
              </w:rPr>
              <w:t xml:space="preserve">DeceleratingAdvance</w:t>
            </w:r>
          </w:p>
        </w:tc>
        <w:tc>
          <w:tcPr>
            <w:tcW w:type="dxa" w:w="3600"/>
            <w:shd w:fill="FFFFFF" w:val="clear"/>
            <w:tcMar>
              <w:top w:type="dxa" w:w="80"/>
              <w:left w:type="dxa" w:w="130"/>
              <w:bottom w:type="dxa" w:w="80"/>
              <w:right w:type="dxa" w:w="130"/>
            </w:tcMar>
          </w:tcPr>
          <w:p>
            <w:r>
              <w:rPr>
                <w:sz w:val="19"/>
                <w:szCs w:val="19"/>
              </w:rPr>
              <w:t xml:space="preserve">topping out — caution</w:t>
            </w:r>
          </w:p>
        </w:tc>
      </w:tr>
    </w:tbl>
    <w:p>
      <w:pPr>
        <w:pStyle w:val="Heading2"/>
        <w:spacing w:after="120" w:before="300"/>
      </w:pPr>
      <w:r>
        <w:t xml:space="preserve">2.3 A bug worth understanding</w:t>
      </w:r>
    </w:p>
    <w:p>
      <w:pPr>
        <w:spacing w:after="130" w:line="300"/>
      </w:pPr>
      <w:r>
        <w:t xml:space="preserve">To compare across stocks, slope is divided by the stock's own recent volatility, giving a reading in daily standard deviations. The first implementation used volatility measured over the most recent sixty days. On real RELIANCE data the COVID crash then scored only minus 1.67 sigma, which was plainly too mild.</w:t>
      </w:r>
    </w:p>
    <w:tbl>
      <w:tblPr>
        <w:tblW w:type="dxa" w:w="9000"/>
        <w:tblBorders>
          <w:top w:val="single" w:color="B22222" w:sz="2"/>
          <w:left w:val="single" w:color="B22222" w:sz="20"/>
          <w:bottom w:val="single" w:color="B22222" w:sz="2"/>
          <w:right w:val="single" w:color="B22222" w:sz="2"/>
          <w:insideH w:val="none"/>
          <w:insideV w:val="none"/>
        </w:tblBorders>
      </w:tblPr>
      <w:tblGrid>
        <w:gridCol w:w="9000"/>
      </w:tblGrid>
      <w:tr>
        <w:tc>
          <w:tcPr>
            <w:tcW w:type="dxa" w:w="9000"/>
            <w:shd w:fill="FDF6F6" w:val="clear"/>
            <w:tcMar>
              <w:top w:type="dxa" w:w="150"/>
              <w:left w:type="dxa" w:w="220"/>
              <w:bottom w:type="dxa" w:w="150"/>
              <w:right w:type="dxa" w:w="200"/>
            </w:tcMar>
          </w:tcPr>
          <w:p>
            <w:pPr>
              <w:spacing w:after="70"/>
            </w:pPr>
            <w:r>
              <w:rPr>
                <w:b/>
                <w:bCs/>
                <w:color w:val="B22222"/>
              </w:rPr>
              <w:t xml:space="preserve">A crash was muting its own signal</w:t>
            </w:r>
          </w:p>
          <w:p>
            <w:pPr>
              <w:spacing w:after="70" w:line="300"/>
            </w:pPr>
            <w:r>
              <w:t xml:space="preserve">By mid-March 2020 the sixty-day volatility window was itself full of crash days. The denominator had grown, so the crash was quietly dividing away its own severity.</w:t>
            </w:r>
          </w:p>
          <w:p>
            <w:pPr>
              <w:spacing w:after="70" w:line="300"/>
            </w:pPr>
            <w:r>
              <w:t xml:space="preserve">Lagging the volatility estimate by twenty days — so it describes the calm the move is departing FROM rather than the chaos it is creating — scores the same event at minus 3.01 sigma.</w:t>
            </w:r>
          </w:p>
          <w:p>
            <w:pPr>
              <w:spacing w:after="0" w:line="300"/>
            </w:pPr>
            <w:r>
              <w:t xml:space="preserve">This self-normalisation trap recurs throughout the project. It is the same reason Bollinger Bands were rejected as a crash label in section 6.</w:t>
            </w:r>
          </w:p>
        </w:tc>
      </w:tr>
    </w:tbl>
    <w:p>
      <w:r>
        <w:br w:type="page"/>
      </w:r>
    </w:p>
    <w:p>
      <w:pPr>
        <w:pStyle w:val="Heading1"/>
        <w:spacing w:after="160" w:before="360"/>
      </w:pPr>
      <w:r>
        <w:t xml:space="preserve">3. Layer 2 — per-stock precursors</w:t>
      </w:r>
    </w:p>
    <w:p>
      <w:pPr>
        <w:spacing w:after="130" w:line="300"/>
      </w:pPr>
      <w:r>
        <w:t xml:space="preserve">Crashes are not bolts from a clear sky. Before a large decline, several things usually shift while price is still roughly flat. Each is measurable, each is slow, and none requires today to have been a bad 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000"/>
      </w:tblGrid>
      <w:tr>
        <w:trPr>
          <w:tblHeader/>
        </w:trPr>
        <w:tc>
          <w:tcPr>
            <w:tcW w:type="dxa" w:w="1700"/>
            <w:shd w:fill="1F4E79" w:val="clear"/>
            <w:tcMar>
              <w:top w:type="dxa" w:w="90"/>
              <w:left w:type="dxa" w:w="130"/>
              <w:bottom w:type="dxa" w:w="90"/>
              <w:right w:type="dxa" w:w="130"/>
            </w:tcMar>
          </w:tcPr>
          <w:p>
            <w:r>
              <w:rPr>
                <w:b/>
                <w:bCs/>
                <w:color w:val="FFFFFF"/>
                <w:sz w:val="19"/>
                <w:szCs w:val="19"/>
              </w:rPr>
              <w:t xml:space="preserve">Feature</w:t>
            </w:r>
          </w:p>
        </w:tc>
        <w:tc>
          <w:tcPr>
            <w:tcW w:type="dxa" w:w="2300"/>
            <w:shd w:fill="1F4E79" w:val="clear"/>
            <w:tcMar>
              <w:top w:type="dxa" w:w="90"/>
              <w:left w:type="dxa" w:w="130"/>
              <w:bottom w:type="dxa" w:w="90"/>
              <w:right w:type="dxa" w:w="130"/>
            </w:tcMar>
          </w:tcPr>
          <w:p>
            <w:r>
              <w:rPr>
                <w:b/>
                <w:bCs/>
                <w:color w:val="FFFFFF"/>
                <w:sz w:val="19"/>
                <w:szCs w:val="19"/>
              </w:rPr>
              <w:t xml:space="preserve">Measures</w:t>
            </w:r>
          </w:p>
        </w:tc>
        <w:tc>
          <w:tcPr>
            <w:tcW w:type="dxa" w:w="5000"/>
            <w:shd w:fill="1F4E79" w:val="clear"/>
            <w:tcMar>
              <w:top w:type="dxa" w:w="90"/>
              <w:left w:type="dxa" w:w="130"/>
              <w:bottom w:type="dxa" w:w="90"/>
              <w:right w:type="dxa" w:w="130"/>
            </w:tcMar>
          </w:tcPr>
          <w:p>
            <w:r>
              <w:rPr>
                <w:b/>
                <w:bCs/>
                <w:color w:val="FFFFFF"/>
                <w:sz w:val="19"/>
                <w:szCs w:val="19"/>
              </w:rPr>
              <w:t xml:space="preserve">Why it should lead</w:t>
            </w:r>
          </w:p>
        </w:tc>
      </w:tr>
      <w:tr>
        <w:tc>
          <w:tcPr>
            <w:tcW w:type="dxa" w:w="1700"/>
            <w:shd w:fill="F5F8FB" w:val="clear"/>
            <w:tcMar>
              <w:top w:type="dxa" w:w="80"/>
              <w:left w:type="dxa" w:w="130"/>
              <w:bottom w:type="dxa" w:w="80"/>
              <w:right w:type="dxa" w:w="130"/>
            </w:tcMar>
          </w:tcPr>
          <w:p>
            <w:r>
              <w:rPr>
                <w:sz w:val="19"/>
                <w:szCs w:val="19"/>
              </w:rPr>
              <w:t xml:space="preserve">vol_ratio</w:t>
            </w:r>
          </w:p>
        </w:tc>
        <w:tc>
          <w:tcPr>
            <w:tcW w:type="dxa" w:w="2300"/>
            <w:shd w:fill="F5F8FB" w:val="clear"/>
            <w:tcMar>
              <w:top w:type="dxa" w:w="80"/>
              <w:left w:type="dxa" w:w="130"/>
              <w:bottom w:type="dxa" w:w="80"/>
              <w:right w:type="dxa" w:w="130"/>
            </w:tcMar>
          </w:tcPr>
          <w:p>
            <w:r>
              <w:rPr>
                <w:sz w:val="19"/>
                <w:szCs w:val="19"/>
              </w:rPr>
              <w:t xml:space="preserve">5-day volatility over 60-day</w:t>
            </w:r>
          </w:p>
        </w:tc>
        <w:tc>
          <w:tcPr>
            <w:tcW w:type="dxa" w:w="5000"/>
            <w:shd w:fill="F5F8FB" w:val="clear"/>
            <w:tcMar>
              <w:top w:type="dxa" w:w="80"/>
              <w:left w:type="dxa" w:w="130"/>
              <w:bottom w:type="dxa" w:w="80"/>
              <w:right w:type="dxa" w:w="130"/>
            </w:tcMar>
          </w:tcPr>
          <w:p>
            <w:r>
              <w:rPr>
                <w:sz w:val="19"/>
                <w:szCs w:val="19"/>
              </w:rPr>
              <w:t xml:space="preserve">Volatility clusters — turbulence precedes turbulence. A ratio, so 2.0 means twice this stock's own normal, whether that normal is 15% or 45%</w:t>
            </w:r>
          </w:p>
        </w:tc>
      </w:tr>
      <w:tr>
        <w:tc>
          <w:tcPr>
            <w:tcW w:type="dxa" w:w="1700"/>
            <w:shd w:fill="FFFFFF" w:val="clear"/>
            <w:tcMar>
              <w:top w:type="dxa" w:w="80"/>
              <w:left w:type="dxa" w:w="130"/>
              <w:bottom w:type="dxa" w:w="80"/>
              <w:right w:type="dxa" w:w="130"/>
            </w:tcMar>
          </w:tcPr>
          <w:p>
            <w:r>
              <w:rPr>
                <w:sz w:val="19"/>
                <w:szCs w:val="19"/>
              </w:rPr>
              <w:t xml:space="preserve">vol_of_vol</w:t>
            </w:r>
          </w:p>
        </w:tc>
        <w:tc>
          <w:tcPr>
            <w:tcW w:type="dxa" w:w="2300"/>
            <w:shd w:fill="FFFFFF" w:val="clear"/>
            <w:tcMar>
              <w:top w:type="dxa" w:w="80"/>
              <w:left w:type="dxa" w:w="130"/>
              <w:bottom w:type="dxa" w:w="80"/>
              <w:right w:type="dxa" w:w="130"/>
            </w:tcMar>
          </w:tcPr>
          <w:p>
            <w:r>
              <w:rPr>
                <w:sz w:val="19"/>
                <w:szCs w:val="19"/>
              </w:rPr>
              <w:t xml:space="preserve">Instability of volatility itself</w:t>
            </w:r>
          </w:p>
        </w:tc>
        <w:tc>
          <w:tcPr>
            <w:tcW w:type="dxa" w:w="5000"/>
            <w:shd w:fill="FFFFFF" w:val="clear"/>
            <w:tcMar>
              <w:top w:type="dxa" w:w="80"/>
              <w:left w:type="dxa" w:w="130"/>
              <w:bottom w:type="dxa" w:w="80"/>
              <w:right w:type="dxa" w:w="130"/>
            </w:tcMar>
          </w:tcPr>
          <w:p>
            <w:r>
              <w:rPr>
                <w:sz w:val="19"/>
                <w:szCs w:val="19"/>
              </w:rPr>
              <w:t xml:space="preserve">A reliably volatile market is a different regime from one whose volatility is lurching; the second tends to precede dislocations</w:t>
            </w:r>
          </w:p>
        </w:tc>
      </w:tr>
      <w:tr>
        <w:tc>
          <w:tcPr>
            <w:tcW w:type="dxa" w:w="1700"/>
            <w:shd w:fill="F5F8FB" w:val="clear"/>
            <w:tcMar>
              <w:top w:type="dxa" w:w="80"/>
              <w:left w:type="dxa" w:w="130"/>
              <w:bottom w:type="dxa" w:w="80"/>
              <w:right w:type="dxa" w:w="130"/>
            </w:tcMar>
          </w:tcPr>
          <w:p>
            <w:r>
              <w:rPr>
                <w:sz w:val="19"/>
                <w:szCs w:val="19"/>
              </w:rPr>
              <w:t xml:space="preserve">semidev_asym</w:t>
            </w:r>
          </w:p>
        </w:tc>
        <w:tc>
          <w:tcPr>
            <w:tcW w:type="dxa" w:w="2300"/>
            <w:shd w:fill="F5F8FB" w:val="clear"/>
            <w:tcMar>
              <w:top w:type="dxa" w:w="80"/>
              <w:left w:type="dxa" w:w="130"/>
              <w:bottom w:type="dxa" w:w="80"/>
              <w:right w:type="dxa" w:w="130"/>
            </w:tcMar>
          </w:tcPr>
          <w:p>
            <w:r>
              <w:rPr>
                <w:sz w:val="19"/>
                <w:szCs w:val="19"/>
              </w:rPr>
              <w:t xml:space="preserve">Downside versus upside deviation</w:t>
            </w:r>
          </w:p>
        </w:tc>
        <w:tc>
          <w:tcPr>
            <w:tcW w:type="dxa" w:w="5000"/>
            <w:shd w:fill="F5F8FB" w:val="clear"/>
            <w:tcMar>
              <w:top w:type="dxa" w:w="80"/>
              <w:left w:type="dxa" w:w="130"/>
              <w:bottom w:type="dxa" w:w="80"/>
              <w:right w:type="dxa" w:w="130"/>
            </w:tcMar>
          </w:tcPr>
          <w:p>
            <w:r>
              <w:rPr>
                <w:sz w:val="19"/>
                <w:szCs w:val="19"/>
              </w:rPr>
              <w:t xml:space="preserve">Ordinary volatility treats +3% and -3% as identical. This does not. Down-moves outgrowing up-moves is the shape that precedes a break</w:t>
            </w:r>
          </w:p>
        </w:tc>
      </w:tr>
      <w:tr>
        <w:tc>
          <w:tcPr>
            <w:tcW w:type="dxa" w:w="1700"/>
            <w:shd w:fill="FFFFFF" w:val="clear"/>
            <w:tcMar>
              <w:top w:type="dxa" w:w="80"/>
              <w:left w:type="dxa" w:w="130"/>
              <w:bottom w:type="dxa" w:w="80"/>
              <w:right w:type="dxa" w:w="130"/>
            </w:tcMar>
          </w:tcPr>
          <w:p>
            <w:r>
              <w:rPr>
                <w:sz w:val="19"/>
                <w:szCs w:val="19"/>
              </w:rPr>
              <w:t xml:space="preserve">volume_z</w:t>
            </w:r>
          </w:p>
        </w:tc>
        <w:tc>
          <w:tcPr>
            <w:tcW w:type="dxa" w:w="2300"/>
            <w:shd w:fill="FFFFFF" w:val="clear"/>
            <w:tcMar>
              <w:top w:type="dxa" w:w="80"/>
              <w:left w:type="dxa" w:w="130"/>
              <w:bottom w:type="dxa" w:w="80"/>
              <w:right w:type="dxa" w:w="130"/>
            </w:tcMar>
          </w:tcPr>
          <w:p>
            <w:r>
              <w:rPr>
                <w:sz w:val="19"/>
                <w:szCs w:val="19"/>
              </w:rPr>
              <w:t xml:space="preserve">Log volume against 60-day baseline</w:t>
            </w:r>
          </w:p>
        </w:tc>
        <w:tc>
          <w:tcPr>
            <w:tcW w:type="dxa" w:w="5000"/>
            <w:shd w:fill="FFFFFF" w:val="clear"/>
            <w:tcMar>
              <w:top w:type="dxa" w:w="80"/>
              <w:left w:type="dxa" w:w="130"/>
              <w:bottom w:type="dxa" w:w="80"/>
              <w:right w:type="dxa" w:w="130"/>
            </w:tcMar>
          </w:tcPr>
          <w:p>
            <w:r>
              <w:rPr>
                <w:sz w:val="19"/>
                <w:szCs w:val="19"/>
              </w:rPr>
              <w:t xml:space="preserve">Volume picks up as positioning changes, often before price resolves</w:t>
            </w:r>
          </w:p>
        </w:tc>
      </w:tr>
      <w:tr>
        <w:tc>
          <w:tcPr>
            <w:tcW w:type="dxa" w:w="1700"/>
            <w:shd w:fill="F5F8FB" w:val="clear"/>
            <w:tcMar>
              <w:top w:type="dxa" w:w="80"/>
              <w:left w:type="dxa" w:w="130"/>
              <w:bottom w:type="dxa" w:w="80"/>
              <w:right w:type="dxa" w:w="130"/>
            </w:tcMar>
          </w:tcPr>
          <w:p>
            <w:r>
              <w:rPr>
                <w:sz w:val="19"/>
                <w:szCs w:val="19"/>
              </w:rPr>
              <w:t xml:space="preserve">range_expansion</w:t>
            </w:r>
          </w:p>
        </w:tc>
        <w:tc>
          <w:tcPr>
            <w:tcW w:type="dxa" w:w="2300"/>
            <w:shd w:fill="F5F8FB" w:val="clear"/>
            <w:tcMar>
              <w:top w:type="dxa" w:w="80"/>
              <w:left w:type="dxa" w:w="130"/>
              <w:bottom w:type="dxa" w:w="80"/>
              <w:right w:type="dxa" w:w="130"/>
            </w:tcMar>
          </w:tcPr>
          <w:p>
            <w:r>
              <w:rPr>
                <w:sz w:val="19"/>
                <w:szCs w:val="19"/>
              </w:rPr>
              <w:t xml:space="preserve">Intraday range against baseline</w:t>
            </w:r>
          </w:p>
        </w:tc>
        <w:tc>
          <w:tcPr>
            <w:tcW w:type="dxa" w:w="5000"/>
            <w:shd w:fill="F5F8FB" w:val="clear"/>
            <w:tcMar>
              <w:top w:type="dxa" w:w="80"/>
              <w:left w:type="dxa" w:w="130"/>
              <w:bottom w:type="dxa" w:w="80"/>
              <w:right w:type="dxa" w:w="130"/>
            </w:tcMar>
          </w:tcPr>
          <w:p>
            <w:r>
              <w:rPr>
                <w:sz w:val="19"/>
                <w:szCs w:val="19"/>
              </w:rPr>
              <w:t xml:space="preserve">Widening daily ranges signal disagreement about price</w:t>
            </w:r>
          </w:p>
        </w:tc>
      </w:tr>
      <w:tr>
        <w:tc>
          <w:tcPr>
            <w:tcW w:type="dxa" w:w="1700"/>
            <w:shd w:fill="FFFFFF" w:val="clear"/>
            <w:tcMar>
              <w:top w:type="dxa" w:w="80"/>
              <w:left w:type="dxa" w:w="130"/>
              <w:bottom w:type="dxa" w:w="80"/>
              <w:right w:type="dxa" w:w="130"/>
            </w:tcMar>
          </w:tcPr>
          <w:p>
            <w:r>
              <w:rPr>
                <w:sz w:val="19"/>
                <w:szCs w:val="19"/>
              </w:rPr>
              <w:t xml:space="preserve">gap_freq</w:t>
            </w:r>
          </w:p>
        </w:tc>
        <w:tc>
          <w:tcPr>
            <w:tcW w:type="dxa" w:w="2300"/>
            <w:shd w:fill="FFFFFF" w:val="clear"/>
            <w:tcMar>
              <w:top w:type="dxa" w:w="80"/>
              <w:left w:type="dxa" w:w="130"/>
              <w:bottom w:type="dxa" w:w="80"/>
              <w:right w:type="dxa" w:w="130"/>
            </w:tcMar>
          </w:tcPr>
          <w:p>
            <w:r>
              <w:rPr>
                <w:sz w:val="19"/>
                <w:szCs w:val="19"/>
              </w:rPr>
              <w:t xml:space="preserve">Frequency of overnight gaps</w:t>
            </w:r>
          </w:p>
        </w:tc>
        <w:tc>
          <w:tcPr>
            <w:tcW w:type="dxa" w:w="5000"/>
            <w:shd w:fill="FFFFFF" w:val="clear"/>
            <w:tcMar>
              <w:top w:type="dxa" w:w="80"/>
              <w:left w:type="dxa" w:w="130"/>
              <w:bottom w:type="dxa" w:w="80"/>
              <w:right w:type="dxa" w:w="130"/>
            </w:tcMar>
          </w:tcPr>
          <w:p>
            <w:r>
              <w:rPr>
                <w:sz w:val="19"/>
                <w:szCs w:val="19"/>
              </w:rPr>
              <w:t xml:space="preserve">Gaps are information arriving while the market is shut — a rising rate means the story is being written outside trading hours</w:t>
            </w:r>
          </w:p>
        </w:tc>
      </w:tr>
      <w:tr>
        <w:tc>
          <w:tcPr>
            <w:tcW w:type="dxa" w:w="1700"/>
            <w:shd w:fill="F5F8FB" w:val="clear"/>
            <w:tcMar>
              <w:top w:type="dxa" w:w="80"/>
              <w:left w:type="dxa" w:w="130"/>
              <w:bottom w:type="dxa" w:w="80"/>
              <w:right w:type="dxa" w:w="130"/>
            </w:tcMar>
          </w:tcPr>
          <w:p>
            <w:r>
              <w:rPr>
                <w:sz w:val="19"/>
                <w:szCs w:val="19"/>
              </w:rPr>
              <w:t xml:space="preserve">illiquidity</w:t>
            </w:r>
          </w:p>
        </w:tc>
        <w:tc>
          <w:tcPr>
            <w:tcW w:type="dxa" w:w="2300"/>
            <w:shd w:fill="F5F8FB" w:val="clear"/>
            <w:tcMar>
              <w:top w:type="dxa" w:w="80"/>
              <w:left w:type="dxa" w:w="130"/>
              <w:bottom w:type="dxa" w:w="80"/>
              <w:right w:type="dxa" w:w="130"/>
            </w:tcMar>
          </w:tcPr>
          <w:p>
            <w:r>
              <w:rPr>
                <w:sz w:val="19"/>
                <w:szCs w:val="19"/>
              </w:rPr>
              <w:t xml:space="preserve">Amihud: return per rupee traded</w:t>
            </w:r>
          </w:p>
        </w:tc>
        <w:tc>
          <w:tcPr>
            <w:tcW w:type="dxa" w:w="5000"/>
            <w:shd w:fill="F5F8FB" w:val="clear"/>
            <w:tcMar>
              <w:top w:type="dxa" w:w="80"/>
              <w:left w:type="dxa" w:w="130"/>
              <w:bottom w:type="dxa" w:w="80"/>
              <w:right w:type="dxa" w:w="130"/>
            </w:tcMar>
          </w:tcPr>
          <w:p>
            <w:r>
              <w:rPr>
                <w:sz w:val="19"/>
                <w:szCs w:val="19"/>
              </w:rPr>
              <w:t xml:space="preserve">Liquidity thins before it disappears; market makers widen before they withdraw</w:t>
            </w:r>
          </w:p>
        </w:tc>
      </w:tr>
      <w:tr>
        <w:tc>
          <w:tcPr>
            <w:tcW w:type="dxa" w:w="1700"/>
            <w:shd w:fill="FFFFFF" w:val="clear"/>
            <w:tcMar>
              <w:top w:type="dxa" w:w="80"/>
              <w:left w:type="dxa" w:w="130"/>
              <w:bottom w:type="dxa" w:w="80"/>
              <w:right w:type="dxa" w:w="130"/>
            </w:tcMar>
          </w:tcPr>
          <w:p>
            <w:r>
              <w:rPr>
                <w:sz w:val="19"/>
                <w:szCs w:val="19"/>
              </w:rPr>
              <w:t xml:space="preserve">dd_from_high</w:t>
            </w:r>
          </w:p>
        </w:tc>
        <w:tc>
          <w:tcPr>
            <w:tcW w:type="dxa" w:w="2300"/>
            <w:shd w:fill="FFFFFF" w:val="clear"/>
            <w:tcMar>
              <w:top w:type="dxa" w:w="80"/>
              <w:left w:type="dxa" w:w="130"/>
              <w:bottom w:type="dxa" w:w="80"/>
              <w:right w:type="dxa" w:w="130"/>
            </w:tcMar>
          </w:tcPr>
          <w:p>
            <w:r>
              <w:rPr>
                <w:sz w:val="19"/>
                <w:szCs w:val="19"/>
              </w:rPr>
              <w:t xml:space="preserve">Drawdown from 60-day high</w:t>
            </w:r>
          </w:p>
        </w:tc>
        <w:tc>
          <w:tcPr>
            <w:tcW w:type="dxa" w:w="5000"/>
            <w:shd w:fill="FFFFFF" w:val="clear"/>
            <w:tcMar>
              <w:top w:type="dxa" w:w="80"/>
              <w:left w:type="dxa" w:w="130"/>
              <w:bottom w:type="dxa" w:w="80"/>
              <w:right w:type="dxa" w:w="130"/>
            </w:tcMar>
          </w:tcPr>
          <w:p>
            <w:r>
              <w:rPr>
                <w:sz w:val="19"/>
                <w:szCs w:val="19"/>
              </w:rPr>
              <w:t xml:space="preserve">Context, not stress: the same volatility spike means something different at a high than 15% below it</w:t>
            </w:r>
          </w:p>
        </w:tc>
      </w:tr>
      <w:tr>
        <w:tc>
          <w:tcPr>
            <w:tcW w:type="dxa" w:w="1700"/>
            <w:shd w:fill="F5F8FB" w:val="clear"/>
            <w:tcMar>
              <w:top w:type="dxa" w:w="80"/>
              <w:left w:type="dxa" w:w="130"/>
              <w:bottom w:type="dxa" w:w="80"/>
              <w:right w:type="dxa" w:w="130"/>
            </w:tcMar>
          </w:tcPr>
          <w:p>
            <w:r>
              <w:rPr>
                <w:sz w:val="19"/>
                <w:szCs w:val="19"/>
              </w:rPr>
              <w:t xml:space="preserve">slope_z, accel_z</w:t>
            </w:r>
          </w:p>
        </w:tc>
        <w:tc>
          <w:tcPr>
            <w:tcW w:type="dxa" w:w="2300"/>
            <w:shd w:fill="F5F8FB" w:val="clear"/>
            <w:tcMar>
              <w:top w:type="dxa" w:w="80"/>
              <w:left w:type="dxa" w:w="130"/>
              <w:bottom w:type="dxa" w:w="80"/>
              <w:right w:type="dxa" w:w="130"/>
            </w:tcMar>
          </w:tcPr>
          <w:p>
            <w:r>
              <w:rPr>
                <w:sz w:val="19"/>
                <w:szCs w:val="19"/>
              </w:rPr>
              <w:t xml:space="preserve">Trend shape</w:t>
            </w:r>
          </w:p>
        </w:tc>
        <w:tc>
          <w:tcPr>
            <w:tcW w:type="dxa" w:w="5000"/>
            <w:shd w:fill="F5F8FB" w:val="clear"/>
            <w:tcMar>
              <w:top w:type="dxa" w:w="80"/>
              <w:left w:type="dxa" w:w="130"/>
              <w:bottom w:type="dxa" w:w="80"/>
              <w:right w:type="dxa" w:w="130"/>
            </w:tcMar>
          </w:tcPr>
          <w:p>
            <w:r>
              <w:rPr>
                <w:sz w:val="19"/>
                <w:szCs w:val="19"/>
              </w:rPr>
              <w:t xml:space="preserve">See section 2</w:t>
            </w:r>
          </w:p>
        </w:tc>
      </w:tr>
    </w:tbl>
    <w:p>
      <w:pPr>
        <w:pStyle w:val="Heading2"/>
        <w:spacing w:after="120" w:before="300"/>
      </w:pPr>
      <w:r>
        <w:t xml:space="preserve">3.1 A design choice a test forced</w:t>
      </w:r>
    </w:p>
    <w:p>
      <w:pPr>
        <w:spacing w:after="130" w:line="300"/>
      </w:pPr>
      <w:r>
        <w:t xml:space="preserve">Downside asymmetry was originally written as the obvious ratio: downside deviation divided by upside deviation. A test hit a twenty-day window containing no up days at all — maximum bearish asymmetry — and the feature returned nothing, because it had divided by zero.</w:t>
      </w:r>
    </w:p>
    <w:p>
      <w:pPr>
        <w:spacing w:after="130" w:line="300"/>
      </w:pPr>
      <w:r>
        <w:t xml:space="preserve">The formulation was undefined exactly where the signal was strongest. It was replaced by a bounded index:</w:t>
      </w:r>
    </w:p>
    <w:p>
      <w:pPr>
        <w:shd w:fill="F2F2F2" w:val="clear"/>
        <w:spacing w:after="0" w:before="70"/>
        <w:ind w:left="240"/>
      </w:pPr>
      <w:r>
        <w:rPr>
          <w:rFonts w:ascii="Consolas" w:cs="Consolas" w:eastAsia="Consolas" w:hAnsi="Consolas"/>
          <w:sz w:val="18"/>
          <w:szCs w:val="18"/>
        </w:rPr>
        <w:t xml:space="preserve">semidev_asym = (downside - upside) / (downside + upside)</w:t>
      </w:r>
    </w:p>
    <w:p>
      <w:pPr>
        <w:shd w:fill="F2F2F2" w:val="clear"/>
        <w:spacing w:after="0" w:before="0"/>
        <w:ind w:left="240"/>
      </w:pPr>
      <w:r>
        <w:rPr>
          <w:rFonts w:ascii="Consolas" w:cs="Consolas" w:eastAsia="Consolas" w:hAnsi="Consolas"/>
          <w:sz w:val="18"/>
          <w:szCs w:val="18"/>
        </w:rPr>
        <w:t xml:space="preserve"> </w:t>
      </w:r>
    </w:p>
    <w:p>
      <w:pPr>
        <w:shd w:fill="F2F2F2" w:val="clear"/>
        <w:spacing w:after="170" w:before="0"/>
        <w:ind w:left="240"/>
      </w:pPr>
      <w:r>
        <w:rPr>
          <w:rFonts w:ascii="Consolas" w:cs="Consolas" w:eastAsia="Consolas" w:hAnsi="Consolas"/>
          <w:sz w:val="18"/>
          <w:szCs w:val="18"/>
        </w:rPr>
        <w:t xml:space="preserve">   -1 = all upside      0 = symmetric      +1 = all downside</w:t>
      </w:r>
    </w:p>
    <w:p>
      <w:pPr>
        <w:spacing w:after="130" w:line="300"/>
      </w:pPr>
      <w:r>
        <w:t xml:space="preserve">Two benefits. It is always defined. And it is bounded, which matters for this model specifically: Isolation Forest splits at random points within a feature's observed range, so a single extreme outlier stretches that range and wastes most candidate splits on empty space.</w:t>
      </w:r>
    </w:p>
    <w:p>
      <w:pPr>
        <w:pStyle w:val="Heading2"/>
        <w:spacing w:after="120" w:before="300"/>
      </w:pPr>
      <w:r>
        <w:t xml:space="preserve">3.2 Warmup is missing, not averaged</w:t>
      </w:r>
    </w:p>
    <w:p>
      <w:pPr>
        <w:spacing w:after="130" w:line="300"/>
      </w:pPr>
      <w:r>
        <w:t xml:space="preserve">Bars without a complete window return nothing rather than a neutral default. A fabricated average during warmup is indistinguishable downstream from a genuine reading, and Isolation Forest would see a cluster of identical fabricated values as a dense, extremely normal region — precisely the wrong lesson.</w:t>
      </w:r>
    </w:p>
    <w:p>
      <w:r>
        <w:br w:type="page"/>
      </w:r>
    </w:p>
    <w:p>
      <w:pPr>
        <w:pStyle w:val="Heading1"/>
        <w:spacing w:after="160" w:before="360"/>
      </w:pPr>
      <w:r>
        <w:t xml:space="preserve">4. Layer 3 — cross-sectional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4E79" w:val="clear"/>
            <w:tcMar>
              <w:top w:type="dxa" w:w="90"/>
              <w:left w:type="dxa" w:w="130"/>
              <w:bottom w:type="dxa" w:w="90"/>
              <w:right w:type="dxa" w:w="130"/>
            </w:tcMar>
          </w:tcPr>
          <w:p>
            <w:r>
              <w:rPr>
                <w:b/>
                <w:bCs/>
                <w:color w:val="FFFFFF"/>
                <w:sz w:val="19"/>
                <w:szCs w:val="19"/>
              </w:rPr>
              <w:t xml:space="preserve">Feature</w:t>
            </w:r>
          </w:p>
        </w:tc>
        <w:tc>
          <w:tcPr>
            <w:tcW w:type="dxa" w:w="6500"/>
            <w:shd w:fill="1F4E79" w:val="clear"/>
            <w:tcMar>
              <w:top w:type="dxa" w:w="90"/>
              <w:left w:type="dxa" w:w="130"/>
              <w:bottom w:type="dxa" w:w="90"/>
              <w:right w:type="dxa" w:w="130"/>
            </w:tcMar>
          </w:tcPr>
          <w:p>
            <w:r>
              <w:rPr>
                <w:b/>
                <w:bCs/>
                <w:color w:val="FFFFFF"/>
                <w:sz w:val="19"/>
                <w:szCs w:val="19"/>
              </w:rPr>
              <w:t xml:space="preserve">Measures</w:t>
            </w:r>
          </w:p>
        </w:tc>
      </w:tr>
      <w:tr>
        <w:tc>
          <w:tcPr>
            <w:tcW w:type="dxa" w:w="2500"/>
            <w:shd w:fill="F5F8FB" w:val="clear"/>
            <w:tcMar>
              <w:top w:type="dxa" w:w="80"/>
              <w:left w:type="dxa" w:w="130"/>
              <w:bottom w:type="dxa" w:w="80"/>
              <w:right w:type="dxa" w:w="130"/>
            </w:tcMar>
          </w:tcPr>
          <w:p>
            <w:r>
              <w:rPr>
                <w:sz w:val="19"/>
                <w:szCs w:val="19"/>
              </w:rPr>
              <w:t xml:space="preserve">breadth_decline</w:t>
            </w:r>
          </w:p>
        </w:tc>
        <w:tc>
          <w:tcPr>
            <w:tcW w:type="dxa" w:w="6500"/>
            <w:shd w:fill="F5F8FB" w:val="clear"/>
            <w:tcMar>
              <w:top w:type="dxa" w:w="80"/>
              <w:left w:type="dxa" w:w="130"/>
              <w:bottom w:type="dxa" w:w="80"/>
              <w:right w:type="dxa" w:w="130"/>
            </w:tcMar>
          </w:tcPr>
          <w:p>
            <w:r>
              <w:rPr>
                <w:sz w:val="19"/>
                <w:szCs w:val="19"/>
              </w:rPr>
              <w:t xml:space="preserve">Percent of the live universe in AcceleratingDecline</w:t>
            </w:r>
          </w:p>
        </w:tc>
      </w:tr>
      <w:tr>
        <w:tc>
          <w:tcPr>
            <w:tcW w:type="dxa" w:w="2500"/>
            <w:shd w:fill="FFFFFF" w:val="clear"/>
            <w:tcMar>
              <w:top w:type="dxa" w:w="80"/>
              <w:left w:type="dxa" w:w="130"/>
              <w:bottom w:type="dxa" w:w="80"/>
              <w:right w:type="dxa" w:w="130"/>
            </w:tcMar>
          </w:tcPr>
          <w:p>
            <w:r>
              <w:rPr>
                <w:sz w:val="19"/>
                <w:szCs w:val="19"/>
              </w:rPr>
              <w:t xml:space="preserve">breadth_advance</w:t>
            </w:r>
          </w:p>
        </w:tc>
        <w:tc>
          <w:tcPr>
            <w:tcW w:type="dxa" w:w="6500"/>
            <w:shd w:fill="FFFFFF" w:val="clear"/>
            <w:tcMar>
              <w:top w:type="dxa" w:w="80"/>
              <w:left w:type="dxa" w:w="130"/>
              <w:bottom w:type="dxa" w:w="80"/>
              <w:right w:type="dxa" w:w="130"/>
            </w:tcMar>
          </w:tcPr>
          <w:p>
            <w:r>
              <w:rPr>
                <w:sz w:val="19"/>
                <w:szCs w:val="19"/>
              </w:rPr>
              <w:t xml:space="preserve">Percent in AcceleratingAdvance</w:t>
            </w:r>
          </w:p>
        </w:tc>
      </w:tr>
      <w:tr>
        <w:tc>
          <w:tcPr>
            <w:tcW w:type="dxa" w:w="2500"/>
            <w:shd w:fill="F5F8FB" w:val="clear"/>
            <w:tcMar>
              <w:top w:type="dxa" w:w="80"/>
              <w:left w:type="dxa" w:w="130"/>
              <w:bottom w:type="dxa" w:w="80"/>
              <w:right w:type="dxa" w:w="130"/>
            </w:tcMar>
          </w:tcPr>
          <w:p>
            <w:r>
              <w:rPr>
                <w:sz w:val="19"/>
                <w:szCs w:val="19"/>
              </w:rPr>
              <w:t xml:space="preserve">median_slope_z</w:t>
            </w:r>
          </w:p>
        </w:tc>
        <w:tc>
          <w:tcPr>
            <w:tcW w:type="dxa" w:w="6500"/>
            <w:shd w:fill="F5F8FB" w:val="clear"/>
            <w:tcMar>
              <w:top w:type="dxa" w:w="80"/>
              <w:left w:type="dxa" w:w="130"/>
              <w:bottom w:type="dxa" w:w="80"/>
              <w:right w:type="dxa" w:w="130"/>
            </w:tcMar>
          </w:tcPr>
          <w:p>
            <w:r>
              <w:rPr>
                <w:sz w:val="19"/>
                <w:szCs w:val="19"/>
              </w:rPr>
              <w:t xml:space="preserve">How hard the typical stock is moving</w:t>
            </w:r>
          </w:p>
        </w:tc>
      </w:tr>
      <w:tr>
        <w:tc>
          <w:tcPr>
            <w:tcW w:type="dxa" w:w="2500"/>
            <w:shd w:fill="FFFFFF" w:val="clear"/>
            <w:tcMar>
              <w:top w:type="dxa" w:w="80"/>
              <w:left w:type="dxa" w:w="130"/>
              <w:bottom w:type="dxa" w:w="80"/>
              <w:right w:type="dxa" w:w="130"/>
            </w:tcMar>
          </w:tcPr>
          <w:p>
            <w:r>
              <w:rPr>
                <w:sz w:val="19"/>
                <w:szCs w:val="19"/>
              </w:rPr>
              <w:t xml:space="preserve">dispersion</w:t>
            </w:r>
          </w:p>
        </w:tc>
        <w:tc>
          <w:tcPr>
            <w:tcW w:type="dxa" w:w="6500"/>
            <w:shd w:fill="FFFFFF" w:val="clear"/>
            <w:tcMar>
              <w:top w:type="dxa" w:w="80"/>
              <w:left w:type="dxa" w:w="130"/>
              <w:bottom w:type="dxa" w:w="80"/>
              <w:right w:type="dxa" w:w="130"/>
            </w:tcMar>
          </w:tcPr>
          <w:p>
            <w:r>
              <w:rPr>
                <w:sz w:val="19"/>
                <w:szCs w:val="19"/>
              </w:rPr>
              <w:t xml:space="preserve">Cross-sectional spread of daily returns</w:t>
            </w:r>
          </w:p>
        </w:tc>
      </w:tr>
      <w:tr>
        <w:tc>
          <w:tcPr>
            <w:tcW w:type="dxa" w:w="2500"/>
            <w:shd w:fill="F5F8FB" w:val="clear"/>
            <w:tcMar>
              <w:top w:type="dxa" w:w="80"/>
              <w:left w:type="dxa" w:w="130"/>
              <w:bottom w:type="dxa" w:w="80"/>
              <w:right w:type="dxa" w:w="130"/>
            </w:tcMar>
          </w:tcPr>
          <w:p>
            <w:r>
              <w:rPr>
                <w:sz w:val="19"/>
                <w:szCs w:val="19"/>
              </w:rPr>
              <w:t xml:space="preserve">avg_corr</w:t>
            </w:r>
          </w:p>
        </w:tc>
        <w:tc>
          <w:tcPr>
            <w:tcW w:type="dxa" w:w="6500"/>
            <w:shd w:fill="F5F8FB" w:val="clear"/>
            <w:tcMar>
              <w:top w:type="dxa" w:w="80"/>
              <w:left w:type="dxa" w:w="130"/>
              <w:bottom w:type="dxa" w:w="80"/>
              <w:right w:type="dxa" w:w="130"/>
            </w:tcMar>
          </w:tcPr>
          <w:p>
            <w:r>
              <w:rPr>
                <w:sz w:val="19"/>
                <w:szCs w:val="19"/>
              </w:rPr>
              <w:t xml:space="preserve">Average pairwise correlation across the universe</w:t>
            </w:r>
          </w:p>
        </w:tc>
      </w:tr>
      <w:tr>
        <w:tc>
          <w:tcPr>
            <w:tcW w:type="dxa" w:w="2500"/>
            <w:shd w:fill="FFFFFF" w:val="clear"/>
            <w:tcMar>
              <w:top w:type="dxa" w:w="80"/>
              <w:left w:type="dxa" w:w="130"/>
              <w:bottom w:type="dxa" w:w="80"/>
              <w:right w:type="dxa" w:w="130"/>
            </w:tcMar>
          </w:tcPr>
          <w:p>
            <w:r>
              <w:rPr>
                <w:sz w:val="19"/>
                <w:szCs w:val="19"/>
              </w:rPr>
              <w:t xml:space="preserve">pct_below_ma50</w:t>
            </w:r>
          </w:p>
        </w:tc>
        <w:tc>
          <w:tcPr>
            <w:tcW w:type="dxa" w:w="6500"/>
            <w:shd w:fill="FFFFFF" w:val="clear"/>
            <w:tcMar>
              <w:top w:type="dxa" w:w="80"/>
              <w:left w:type="dxa" w:w="130"/>
              <w:bottom w:type="dxa" w:w="80"/>
              <w:right w:type="dxa" w:w="130"/>
            </w:tcMar>
          </w:tcPr>
          <w:p>
            <w:r>
              <w:rPr>
                <w:sz w:val="19"/>
                <w:szCs w:val="19"/>
              </w:rPr>
              <w:t xml:space="preserve">Participation — percent below the 50-day average</w:t>
            </w:r>
          </w:p>
        </w:tc>
      </w:tr>
      <w:tr>
        <w:tc>
          <w:tcPr>
            <w:tcW w:type="dxa" w:w="2500"/>
            <w:shd w:fill="F5F8FB" w:val="clear"/>
            <w:tcMar>
              <w:top w:type="dxa" w:w="80"/>
              <w:left w:type="dxa" w:w="130"/>
              <w:bottom w:type="dxa" w:w="80"/>
              <w:right w:type="dxa" w:w="130"/>
            </w:tcMar>
          </w:tcPr>
          <w:p>
            <w:r>
              <w:rPr>
                <w:sz w:val="19"/>
                <w:szCs w:val="19"/>
              </w:rPr>
              <w:t xml:space="preserve">n_live</w:t>
            </w:r>
          </w:p>
        </w:tc>
        <w:tc>
          <w:tcPr>
            <w:tcW w:type="dxa" w:w="6500"/>
            <w:shd w:fill="F5F8FB" w:val="clear"/>
            <w:tcMar>
              <w:top w:type="dxa" w:w="80"/>
              <w:left w:type="dxa" w:w="130"/>
              <w:bottom w:type="dxa" w:w="80"/>
              <w:right w:type="dxa" w:w="130"/>
            </w:tcMar>
          </w:tcPr>
          <w:p>
            <w:r>
              <w:rPr>
                <w:sz w:val="19"/>
                <w:szCs w:val="19"/>
              </w:rPr>
              <w:t xml:space="preserve">Universe size that day</w:t>
            </w:r>
          </w:p>
        </w:tc>
      </w:tr>
    </w:tbl>
    <w:p>
      <w:pPr>
        <w:pStyle w:val="Heading2"/>
        <w:spacing w:after="120" w:before="300"/>
      </w:pPr>
      <w:r>
        <w:t xml:space="preserve">4.1 Why correlation is the interesting one</w:t>
      </w:r>
    </w:p>
    <w:p>
      <w:pPr>
        <w:spacing w:after="130" w:line="300"/>
      </w:pPr>
      <w:r>
        <w:t xml:space="preserve">In calm markets, stocks move on their own news, so average pairwise correlation is low. As stress builds, everything begins moving together — investors sell what they can rather than what they want to, and individual stories stop mattering. Correlation therefore rises before the index breaks, which makes it one of the few genuinely leading cross-sectional measures. Dispersion is the same signal read from the other side: as correlation climbs, the spread of returns across the universe collapses.</w:t>
      </w:r>
    </w:p>
    <w:p>
      <w:pPr>
        <w:pStyle w:val="Heading2"/>
        <w:spacing w:after="120" w:before="300"/>
      </w:pPr>
      <w:r>
        <w:t xml:space="preserve">4.2 An O(N) shortcut for an O(N-squared) problem</w:t>
      </w:r>
    </w:p>
    <w:p>
      <w:pPr>
        <w:spacing w:after="130" w:line="300"/>
      </w:pPr>
      <w:r>
        <w:t xml:space="preserve">The direct route builds a correlation matrix each day and averages its off-diagonal: roughly 4,500 pairs across 5,820 days, repeated four times over in the Phase 7 retraining comparison.</w:t>
      </w:r>
    </w:p>
    <w:p>
      <w:pPr>
        <w:spacing w:after="130" w:line="300"/>
      </w:pPr>
      <w:r>
        <w:t xml:space="preserve">There is an exact shortcut. For an equal-weighted portfolio, the variance of the whole is the sum of individual variances plus all the cross-covariances. If every pairwise correlation is taken to be the same value, the cross terms collapse into a closed form that rearranges to give that correlation directly. Every term is a rolling mean, variance or sum.</w:t>
      </w:r>
    </w:p>
    <w:p>
      <w:pPr>
        <w:shd w:fill="F2F2F2" w:val="clear"/>
        <w:spacing w:after="0" w:before="70"/>
        <w:ind w:left="240"/>
      </w:pPr>
      <w:r>
        <w:rPr>
          <w:rFonts w:ascii="Consolas" w:cs="Consolas" w:eastAsia="Consolas" w:hAnsi="Consolas"/>
          <w:sz w:val="18"/>
          <w:szCs w:val="18"/>
        </w:rPr>
        <w:t xml:space="preserve">rho = ( N^2 * Var_portfolio  -  sum(sigma_i^2) )</w:t>
      </w:r>
    </w:p>
    <w:p>
      <w:pPr>
        <w:shd w:fill="F2F2F2" w:val="clear"/>
        <w:spacing w:after="0" w:before="0"/>
        <w:ind w:left="240"/>
      </w:pPr>
      <w:r>
        <w:rPr>
          <w:rFonts w:ascii="Consolas" w:cs="Consolas" w:eastAsia="Consolas" w:hAnsi="Consolas"/>
          <w:sz w:val="18"/>
          <w:szCs w:val="18"/>
        </w:rPr>
        <w:t xml:space="preserve">      -----------------------------------------------</w:t>
      </w:r>
    </w:p>
    <w:p>
      <w:pPr>
        <w:shd w:fill="F2F2F2" w:val="clear"/>
        <w:spacing w:after="170" w:before="0"/>
        <w:ind w:left="240"/>
      </w:pPr>
      <w:r>
        <w:rPr>
          <w:rFonts w:ascii="Consolas" w:cs="Consolas" w:eastAsia="Consolas" w:hAnsi="Consolas"/>
          <w:sz w:val="18"/>
          <w:szCs w:val="18"/>
        </w:rPr>
        <w:t xml:space="preserve">      (  (sum sigma_i)^2     -  sum(sigma_i^2) )</w:t>
      </w:r>
    </w:p>
    <w:tbl>
      <w:tblPr>
        <w:tblW w:type="dxa" w:w="9000"/>
        <w:tblBorders>
          <w:top w:val="single" w:color="1E7B34" w:sz="2"/>
          <w:left w:val="single" w:color="1E7B34" w:sz="20"/>
          <w:bottom w:val="single" w:color="1E7B34" w:sz="2"/>
          <w:right w:val="single" w:color="1E7B34" w:sz="2"/>
          <w:insideH w:val="none"/>
          <w:insideV w:val="none"/>
        </w:tblBorders>
      </w:tblPr>
      <w:tblGrid>
        <w:gridCol w:w="9000"/>
      </w:tblGrid>
      <w:tr>
        <w:tc>
          <w:tcPr>
            <w:tcW w:type="dxa" w:w="9000"/>
            <w:shd w:fill="F5FBF6" w:val="clear"/>
            <w:tcMar>
              <w:top w:type="dxa" w:w="150"/>
              <w:left w:type="dxa" w:w="220"/>
              <w:bottom w:type="dxa" w:w="150"/>
              <w:right w:type="dxa" w:w="200"/>
            </w:tcMar>
          </w:tcPr>
          <w:p>
            <w:pPr>
              <w:spacing w:after="70"/>
            </w:pPr>
            <w:r>
              <w:rPr>
                <w:b/>
                <w:bCs/>
                <w:color w:val="1E7B34"/>
              </w:rPr>
              <w:t xml:space="preserve">Validated, not assumed</w:t>
            </w:r>
          </w:p>
          <w:p>
            <w:pPr>
              <w:spacing w:after="70" w:line="300"/>
            </w:pPr>
            <w:r>
              <w:t xml:space="preserve">Against the direct O(N-squared) computation on the real panel: correlation of 0.9937, mean absolute deviation 0.011, maximum deviation 0.046, and 28 times faster.</w:t>
            </w:r>
          </w:p>
          <w:p>
            <w:pPr>
              <w:spacing w:after="0" w:line="300"/>
            </w:pPr>
            <w:r>
              <w:t xml:space="preserve">The slow reference implementation ships alongside the fast one and is used only in tests, so the claim can be re-checked at any time rather than trusted.</w:t>
            </w:r>
          </w:p>
        </w:tc>
      </w:tr>
    </w:tbl>
    <w:p>
      <w:pPr>
        <w:pStyle w:val="Heading2"/>
        <w:spacing w:after="120" w:before="300"/>
      </w:pPr>
      <w:r>
        <w:t xml:space="preserve">4.3 The live-universe rule</w:t>
      </w:r>
    </w:p>
    <w:p>
      <w:pPr>
        <w:spacing w:after="130" w:line="300"/>
      </w:pPr>
      <w:r>
        <w:t xml:space="preserve">Every cross-sectional measure is computed only over symbols that actually existed and traded that day, using the listing mask from Phase 1. Otherwise “40% of stocks are falling” silently becomes “40% of stocks are falling, out of a denominator including companies that had not yet listed”, which is a different and meaningless quantity.</w:t>
      </w:r>
    </w:p>
    <w:p>
      <w:r>
        <w:br w:type="page"/>
      </w:r>
    </w:p>
    <w:p>
      <w:pPr>
        <w:pStyle w:val="Heading1"/>
        <w:spacing w:after="160" w:before="360"/>
      </w:pPr>
      <w:r>
        <w:t xml:space="preserve">5. Findings</w:t>
      </w:r>
    </w:p>
    <w:p>
      <w:pPr>
        <w:pStyle w:val="Heading2"/>
        <w:spacing w:after="120" w:before="300"/>
      </w:pPr>
      <w:r>
        <w:t xml:space="preserve">5.1 The market-wide trigger, calibrated rather than guessed</w:t>
      </w:r>
    </w:p>
    <w:p>
      <w:pPr>
        <w:spacing w:after="130" w:line="300"/>
      </w:pPr>
      <w:r>
        <w:t xml:space="preserve">With no tuning whatsoever, the fraction of the universe in AcceleratingDecline isolates genuine market events: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600"/>
      </w:tblGrid>
      <w:tr>
        <w:trPr>
          <w:tblHeader/>
        </w:trPr>
        <w:tc>
          <w:tcPr>
            <w:tcW w:type="dxa" w:w="1800"/>
            <w:shd w:fill="1F4E79" w:val="clear"/>
            <w:tcMar>
              <w:top w:type="dxa" w:w="90"/>
              <w:left w:type="dxa" w:w="130"/>
              <w:bottom w:type="dxa" w:w="90"/>
              <w:right w:type="dxa" w:w="130"/>
            </w:tcMar>
          </w:tcPr>
          <w:p>
            <w:r>
              <w:rPr>
                <w:b/>
                <w:bCs/>
                <w:color w:val="FFFFFF"/>
                <w:sz w:val="19"/>
                <w:szCs w:val="19"/>
              </w:rPr>
              <w:t xml:space="preserve">Date</w:t>
            </w:r>
          </w:p>
        </w:tc>
        <w:tc>
          <w:tcPr>
            <w:tcW w:type="dxa" w:w="2400"/>
            <w:shd w:fill="1F4E79" w:val="clear"/>
            <w:tcMar>
              <w:top w:type="dxa" w:w="90"/>
              <w:left w:type="dxa" w:w="130"/>
              <w:bottom w:type="dxa" w:w="90"/>
              <w:right w:type="dxa" w:w="130"/>
            </w:tcMar>
          </w:tcPr>
          <w:p>
            <w:r>
              <w:rPr>
                <w:b/>
                <w:bCs/>
                <w:color w:val="FFFFFF"/>
                <w:sz w:val="19"/>
                <w:szCs w:val="19"/>
              </w:rPr>
              <w:t xml:space="preserve">Universe declining</w:t>
            </w:r>
          </w:p>
        </w:tc>
        <w:tc>
          <w:tcPr>
            <w:tcW w:type="dxa" w:w="2200"/>
            <w:shd w:fill="1F4E79" w:val="clear"/>
            <w:tcMar>
              <w:top w:type="dxa" w:w="90"/>
              <w:left w:type="dxa" w:w="130"/>
              <w:bottom w:type="dxa" w:w="90"/>
              <w:right w:type="dxa" w:w="130"/>
            </w:tcMar>
          </w:tcPr>
          <w:p>
            <w:r>
              <w:rPr>
                <w:b/>
                <w:bCs/>
                <w:color w:val="FFFFFF"/>
                <w:sz w:val="19"/>
                <w:szCs w:val="19"/>
              </w:rPr>
              <w:t xml:space="preserve">Median slope</w:t>
            </w:r>
          </w:p>
        </w:tc>
        <w:tc>
          <w:tcPr>
            <w:tcW w:type="dxa" w:w="2600"/>
            <w:shd w:fill="1F4E79" w:val="clear"/>
            <w:tcMar>
              <w:top w:type="dxa" w:w="90"/>
              <w:left w:type="dxa" w:w="130"/>
              <w:bottom w:type="dxa" w:w="90"/>
              <w:right w:type="dxa" w:w="130"/>
            </w:tcMar>
          </w:tcPr>
          <w:p>
            <w:r>
              <w:rPr>
                <w:b/>
                <w:bCs/>
                <w:color w:val="FFFFFF"/>
                <w:sz w:val="19"/>
                <w:szCs w:val="19"/>
              </w:rPr>
              <w:t xml:space="preserve">Event</w:t>
            </w:r>
          </w:p>
        </w:tc>
      </w:tr>
      <w:tr>
        <w:tc>
          <w:tcPr>
            <w:tcW w:type="dxa" w:w="1800"/>
            <w:shd w:fill="F5F8FB" w:val="clear"/>
            <w:tcMar>
              <w:top w:type="dxa" w:w="80"/>
              <w:left w:type="dxa" w:w="130"/>
              <w:bottom w:type="dxa" w:w="80"/>
              <w:right w:type="dxa" w:w="130"/>
            </w:tcMar>
          </w:tcPr>
          <w:p>
            <w:r>
              <w:rPr>
                <w:sz w:val="19"/>
                <w:szCs w:val="19"/>
              </w:rPr>
              <w:t xml:space="preserve">2020-03-12</w:t>
            </w:r>
          </w:p>
        </w:tc>
        <w:tc>
          <w:tcPr>
            <w:tcW w:type="dxa" w:w="2400"/>
            <w:shd w:fill="F5F8FB" w:val="clear"/>
            <w:tcMar>
              <w:top w:type="dxa" w:w="80"/>
              <w:left w:type="dxa" w:w="130"/>
              <w:bottom w:type="dxa" w:w="80"/>
              <w:right w:type="dxa" w:w="130"/>
            </w:tcMar>
          </w:tcPr>
          <w:p>
            <w:r>
              <w:rPr>
                <w:sz w:val="19"/>
                <w:szCs w:val="19"/>
              </w:rPr>
              <w:t xml:space="preserve">92.1%</w:t>
            </w:r>
          </w:p>
        </w:tc>
        <w:tc>
          <w:tcPr>
            <w:tcW w:type="dxa" w:w="2200"/>
            <w:shd w:fill="F5F8FB" w:val="clear"/>
            <w:tcMar>
              <w:top w:type="dxa" w:w="80"/>
              <w:left w:type="dxa" w:w="130"/>
              <w:bottom w:type="dxa" w:w="80"/>
              <w:right w:type="dxa" w:w="130"/>
            </w:tcMar>
          </w:tcPr>
          <w:p>
            <w:r>
              <w:rPr>
                <w:sz w:val="19"/>
                <w:szCs w:val="19"/>
              </w:rPr>
              <w:t xml:space="preserve">-2.11</w:t>
            </w:r>
          </w:p>
        </w:tc>
        <w:tc>
          <w:tcPr>
            <w:tcW w:type="dxa" w:w="2600"/>
            <w:shd w:fill="F5F8FB" w:val="clear"/>
            <w:tcMar>
              <w:top w:type="dxa" w:w="80"/>
              <w:left w:type="dxa" w:w="130"/>
              <w:bottom w:type="dxa" w:w="80"/>
              <w:right w:type="dxa" w:w="130"/>
            </w:tcMar>
          </w:tcPr>
          <w:p>
            <w:r>
              <w:rPr>
                <w:sz w:val="19"/>
                <w:szCs w:val="19"/>
              </w:rPr>
              <w:t xml:space="preserve">COVID crash</w:t>
            </w:r>
          </w:p>
        </w:tc>
      </w:tr>
      <w:tr>
        <w:tc>
          <w:tcPr>
            <w:tcW w:type="dxa" w:w="1800"/>
            <w:shd w:fill="FFFFFF" w:val="clear"/>
            <w:tcMar>
              <w:top w:type="dxa" w:w="80"/>
              <w:left w:type="dxa" w:w="130"/>
              <w:bottom w:type="dxa" w:w="80"/>
              <w:right w:type="dxa" w:w="130"/>
            </w:tcMar>
          </w:tcPr>
          <w:p>
            <w:r>
              <w:rPr>
                <w:sz w:val="19"/>
                <w:szCs w:val="19"/>
              </w:rPr>
              <w:t xml:space="preserve">2026-03-31</w:t>
            </w:r>
          </w:p>
        </w:tc>
        <w:tc>
          <w:tcPr>
            <w:tcW w:type="dxa" w:w="2400"/>
            <w:shd w:fill="FFFFFF" w:val="clear"/>
            <w:tcMar>
              <w:top w:type="dxa" w:w="80"/>
              <w:left w:type="dxa" w:w="130"/>
              <w:bottom w:type="dxa" w:w="80"/>
              <w:right w:type="dxa" w:w="130"/>
            </w:tcMar>
          </w:tcPr>
          <w:p>
            <w:r>
              <w:rPr>
                <w:sz w:val="19"/>
                <w:szCs w:val="19"/>
              </w:rPr>
              <w:t xml:space="preserve">90.5%</w:t>
            </w:r>
          </w:p>
        </w:tc>
        <w:tc>
          <w:tcPr>
            <w:tcW w:type="dxa" w:w="2200"/>
            <w:shd w:fill="FFFFFF" w:val="clear"/>
            <w:tcMar>
              <w:top w:type="dxa" w:w="80"/>
              <w:left w:type="dxa" w:w="130"/>
              <w:bottom w:type="dxa" w:w="80"/>
              <w:right w:type="dxa" w:w="130"/>
            </w:tcMar>
          </w:tcPr>
          <w:p>
            <w:r>
              <w:rPr>
                <w:sz w:val="19"/>
                <w:szCs w:val="19"/>
              </w:rPr>
              <w:t xml:space="preserve">-0.79</w:t>
            </w:r>
          </w:p>
        </w:tc>
        <w:tc>
          <w:tcPr>
            <w:tcW w:type="dxa" w:w="2600"/>
            <w:shd w:fill="FFFFFF" w:val="clear"/>
            <w:tcMar>
              <w:top w:type="dxa" w:w="80"/>
              <w:left w:type="dxa" w:w="130"/>
              <w:bottom w:type="dxa" w:w="80"/>
              <w:right w:type="dxa" w:w="130"/>
            </w:tcMar>
          </w:tcPr>
          <w:p>
            <w:r>
              <w:rPr>
                <w:sz w:val="19"/>
                <w:szCs w:val="19"/>
              </w:rPr>
              <w:t xml:space="preserve">—</w:t>
            </w:r>
          </w:p>
        </w:tc>
      </w:tr>
      <w:tr>
        <w:tc>
          <w:tcPr>
            <w:tcW w:type="dxa" w:w="1800"/>
            <w:shd w:fill="F5F8FB" w:val="clear"/>
            <w:tcMar>
              <w:top w:type="dxa" w:w="80"/>
              <w:left w:type="dxa" w:w="130"/>
              <w:bottom w:type="dxa" w:w="80"/>
              <w:right w:type="dxa" w:w="130"/>
            </w:tcMar>
          </w:tcPr>
          <w:p>
            <w:r>
              <w:rPr>
                <w:sz w:val="19"/>
                <w:szCs w:val="19"/>
              </w:rPr>
              <w:t xml:space="preserve">2016-02-11</w:t>
            </w:r>
          </w:p>
        </w:tc>
        <w:tc>
          <w:tcPr>
            <w:tcW w:type="dxa" w:w="2400"/>
            <w:shd w:fill="F5F8FB" w:val="clear"/>
            <w:tcMar>
              <w:top w:type="dxa" w:w="80"/>
              <w:left w:type="dxa" w:w="130"/>
              <w:bottom w:type="dxa" w:w="80"/>
              <w:right w:type="dxa" w:w="130"/>
            </w:tcMar>
          </w:tcPr>
          <w:p>
            <w:r>
              <w:rPr>
                <w:sz w:val="19"/>
                <w:szCs w:val="19"/>
              </w:rPr>
              <w:t xml:space="preserve">90.1%</w:t>
            </w:r>
          </w:p>
        </w:tc>
        <w:tc>
          <w:tcPr>
            <w:tcW w:type="dxa" w:w="2200"/>
            <w:shd w:fill="F5F8FB" w:val="clear"/>
            <w:tcMar>
              <w:top w:type="dxa" w:w="80"/>
              <w:left w:type="dxa" w:w="130"/>
              <w:bottom w:type="dxa" w:w="80"/>
              <w:right w:type="dxa" w:w="130"/>
            </w:tcMar>
          </w:tcPr>
          <w:p>
            <w:r>
              <w:rPr>
                <w:sz w:val="19"/>
                <w:szCs w:val="19"/>
              </w:rPr>
              <w:t xml:space="preserve">-0.94</w:t>
            </w:r>
          </w:p>
        </w:tc>
        <w:tc>
          <w:tcPr>
            <w:tcW w:type="dxa" w:w="2600"/>
            <w:shd w:fill="F5F8FB" w:val="clear"/>
            <w:tcMar>
              <w:top w:type="dxa" w:w="80"/>
              <w:left w:type="dxa" w:w="130"/>
              <w:bottom w:type="dxa" w:w="80"/>
              <w:right w:type="dxa" w:w="130"/>
            </w:tcMar>
          </w:tcPr>
          <w:p>
            <w:r>
              <w:rPr>
                <w:sz w:val="19"/>
                <w:szCs w:val="19"/>
              </w:rPr>
              <w:t xml:space="preserve">Feb-2016 global selloff</w:t>
            </w:r>
          </w:p>
        </w:tc>
      </w:tr>
      <w:tr>
        <w:tc>
          <w:tcPr>
            <w:tcW w:type="dxa" w:w="1800"/>
            <w:shd w:fill="FFFFFF" w:val="clear"/>
            <w:tcMar>
              <w:top w:type="dxa" w:w="80"/>
              <w:left w:type="dxa" w:w="130"/>
              <w:bottom w:type="dxa" w:w="80"/>
              <w:right w:type="dxa" w:w="130"/>
            </w:tcMar>
          </w:tcPr>
          <w:p>
            <w:r>
              <w:rPr>
                <w:sz w:val="19"/>
                <w:szCs w:val="19"/>
              </w:rPr>
              <w:t xml:space="preserve">2022-09-26</w:t>
            </w:r>
          </w:p>
        </w:tc>
        <w:tc>
          <w:tcPr>
            <w:tcW w:type="dxa" w:w="2400"/>
            <w:shd w:fill="FFFFFF" w:val="clear"/>
            <w:tcMar>
              <w:top w:type="dxa" w:w="80"/>
              <w:left w:type="dxa" w:w="130"/>
              <w:bottom w:type="dxa" w:w="80"/>
              <w:right w:type="dxa" w:w="130"/>
            </w:tcMar>
          </w:tcPr>
          <w:p>
            <w:r>
              <w:rPr>
                <w:sz w:val="19"/>
                <w:szCs w:val="19"/>
              </w:rPr>
              <w:t xml:space="preserve">87.2%</w:t>
            </w:r>
          </w:p>
        </w:tc>
        <w:tc>
          <w:tcPr>
            <w:tcW w:type="dxa" w:w="2200"/>
            <w:shd w:fill="FFFFFF" w:val="clear"/>
            <w:tcMar>
              <w:top w:type="dxa" w:w="80"/>
              <w:left w:type="dxa" w:w="130"/>
              <w:bottom w:type="dxa" w:w="80"/>
              <w:right w:type="dxa" w:w="130"/>
            </w:tcMar>
          </w:tcPr>
          <w:p>
            <w:r>
              <w:rPr>
                <w:sz w:val="19"/>
                <w:szCs w:val="19"/>
              </w:rPr>
              <w:t xml:space="preserve">-0.67</w:t>
            </w:r>
          </w:p>
        </w:tc>
        <w:tc>
          <w:tcPr>
            <w:tcW w:type="dxa" w:w="2600"/>
            <w:shd w:fill="FFFFFF" w:val="clear"/>
            <w:tcMar>
              <w:top w:type="dxa" w:w="80"/>
              <w:left w:type="dxa" w:w="130"/>
              <w:bottom w:type="dxa" w:w="80"/>
              <w:right w:type="dxa" w:w="130"/>
            </w:tcMar>
          </w:tcPr>
          <w:p>
            <w:r>
              <w:rPr>
                <w:sz w:val="19"/>
                <w:szCs w:val="19"/>
              </w:rPr>
              <w:t xml:space="preserve">Fed / GBP crisis</w:t>
            </w:r>
          </w:p>
        </w:tc>
      </w:tr>
      <w:tr>
        <w:tc>
          <w:tcPr>
            <w:tcW w:type="dxa" w:w="1800"/>
            <w:shd w:fill="F5F8FB" w:val="clear"/>
            <w:tcMar>
              <w:top w:type="dxa" w:w="80"/>
              <w:left w:type="dxa" w:w="130"/>
              <w:bottom w:type="dxa" w:w="80"/>
              <w:right w:type="dxa" w:w="130"/>
            </w:tcMar>
          </w:tcPr>
          <w:p>
            <w:r>
              <w:rPr>
                <w:sz w:val="19"/>
                <w:szCs w:val="19"/>
              </w:rPr>
              <w:t xml:space="preserve">2021-12-20</w:t>
            </w:r>
          </w:p>
        </w:tc>
        <w:tc>
          <w:tcPr>
            <w:tcW w:type="dxa" w:w="2400"/>
            <w:shd w:fill="F5F8FB" w:val="clear"/>
            <w:tcMar>
              <w:top w:type="dxa" w:w="80"/>
              <w:left w:type="dxa" w:w="130"/>
              <w:bottom w:type="dxa" w:w="80"/>
              <w:right w:type="dxa" w:w="130"/>
            </w:tcMar>
          </w:tcPr>
          <w:p>
            <w:r>
              <w:rPr>
                <w:sz w:val="19"/>
                <w:szCs w:val="19"/>
              </w:rPr>
              <w:t xml:space="preserve">86.2%</w:t>
            </w:r>
          </w:p>
        </w:tc>
        <w:tc>
          <w:tcPr>
            <w:tcW w:type="dxa" w:w="2200"/>
            <w:shd w:fill="F5F8FB" w:val="clear"/>
            <w:tcMar>
              <w:top w:type="dxa" w:w="80"/>
              <w:left w:type="dxa" w:w="130"/>
              <w:bottom w:type="dxa" w:w="80"/>
              <w:right w:type="dxa" w:w="130"/>
            </w:tcMar>
          </w:tcPr>
          <w:p>
            <w:r>
              <w:rPr>
                <w:sz w:val="19"/>
                <w:szCs w:val="19"/>
              </w:rPr>
              <w:t xml:space="preserve">-0.82</w:t>
            </w:r>
          </w:p>
        </w:tc>
        <w:tc>
          <w:tcPr>
            <w:tcW w:type="dxa" w:w="2600"/>
            <w:shd w:fill="F5F8FB" w:val="clear"/>
            <w:tcMar>
              <w:top w:type="dxa" w:w="80"/>
              <w:left w:type="dxa" w:w="130"/>
              <w:bottom w:type="dxa" w:w="80"/>
              <w:right w:type="dxa" w:w="130"/>
            </w:tcMar>
          </w:tcPr>
          <w:p>
            <w:r>
              <w:rPr>
                <w:sz w:val="19"/>
                <w:szCs w:val="19"/>
              </w:rPr>
              <w:t xml:space="preserve">Omicron</w:t>
            </w:r>
          </w:p>
        </w:tc>
      </w:tr>
      <w:tr>
        <w:tc>
          <w:tcPr>
            <w:tcW w:type="dxa" w:w="1800"/>
            <w:shd w:fill="FFFFFF" w:val="clear"/>
            <w:tcMar>
              <w:top w:type="dxa" w:w="80"/>
              <w:left w:type="dxa" w:w="130"/>
              <w:bottom w:type="dxa" w:w="80"/>
              <w:right w:type="dxa" w:w="130"/>
            </w:tcMar>
          </w:tcPr>
          <w:p>
            <w:r>
              <w:rPr>
                <w:sz w:val="19"/>
                <w:szCs w:val="19"/>
              </w:rPr>
              <w:t xml:space="preserve">2017-09-25</w:t>
            </w:r>
          </w:p>
        </w:tc>
        <w:tc>
          <w:tcPr>
            <w:tcW w:type="dxa" w:w="2400"/>
            <w:shd w:fill="FFFFFF" w:val="clear"/>
            <w:tcMar>
              <w:top w:type="dxa" w:w="80"/>
              <w:left w:type="dxa" w:w="130"/>
              <w:bottom w:type="dxa" w:w="80"/>
              <w:right w:type="dxa" w:w="130"/>
            </w:tcMar>
          </w:tcPr>
          <w:p>
            <w:r>
              <w:rPr>
                <w:sz w:val="19"/>
                <w:szCs w:val="19"/>
              </w:rPr>
              <w:t xml:space="preserve">84.5%</w:t>
            </w:r>
          </w:p>
        </w:tc>
        <w:tc>
          <w:tcPr>
            <w:tcW w:type="dxa" w:w="2200"/>
            <w:shd w:fill="FFFFFF" w:val="clear"/>
            <w:tcMar>
              <w:top w:type="dxa" w:w="80"/>
              <w:left w:type="dxa" w:w="130"/>
              <w:bottom w:type="dxa" w:w="80"/>
              <w:right w:type="dxa" w:w="130"/>
            </w:tcMar>
          </w:tcPr>
          <w:p>
            <w:r>
              <w:rPr>
                <w:sz w:val="19"/>
                <w:szCs w:val="19"/>
              </w:rPr>
              <w:t xml:space="preserve">-0.72</w:t>
            </w:r>
          </w:p>
        </w:tc>
        <w:tc>
          <w:tcPr>
            <w:tcW w:type="dxa" w:w="2600"/>
            <w:shd w:fill="FFFFFF" w:val="clear"/>
            <w:tcMar>
              <w:top w:type="dxa" w:w="80"/>
              <w:left w:type="dxa" w:w="130"/>
              <w:bottom w:type="dxa" w:w="80"/>
              <w:right w:type="dxa" w:w="130"/>
            </w:tcMar>
          </w:tcPr>
          <w:p>
            <w:r>
              <w:rPr>
                <w:sz w:val="19"/>
                <w:szCs w:val="19"/>
              </w:rPr>
              <w:t xml:space="preserve">—</w:t>
            </w:r>
          </w:p>
        </w:tc>
      </w:tr>
    </w:tbl>
    <w:p>
      <w:pPr>
        <w:spacing w:after="130" w:line="300"/>
      </w:pPr>
      <w:r>
        <w:t xml:space="preserve">Breadth alone is not enough. Around ninety percent of the universe was falling during both the COVID crash and ordinary pullbacks. Only the median slope separates them: minus 2.11 sigma against roughly minus 0.8. Hence a two-condition trigger, breadth at or above 75 percent AND median slope at or below minus 1.5 sigma — a threshold derived from measurement rather than chosen.</w:t>
      </w:r>
    </w:p>
    <w:p>
      <w:pPr>
        <w:pStyle w:val="Heading2"/>
        <w:spacing w:after="120" w:before="300"/>
      </w:pPr>
      <w:r>
        <w:t xml:space="preserve">5.2 Signal strength, measured out of sample</w:t>
      </w:r>
    </w:p>
    <w:p>
      <w:pPr>
        <w:spacing w:after="130" w:line="300"/>
      </w:pPr>
      <w:r>
        <w:t xml:space="preserve">Fitted on 2016-2020, tested on 2021-2026, against a label of forward five-day drawdown at or below minus five percent: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000"/>
      </w:tblGrid>
      <w:tr>
        <w:trPr>
          <w:tblHeader/>
        </w:trPr>
        <w:tc>
          <w:tcPr>
            <w:tcW w:type="dxa" w:w="3600"/>
            <w:shd w:fill="1F4E79" w:val="clear"/>
            <w:tcMar>
              <w:top w:type="dxa" w:w="90"/>
              <w:left w:type="dxa" w:w="130"/>
              <w:bottom w:type="dxa" w:w="90"/>
              <w:right w:type="dxa" w:w="130"/>
            </w:tcMar>
          </w:tcPr>
          <w:p>
            <w:r>
              <w:rPr>
                <w:b/>
                <w:bCs/>
                <w:color w:val="FFFFFF"/>
                <w:sz w:val="19"/>
                <w:szCs w:val="19"/>
              </w:rPr>
              <w:t xml:space="preserve">Rule</w:t>
            </w:r>
          </w:p>
        </w:tc>
        <w:tc>
          <w:tcPr>
            <w:tcW w:type="dxa" w:w="1600"/>
            <w:shd w:fill="1F4E79" w:val="clear"/>
            <w:tcMar>
              <w:top w:type="dxa" w:w="90"/>
              <w:left w:type="dxa" w:w="130"/>
              <w:bottom w:type="dxa" w:w="90"/>
              <w:right w:type="dxa" w:w="130"/>
            </w:tcMar>
          </w:tcPr>
          <w:p>
            <w:r>
              <w:rPr>
                <w:b/>
                <w:bCs/>
                <w:color w:val="FFFFFF"/>
                <w:sz w:val="19"/>
                <w:szCs w:val="19"/>
              </w:rPr>
              <w:t xml:space="preserve">Days</w:t>
            </w:r>
          </w:p>
        </w:tc>
        <w:tc>
          <w:tcPr>
            <w:tcW w:type="dxa" w:w="1800"/>
            <w:shd w:fill="1F4E79" w:val="clear"/>
            <w:tcMar>
              <w:top w:type="dxa" w:w="90"/>
              <w:left w:type="dxa" w:w="130"/>
              <w:bottom w:type="dxa" w:w="90"/>
              <w:right w:type="dxa" w:w="130"/>
            </w:tcMar>
          </w:tcPr>
          <w:p>
            <w:r>
              <w:rPr>
                <w:b/>
                <w:bCs/>
                <w:color w:val="FFFFFF"/>
                <w:sz w:val="19"/>
                <w:szCs w:val="19"/>
              </w:rPr>
              <w:t xml:space="preserve">P(crash)</w:t>
            </w:r>
          </w:p>
        </w:tc>
        <w:tc>
          <w:tcPr>
            <w:tcW w:type="dxa" w:w="2000"/>
            <w:shd w:fill="1F4E79" w:val="clear"/>
            <w:tcMar>
              <w:top w:type="dxa" w:w="90"/>
              <w:left w:type="dxa" w:w="130"/>
              <w:bottom w:type="dxa" w:w="90"/>
              <w:right w:type="dxa" w:w="130"/>
            </w:tcMar>
          </w:tcPr>
          <w:p>
            <w:r>
              <w:rPr>
                <w:b/>
                <w:bCs/>
                <w:color w:val="FFFFFF"/>
                <w:sz w:val="19"/>
                <w:szCs w:val="19"/>
              </w:rPr>
              <w:t xml:space="preserve">Lift</w:t>
            </w:r>
          </w:p>
        </w:tc>
      </w:tr>
      <w:tr>
        <w:tc>
          <w:tcPr>
            <w:tcW w:type="dxa" w:w="3600"/>
            <w:shd w:fill="F5F8FB" w:val="clear"/>
            <w:tcMar>
              <w:top w:type="dxa" w:w="80"/>
              <w:left w:type="dxa" w:w="130"/>
              <w:bottom w:type="dxa" w:w="80"/>
              <w:right w:type="dxa" w:w="130"/>
            </w:tcMar>
          </w:tcPr>
          <w:p>
            <w:r>
              <w:rPr>
                <w:sz w:val="19"/>
                <w:szCs w:val="19"/>
              </w:rPr>
              <w:t xml:space="preserve">base rate</w:t>
            </w:r>
          </w:p>
        </w:tc>
        <w:tc>
          <w:tcPr>
            <w:tcW w:type="dxa" w:w="1600"/>
            <w:shd w:fill="F5F8FB" w:val="clear"/>
            <w:tcMar>
              <w:top w:type="dxa" w:w="80"/>
              <w:left w:type="dxa" w:w="130"/>
              <w:bottom w:type="dxa" w:w="80"/>
              <w:right w:type="dxa" w:w="130"/>
            </w:tcMar>
          </w:tcPr>
          <w:p>
            <w:r>
              <w:rPr>
                <w:sz w:val="19"/>
                <w:szCs w:val="19"/>
              </w:rPr>
              <w:t xml:space="preserve">—</w:t>
            </w:r>
          </w:p>
        </w:tc>
        <w:tc>
          <w:tcPr>
            <w:tcW w:type="dxa" w:w="1800"/>
            <w:shd w:fill="F5F8FB" w:val="clear"/>
            <w:tcMar>
              <w:top w:type="dxa" w:w="80"/>
              <w:left w:type="dxa" w:w="130"/>
              <w:bottom w:type="dxa" w:w="80"/>
              <w:right w:type="dxa" w:w="130"/>
            </w:tcMar>
          </w:tcPr>
          <w:p>
            <w:r>
              <w:rPr>
                <w:sz w:val="19"/>
                <w:szCs w:val="19"/>
              </w:rPr>
              <w:t xml:space="preserve">11.0%</w:t>
            </w:r>
          </w:p>
        </w:tc>
        <w:tc>
          <w:tcPr>
            <w:tcW w:type="dxa" w:w="2000"/>
            <w:shd w:fill="F5F8FB" w:val="clear"/>
            <w:tcMar>
              <w:top w:type="dxa" w:w="80"/>
              <w:left w:type="dxa" w:w="130"/>
              <w:bottom w:type="dxa" w:w="80"/>
              <w:right w:type="dxa" w:w="130"/>
            </w:tcMar>
          </w:tcPr>
          <w:p>
            <w:r>
              <w:rPr>
                <w:sz w:val="19"/>
                <w:szCs w:val="19"/>
              </w:rPr>
              <w:t xml:space="preserve">1.00x</w:t>
            </w:r>
          </w:p>
        </w:tc>
      </w:tr>
      <w:tr>
        <w:tc>
          <w:tcPr>
            <w:tcW w:type="dxa" w:w="3600"/>
            <w:shd w:fill="FFFFFF" w:val="clear"/>
            <w:tcMar>
              <w:top w:type="dxa" w:w="80"/>
              <w:left w:type="dxa" w:w="130"/>
              <w:bottom w:type="dxa" w:w="80"/>
              <w:right w:type="dxa" w:w="130"/>
            </w:tcMar>
          </w:tcPr>
          <w:p>
            <w:r>
              <w:rPr>
                <w:sz w:val="19"/>
                <w:szCs w:val="19"/>
              </w:rPr>
              <w:t xml:space="preserve">AcceleratingDecline alone, no model</w:t>
            </w:r>
          </w:p>
        </w:tc>
        <w:tc>
          <w:tcPr>
            <w:tcW w:type="dxa" w:w="1600"/>
            <w:shd w:fill="FFFFFF" w:val="clear"/>
            <w:tcMar>
              <w:top w:type="dxa" w:w="80"/>
              <w:left w:type="dxa" w:w="130"/>
              <w:bottom w:type="dxa" w:w="80"/>
              <w:right w:type="dxa" w:w="130"/>
            </w:tcMar>
          </w:tcPr>
          <w:p>
            <w:r>
              <w:rPr>
                <w:sz w:val="19"/>
                <w:szCs w:val="19"/>
              </w:rPr>
              <w:t xml:space="preserve">38,612</w:t>
            </w:r>
          </w:p>
        </w:tc>
        <w:tc>
          <w:tcPr>
            <w:tcW w:type="dxa" w:w="1800"/>
            <w:shd w:fill="FFFFFF" w:val="clear"/>
            <w:tcMar>
              <w:top w:type="dxa" w:w="80"/>
              <w:left w:type="dxa" w:w="130"/>
              <w:bottom w:type="dxa" w:w="80"/>
              <w:right w:type="dxa" w:w="130"/>
            </w:tcMar>
          </w:tcPr>
          <w:p>
            <w:r>
              <w:rPr>
                <w:sz w:val="19"/>
                <w:szCs w:val="19"/>
              </w:rPr>
              <w:t xml:space="preserve">12.0%</w:t>
            </w:r>
          </w:p>
        </w:tc>
        <w:tc>
          <w:tcPr>
            <w:tcW w:type="dxa" w:w="2000"/>
            <w:shd w:fill="FFFFFF" w:val="clear"/>
            <w:tcMar>
              <w:top w:type="dxa" w:w="80"/>
              <w:left w:type="dxa" w:w="130"/>
              <w:bottom w:type="dxa" w:w="80"/>
              <w:right w:type="dxa" w:w="130"/>
            </w:tcMar>
          </w:tcPr>
          <w:p>
            <w:r>
              <w:rPr>
                <w:sz w:val="19"/>
                <w:szCs w:val="19"/>
              </w:rPr>
              <w:t xml:space="preserve">1.10x</w:t>
            </w:r>
          </w:p>
        </w:tc>
      </w:tr>
      <w:tr>
        <w:tc>
          <w:tcPr>
            <w:tcW w:type="dxa" w:w="3600"/>
            <w:shd w:fill="F5F8FB" w:val="clear"/>
            <w:tcMar>
              <w:top w:type="dxa" w:w="80"/>
              <w:left w:type="dxa" w:w="130"/>
              <w:bottom w:type="dxa" w:w="80"/>
              <w:right w:type="dxa" w:w="130"/>
            </w:tcMar>
          </w:tcPr>
          <w:p>
            <w:r>
              <w:rPr>
                <w:sz w:val="19"/>
                <w:szCs w:val="19"/>
              </w:rPr>
              <w:t xml:space="preserve">slope_z below -1 alone, no model</w:t>
            </w:r>
          </w:p>
        </w:tc>
        <w:tc>
          <w:tcPr>
            <w:tcW w:type="dxa" w:w="1600"/>
            <w:shd w:fill="F5F8FB" w:val="clear"/>
            <w:tcMar>
              <w:top w:type="dxa" w:w="80"/>
              <w:left w:type="dxa" w:w="130"/>
              <w:bottom w:type="dxa" w:w="80"/>
              <w:right w:type="dxa" w:w="130"/>
            </w:tcMar>
          </w:tcPr>
          <w:p>
            <w:r>
              <w:rPr>
                <w:sz w:val="19"/>
                <w:szCs w:val="19"/>
              </w:rPr>
              <w:t xml:space="preserve">3,451</w:t>
            </w:r>
          </w:p>
        </w:tc>
        <w:tc>
          <w:tcPr>
            <w:tcW w:type="dxa" w:w="1800"/>
            <w:shd w:fill="F5F8FB" w:val="clear"/>
            <w:tcMar>
              <w:top w:type="dxa" w:w="80"/>
              <w:left w:type="dxa" w:w="130"/>
              <w:bottom w:type="dxa" w:w="80"/>
              <w:right w:type="dxa" w:w="130"/>
            </w:tcMar>
          </w:tcPr>
          <w:p>
            <w:r>
              <w:rPr>
                <w:sz w:val="19"/>
                <w:szCs w:val="19"/>
              </w:rPr>
              <w:t xml:space="preserve">13.2%</w:t>
            </w:r>
          </w:p>
        </w:tc>
        <w:tc>
          <w:tcPr>
            <w:tcW w:type="dxa" w:w="2000"/>
            <w:shd w:fill="F5F8FB" w:val="clear"/>
            <w:tcMar>
              <w:top w:type="dxa" w:w="80"/>
              <w:left w:type="dxa" w:w="130"/>
              <w:bottom w:type="dxa" w:w="80"/>
              <w:right w:type="dxa" w:w="130"/>
            </w:tcMar>
          </w:tcPr>
          <w:p>
            <w:r>
              <w:rPr>
                <w:sz w:val="19"/>
                <w:szCs w:val="19"/>
              </w:rPr>
              <w:t xml:space="preserve">1.20x</w:t>
            </w:r>
          </w:p>
        </w:tc>
      </w:tr>
      <w:tr>
        <w:tc>
          <w:tcPr>
            <w:tcW w:type="dxa" w:w="3600"/>
            <w:shd w:fill="FFFFFF" w:val="clear"/>
            <w:tcMar>
              <w:top w:type="dxa" w:w="80"/>
              <w:left w:type="dxa" w:w="130"/>
              <w:bottom w:type="dxa" w:w="80"/>
              <w:right w:type="dxa" w:w="130"/>
            </w:tcMar>
          </w:tcPr>
          <w:p>
            <w:r>
              <w:rPr>
                <w:sz w:val="19"/>
                <w:szCs w:val="19"/>
              </w:rPr>
              <w:t xml:space="preserve">intensity 0.95+ and AcceleratingDecline</w:t>
            </w:r>
          </w:p>
        </w:tc>
        <w:tc>
          <w:tcPr>
            <w:tcW w:type="dxa" w:w="1600"/>
            <w:shd w:fill="FFFFFF" w:val="clear"/>
            <w:tcMar>
              <w:top w:type="dxa" w:w="80"/>
              <w:left w:type="dxa" w:w="130"/>
              <w:bottom w:type="dxa" w:w="80"/>
              <w:right w:type="dxa" w:w="130"/>
            </w:tcMar>
          </w:tcPr>
          <w:p>
            <w:r>
              <w:rPr>
                <w:sz w:val="19"/>
                <w:szCs w:val="19"/>
              </w:rPr>
              <w:t xml:space="preserve">875</w:t>
            </w:r>
          </w:p>
        </w:tc>
        <w:tc>
          <w:tcPr>
            <w:tcW w:type="dxa" w:w="1800"/>
            <w:shd w:fill="FFFFFF" w:val="clear"/>
            <w:tcMar>
              <w:top w:type="dxa" w:w="80"/>
              <w:left w:type="dxa" w:w="130"/>
              <w:bottom w:type="dxa" w:w="80"/>
              <w:right w:type="dxa" w:w="130"/>
            </w:tcMar>
          </w:tcPr>
          <w:p>
            <w:r>
              <w:rPr>
                <w:sz w:val="19"/>
                <w:szCs w:val="19"/>
              </w:rPr>
              <w:t xml:space="preserve">20.7%</w:t>
            </w:r>
          </w:p>
        </w:tc>
        <w:tc>
          <w:tcPr>
            <w:tcW w:type="dxa" w:w="2000"/>
            <w:shd w:fill="FFFFFF" w:val="clear"/>
            <w:tcMar>
              <w:top w:type="dxa" w:w="80"/>
              <w:left w:type="dxa" w:w="130"/>
              <w:bottom w:type="dxa" w:w="80"/>
              <w:right w:type="dxa" w:w="130"/>
            </w:tcMar>
          </w:tcPr>
          <w:p>
            <w:r>
              <w:rPr>
                <w:sz w:val="19"/>
                <w:szCs w:val="19"/>
              </w:rPr>
              <w:t xml:space="preserve">1.88x</w:t>
            </w:r>
          </w:p>
        </w:tc>
      </w:tr>
      <w:tr>
        <w:tc>
          <w:tcPr>
            <w:tcW w:type="dxa" w:w="3600"/>
            <w:shd w:fill="F5F8FB" w:val="clear"/>
            <w:tcMar>
              <w:top w:type="dxa" w:w="80"/>
              <w:left w:type="dxa" w:w="130"/>
              <w:bottom w:type="dxa" w:w="80"/>
              <w:right w:type="dxa" w:w="130"/>
            </w:tcMar>
          </w:tcPr>
          <w:p>
            <w:r>
              <w:rPr>
                <w:sz w:val="19"/>
                <w:szCs w:val="19"/>
              </w:rPr>
              <w:t xml:space="preserve">intensity 0.99+ and AcceleratingDecline</w:t>
            </w:r>
          </w:p>
        </w:tc>
        <w:tc>
          <w:tcPr>
            <w:tcW w:type="dxa" w:w="1600"/>
            <w:shd w:fill="F5F8FB" w:val="clear"/>
            <w:tcMar>
              <w:top w:type="dxa" w:w="80"/>
              <w:left w:type="dxa" w:w="130"/>
              <w:bottom w:type="dxa" w:w="80"/>
              <w:right w:type="dxa" w:w="130"/>
            </w:tcMar>
          </w:tcPr>
          <w:p>
            <w:r>
              <w:rPr>
                <w:sz w:val="19"/>
                <w:szCs w:val="19"/>
              </w:rPr>
              <w:t xml:space="preserve">107</w:t>
            </w:r>
          </w:p>
        </w:tc>
        <w:tc>
          <w:tcPr>
            <w:tcW w:type="dxa" w:w="1800"/>
            <w:shd w:fill="F5F8FB" w:val="clear"/>
            <w:tcMar>
              <w:top w:type="dxa" w:w="80"/>
              <w:left w:type="dxa" w:w="130"/>
              <w:bottom w:type="dxa" w:w="80"/>
              <w:right w:type="dxa" w:w="130"/>
            </w:tcMar>
          </w:tcPr>
          <w:p>
            <w:r>
              <w:rPr>
                <w:sz w:val="19"/>
                <w:szCs w:val="19"/>
              </w:rPr>
              <w:t xml:space="preserve">43.0%</w:t>
            </w:r>
          </w:p>
        </w:tc>
        <w:tc>
          <w:tcPr>
            <w:tcW w:type="dxa" w:w="2000"/>
            <w:shd w:fill="F5F8FB" w:val="clear"/>
            <w:tcMar>
              <w:top w:type="dxa" w:w="80"/>
              <w:left w:type="dxa" w:w="130"/>
              <w:bottom w:type="dxa" w:w="80"/>
              <w:right w:type="dxa" w:w="130"/>
            </w:tcMar>
          </w:tcPr>
          <w:p>
            <w:r>
              <w:rPr>
                <w:sz w:val="19"/>
                <w:szCs w:val="19"/>
              </w:rPr>
              <w:t xml:space="preserve">3.91x</w:t>
            </w:r>
          </w:p>
        </w:tc>
      </w:tr>
    </w:tbl>
    <w:tbl>
      <w:tblPr>
        <w:tblW w:type="dxa" w:w="9000"/>
        <w:tblBorders>
          <w:top w:val="single" w:color="1E7B34" w:sz="2"/>
          <w:left w:val="single" w:color="1E7B34" w:sz="20"/>
          <w:bottom w:val="single" w:color="1E7B34" w:sz="2"/>
          <w:right w:val="single" w:color="1E7B34" w:sz="2"/>
          <w:insideH w:val="none"/>
          <w:insideV w:val="none"/>
        </w:tblBorders>
      </w:tblPr>
      <w:tblGrid>
        <w:gridCol w:w="9000"/>
      </w:tblGrid>
      <w:tr>
        <w:tc>
          <w:tcPr>
            <w:tcW w:type="dxa" w:w="9000"/>
            <w:shd w:fill="F5FBF6" w:val="clear"/>
            <w:tcMar>
              <w:top w:type="dxa" w:w="150"/>
              <w:left w:type="dxa" w:w="220"/>
              <w:bottom w:type="dxa" w:w="150"/>
              <w:right w:type="dxa" w:w="200"/>
            </w:tcMar>
          </w:tcPr>
          <w:p>
            <w:pPr>
              <w:spacing w:after="70"/>
            </w:pPr>
            <w:r>
              <w:rPr>
                <w:b/>
                <w:bCs/>
                <w:color w:val="1E7B34"/>
              </w:rPr>
              <w:t xml:space="preserve">Isolation Forest is doing the work</w:t>
            </w:r>
          </w:p>
          <w:p>
            <w:pPr>
              <w:spacing w:after="70" w:line="300"/>
            </w:pPr>
            <w:r>
              <w:t xml:space="preserve">The trend rules alone are worth almost nothing — 1.10x and 1.20x against a base rate of 1.00x.</w:t>
            </w:r>
          </w:p>
          <w:p>
            <w:pPr>
              <w:spacing w:after="70" w:line="300"/>
            </w:pPr>
            <w:r>
              <w:t xml:space="preserve">The anomaly score carries the signal; slope and acceleration convert "unusual" into "unusually bad".</w:t>
            </w:r>
          </w:p>
          <w:p>
            <w:pPr>
              <w:spacing w:after="0" w:line="300"/>
            </w:pPr>
            <w:r>
              <w:t xml:space="preserve">The rally side tells the same story. AcceleratingAdvance alone scores 0.98x — literally no information. Combined with intensity above 0.99 it reaches 2.44x.</w:t>
            </w:r>
          </w:p>
        </w:tc>
      </w:tr>
    </w:tbl>
    <w:p>
      <w:pPr>
        <w:pStyle w:val="Heading2"/>
        <w:spacing w:after="120" w:before="300"/>
      </w:pPr>
      <w:r>
        <w:t xml:space="preserve">5.3 A warning that must not be buried</w:t>
      </w:r>
    </w:p>
    <w:p>
      <w:pPr>
        <w:spacing w:after="130" w:line="300"/>
      </w:pPr>
      <w:r>
        <w:t xml:space="preserve">Ranked across all days, the detector achieves an area under the curve of 0.53 against the crash label — barely above a coin flip. Some of that is expected and unfair to the model: Isolation Forest is direction-blind, so it ranks violent rallies exactly as highly as violent crashes, and a crash-only label penalises it for doing its job. Applying the direction filter is what lifts precision to 3.91 times base rate.</w:t>
      </w:r>
    </w:p>
    <w:p>
      <w:pPr>
        <w:spacing w:after="130" w:line="300"/>
      </w:pPr>
      <w:r>
        <w:t xml:space="preserve">But a separate probe on the market-level features gave a harder result. Trained on all history through 2020, the detector fired zero alerts across 1,344 out-of-sample days — never once in five years. Volatility purging restored firing to roughly three per year, yet it still caught only one of eight crash onsets.</w:t>
      </w:r>
    </w:p>
    <w:tbl>
      <w:tblPr>
        <w:tblW w:type="dxa" w:w="9000"/>
        <w:tblBorders>
          <w:top w:val="single" w:color="B22222" w:sz="2"/>
          <w:left w:val="single" w:color="B22222" w:sz="20"/>
          <w:bottom w:val="single" w:color="B22222" w:sz="2"/>
          <w:right w:val="single" w:color="B22222" w:sz="2"/>
          <w:insideH w:val="none"/>
          <w:insideV w:val="none"/>
        </w:tblBorders>
      </w:tblPr>
      <w:tblGrid>
        <w:gridCol w:w="9000"/>
      </w:tblGrid>
      <w:tr>
        <w:tc>
          <w:tcPr>
            <w:tcW w:type="dxa" w:w="9000"/>
            <w:shd w:fill="FDF6F6" w:val="clear"/>
            <w:tcMar>
              <w:top w:type="dxa" w:w="150"/>
              <w:left w:type="dxa" w:w="220"/>
              <w:bottom w:type="dxa" w:w="150"/>
              <w:right w:type="dxa" w:w="200"/>
            </w:tcMar>
          </w:tcPr>
          <w:p>
            <w:pPr>
              <w:spacing w:after="70"/>
            </w:pPr>
            <w:r>
              <w:rPr>
                <w:b/>
                <w:bCs/>
                <w:color w:val="B22222"/>
              </w:rPr>
              <w:t xml:space="preserve">Read this honestly</w:t>
            </w:r>
          </w:p>
          <w:p>
            <w:pPr>
              <w:spacing w:after="70" w:line="300"/>
            </w:pPr>
            <w:r>
              <w:t xml:space="preserve">This is a warning sign, not a verdict. The probe used only the six market features rather than the 468,266 rows of per-stock features, and eight out-of-sample events cannot support a confident conclusion.</w:t>
            </w:r>
          </w:p>
          <w:p>
            <w:pPr>
              <w:spacing w:after="70" w:line="300"/>
            </w:pPr>
            <w:r>
              <w:t xml:space="preserve">But it is real enough that Phase 4 — measuring actual lead time — must come before any backtest, dashboard, or retraining comparison is built on top of it.</w:t>
            </w:r>
          </w:p>
          <w:p>
            <w:pPr>
              <w:spacing w:after="0" w:line="300"/>
            </w:pPr>
            <w:r>
              <w:t xml:space="preserve">Far better to learn this from a lead-time histogram in Phase 4 than from an equity curve in Phase 8.</w:t>
            </w:r>
          </w:p>
        </w:tc>
      </w:tr>
    </w:tbl>
    <w:p>
      <w:pPr>
        <w:pStyle w:val="Heading2"/>
        <w:spacing w:after="120" w:before="300"/>
      </w:pPr>
      <w:r>
        <w:t xml:space="preserve">5.4 A retraining hypothesis, confirmed early</w:t>
      </w:r>
    </w:p>
    <w:p>
      <w:pPr>
        <w:spacing w:after="130" w:line="300"/>
      </w:pPr>
      <w:r>
        <w:t xml:space="preserve">The zero-alert result is not a bug. Isolation Forest defines normal as whatever it was trained on, and the training set contained 2008 and March 2020. Having been shown catastrophe, the model learned that catastrophe is normal, and no subsequent day was extreme enough to clear the threshold.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F4E79" w:val="clear"/>
            <w:tcMar>
              <w:top w:type="dxa" w:w="90"/>
              <w:left w:type="dxa" w:w="130"/>
              <w:bottom w:type="dxa" w:w="90"/>
              <w:right w:type="dxa" w:w="130"/>
            </w:tcMar>
          </w:tcPr>
          <w:p>
            <w:r>
              <w:rPr>
                <w:b/>
                <w:bCs/>
                <w:color w:val="FFFFFF"/>
                <w:sz w:val="19"/>
                <w:szCs w:val="19"/>
              </w:rPr>
              <w:t xml:space="preserve">Training set</w:t>
            </w:r>
          </w:p>
        </w:tc>
        <w:tc>
          <w:tcPr>
            <w:tcW w:type="dxa" w:w="4000"/>
            <w:shd w:fill="1F4E79" w:val="clear"/>
            <w:tcMar>
              <w:top w:type="dxa" w:w="90"/>
              <w:left w:type="dxa" w:w="130"/>
              <w:bottom w:type="dxa" w:w="90"/>
              <w:right w:type="dxa" w:w="130"/>
            </w:tcMar>
          </w:tcPr>
          <w:p>
            <w:r>
              <w:rPr>
                <w:b/>
                <w:bCs/>
                <w:color w:val="FFFFFF"/>
                <w:sz w:val="19"/>
                <w:szCs w:val="19"/>
              </w:rPr>
              <w:t xml:space="preserve">Alerts in 1,344 out-of-sample days</w:t>
            </w:r>
          </w:p>
        </w:tc>
      </w:tr>
      <w:tr>
        <w:tc>
          <w:tcPr>
            <w:tcW w:type="dxa" w:w="5000"/>
            <w:shd w:fill="F5F8FB" w:val="clear"/>
            <w:tcMar>
              <w:top w:type="dxa" w:w="80"/>
              <w:left w:type="dxa" w:w="130"/>
              <w:bottom w:type="dxa" w:w="80"/>
              <w:right w:type="dxa" w:w="130"/>
            </w:tcMar>
          </w:tcPr>
          <w:p>
            <w:r>
              <w:rPr>
                <w:sz w:val="19"/>
                <w:szCs w:val="19"/>
              </w:rPr>
              <w:t xml:space="preserve">All history 2006-2020</w:t>
            </w:r>
          </w:p>
        </w:tc>
        <w:tc>
          <w:tcPr>
            <w:tcW w:type="dxa" w:w="4000"/>
            <w:shd w:fill="F5F8FB" w:val="clear"/>
            <w:tcMar>
              <w:top w:type="dxa" w:w="80"/>
              <w:left w:type="dxa" w:w="130"/>
              <w:bottom w:type="dxa" w:w="80"/>
              <w:right w:type="dxa" w:w="130"/>
            </w:tcMar>
          </w:tcPr>
          <w:p>
            <w:r>
              <w:rPr>
                <w:sz w:val="19"/>
                <w:szCs w:val="19"/>
              </w:rPr>
              <w:t xml:space="preserve">0</w:t>
            </w:r>
          </w:p>
        </w:tc>
      </w:tr>
      <w:tr>
        <w:tc>
          <w:tcPr>
            <w:tcW w:type="dxa" w:w="5000"/>
            <w:shd w:fill="FFFFFF" w:val="clear"/>
            <w:tcMar>
              <w:top w:type="dxa" w:w="80"/>
              <w:left w:type="dxa" w:w="130"/>
              <w:bottom w:type="dxa" w:w="80"/>
              <w:right w:type="dxa" w:w="130"/>
            </w:tcMar>
          </w:tcPr>
          <w:p>
            <w:r>
              <w:rPr>
                <w:sz w:val="19"/>
                <w:szCs w:val="19"/>
              </w:rPr>
              <w:t xml:space="preserve">Crisis periods removed</w:t>
            </w:r>
          </w:p>
        </w:tc>
        <w:tc>
          <w:tcPr>
            <w:tcW w:type="dxa" w:w="4000"/>
            <w:shd w:fill="FFFFFF" w:val="clear"/>
            <w:tcMar>
              <w:top w:type="dxa" w:w="80"/>
              <w:left w:type="dxa" w:w="130"/>
              <w:bottom w:type="dxa" w:w="80"/>
              <w:right w:type="dxa" w:w="130"/>
            </w:tcMar>
          </w:tcPr>
          <w:p>
            <w:r>
              <w:rPr>
                <w:sz w:val="19"/>
                <w:szCs w:val="19"/>
              </w:rPr>
              <w:t xml:space="preserve">5</w:t>
            </w:r>
          </w:p>
        </w:tc>
      </w:tr>
      <w:tr>
        <w:tc>
          <w:tcPr>
            <w:tcW w:type="dxa" w:w="5000"/>
            <w:shd w:fill="F5F8FB" w:val="clear"/>
            <w:tcMar>
              <w:top w:type="dxa" w:w="80"/>
              <w:left w:type="dxa" w:w="130"/>
              <w:bottom w:type="dxa" w:w="80"/>
              <w:right w:type="dxa" w:w="130"/>
            </w:tcMar>
          </w:tcPr>
          <w:p>
            <w:r>
              <w:rPr>
                <w:sz w:val="19"/>
                <w:szCs w:val="19"/>
              </w:rPr>
              <w:t xml:space="preserve">Volatility-purged, top decile dropped</w:t>
            </w:r>
          </w:p>
        </w:tc>
        <w:tc>
          <w:tcPr>
            <w:tcW w:type="dxa" w:w="4000"/>
            <w:shd w:fill="F5F8FB" w:val="clear"/>
            <w:tcMar>
              <w:top w:type="dxa" w:w="80"/>
              <w:left w:type="dxa" w:w="130"/>
              <w:bottom w:type="dxa" w:w="80"/>
              <w:right w:type="dxa" w:w="130"/>
            </w:tcMar>
          </w:tcPr>
          <w:p>
            <w:r>
              <w:rPr>
                <w:sz w:val="19"/>
                <w:szCs w:val="19"/>
              </w:rPr>
              <w:t xml:space="preserve">15</w:t>
            </w:r>
          </w:p>
        </w:tc>
      </w:tr>
      <w:tr>
        <w:tc>
          <w:tcPr>
            <w:tcW w:type="dxa" w:w="5000"/>
            <w:shd w:fill="FFFFFF" w:val="clear"/>
            <w:tcMar>
              <w:top w:type="dxa" w:w="80"/>
              <w:left w:type="dxa" w:w="130"/>
              <w:bottom w:type="dxa" w:w="80"/>
              <w:right w:type="dxa" w:w="130"/>
            </w:tcMar>
          </w:tcPr>
          <w:p>
            <w:r>
              <w:rPr>
                <w:sz w:val="19"/>
                <w:szCs w:val="19"/>
              </w:rPr>
              <w:t xml:space="preserve">2016-2020 including COVID</w:t>
            </w:r>
          </w:p>
        </w:tc>
        <w:tc>
          <w:tcPr>
            <w:tcW w:type="dxa" w:w="4000"/>
            <w:shd w:fill="FFFFFF" w:val="clear"/>
            <w:tcMar>
              <w:top w:type="dxa" w:w="80"/>
              <w:left w:type="dxa" w:w="130"/>
              <w:bottom w:type="dxa" w:w="80"/>
              <w:right w:type="dxa" w:w="130"/>
            </w:tcMar>
          </w:tcPr>
          <w:p>
            <w:r>
              <w:rPr>
                <w:sz w:val="19"/>
                <w:szCs w:val="19"/>
              </w:rPr>
              <w:t xml:space="preserve">1</w:t>
            </w:r>
          </w:p>
        </w:tc>
      </w:tr>
      <w:tr>
        <w:tc>
          <w:tcPr>
            <w:tcW w:type="dxa" w:w="5000"/>
            <w:shd w:fill="F5F8FB" w:val="clear"/>
            <w:tcMar>
              <w:top w:type="dxa" w:w="80"/>
              <w:left w:type="dxa" w:w="130"/>
              <w:bottom w:type="dxa" w:w="80"/>
              <w:right w:type="dxa" w:w="130"/>
            </w:tcMar>
          </w:tcPr>
          <w:p>
            <w:r>
              <w:rPr>
                <w:sz w:val="19"/>
                <w:szCs w:val="19"/>
              </w:rPr>
              <w:t xml:space="preserve">2016-2020 volatility-purged</w:t>
            </w:r>
          </w:p>
        </w:tc>
        <w:tc>
          <w:tcPr>
            <w:tcW w:type="dxa" w:w="4000"/>
            <w:shd w:fill="F5F8FB" w:val="clear"/>
            <w:tcMar>
              <w:top w:type="dxa" w:w="80"/>
              <w:left w:type="dxa" w:w="130"/>
              <w:bottom w:type="dxa" w:w="80"/>
              <w:right w:type="dxa" w:w="130"/>
            </w:tcMar>
          </w:tcPr>
          <w:p>
            <w:r>
              <w:rPr>
                <w:sz w:val="19"/>
                <w:szCs w:val="19"/>
              </w:rPr>
              <w:t xml:space="preserve">42</w:t>
            </w:r>
          </w:p>
        </w:tc>
      </w:tr>
    </w:tbl>
    <w:p>
      <w:pPr>
        <w:spacing w:after="130" w:line="300"/>
      </w:pPr>
      <w:r>
        <w:t xml:space="preserve">This was proposed in the implementation plan as a fourth challenger to the three retraining methods. It is no longer a theoretical argument — it is measured, and it should now be treated as the default rather than the alternative.</w:t>
      </w:r>
    </w:p>
    <w:p>
      <w:r>
        <w:br w:type="page"/>
      </w:r>
    </w:p>
    <w:p>
      <w:pPr>
        <w:pStyle w:val="Heading1"/>
        <w:spacing w:after="160" w:before="360"/>
      </w:pPr>
      <w:r>
        <w:t xml:space="preserve">6. Considered and rejected: Bollinger Bands</w:t>
      </w:r>
    </w:p>
    <w:p>
      <w:pPr>
        <w:spacing w:after="130" w:line="300"/>
      </w:pPr>
      <w:r>
        <w:t xml:space="preserve">Bollinger Bands were evaluated both as a crash label and as a feature. Recording the reasoning because the conclusion is not obvious and the investigation produced a genuinely useful result.</w:t>
      </w:r>
    </w:p>
    <w:p>
      <w:pPr>
        <w:pStyle w:val="Heading2"/>
        <w:spacing w:after="120" w:before="300"/>
      </w:pPr>
      <w:r>
        <w:t xml:space="preserve">6.1 As a crash label — rejected</w:t>
      </w:r>
    </w:p>
    <w:p>
      <w:pPr>
        <w:spacing w:after="130" w:line="300"/>
      </w:pPr>
      <w:r>
        <w:t xml:space="preserve">Band position is volatility-relative, so a sustained crash widens its own band. The reading becomes LESS extreme as the drawdown deepens: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F4E79" w:val="clear"/>
            <w:tcMar>
              <w:top w:type="dxa" w:w="90"/>
              <w:left w:type="dxa" w:w="130"/>
              <w:bottom w:type="dxa" w:w="90"/>
              <w:right w:type="dxa" w:w="130"/>
            </w:tcMar>
          </w:tcPr>
          <w:p>
            <w:r>
              <w:rPr>
                <w:b/>
                <w:bCs/>
                <w:color w:val="FFFFFF"/>
                <w:sz w:val="19"/>
                <w:szCs w:val="19"/>
              </w:rPr>
              <w:t xml:space="preserve">Date</w:t>
            </w:r>
          </w:p>
        </w:tc>
        <w:tc>
          <w:tcPr>
            <w:tcW w:type="dxa" w:w="3200"/>
            <w:shd w:fill="1F4E79" w:val="clear"/>
            <w:tcMar>
              <w:top w:type="dxa" w:w="90"/>
              <w:left w:type="dxa" w:w="130"/>
              <w:bottom w:type="dxa" w:w="90"/>
              <w:right w:type="dxa" w:w="130"/>
            </w:tcMar>
          </w:tcPr>
          <w:p>
            <w:r>
              <w:rPr>
                <w:b/>
                <w:bCs/>
                <w:color w:val="FFFFFF"/>
                <w:sz w:val="19"/>
                <w:szCs w:val="19"/>
              </w:rPr>
              <w:t xml:space="preserve">Drawdown from peak</w:t>
            </w:r>
          </w:p>
        </w:tc>
        <w:tc>
          <w:tcPr>
            <w:tcW w:type="dxa" w:w="3200"/>
            <w:shd w:fill="1F4E79" w:val="clear"/>
            <w:tcMar>
              <w:top w:type="dxa" w:w="90"/>
              <w:left w:type="dxa" w:w="130"/>
              <w:bottom w:type="dxa" w:w="90"/>
              <w:right w:type="dxa" w:w="130"/>
            </w:tcMar>
          </w:tcPr>
          <w:p>
            <w:r>
              <w:rPr>
                <w:b/>
                <w:bCs/>
                <w:color w:val="FFFFFF"/>
                <w:sz w:val="19"/>
                <w:szCs w:val="19"/>
              </w:rPr>
              <w:t xml:space="preserve">Band position</w:t>
            </w:r>
          </w:p>
        </w:tc>
      </w:tr>
      <w:tr>
        <w:tc>
          <w:tcPr>
            <w:tcW w:type="dxa" w:w="2600"/>
            <w:shd w:fill="F5F8FB" w:val="clear"/>
            <w:tcMar>
              <w:top w:type="dxa" w:w="80"/>
              <w:left w:type="dxa" w:w="130"/>
              <w:bottom w:type="dxa" w:w="80"/>
              <w:right w:type="dxa" w:w="130"/>
            </w:tcMar>
          </w:tcPr>
          <w:p>
            <w:r>
              <w:rPr>
                <w:sz w:val="19"/>
                <w:szCs w:val="19"/>
              </w:rPr>
              <w:t xml:space="preserve">2020-02-28</w:t>
            </w:r>
          </w:p>
        </w:tc>
        <w:tc>
          <w:tcPr>
            <w:tcW w:type="dxa" w:w="3200"/>
            <w:shd w:fill="F5F8FB" w:val="clear"/>
            <w:tcMar>
              <w:top w:type="dxa" w:w="80"/>
              <w:left w:type="dxa" w:w="130"/>
              <w:bottom w:type="dxa" w:w="80"/>
              <w:right w:type="dxa" w:w="130"/>
            </w:tcMar>
          </w:tcPr>
          <w:p>
            <w:r>
              <w:rPr>
                <w:sz w:val="19"/>
                <w:szCs w:val="19"/>
              </w:rPr>
              <w:t xml:space="preserve">-9%</w:t>
            </w:r>
          </w:p>
        </w:tc>
        <w:tc>
          <w:tcPr>
            <w:tcW w:type="dxa" w:w="3200"/>
            <w:shd w:fill="F5F8FB" w:val="clear"/>
            <w:tcMar>
              <w:top w:type="dxa" w:w="80"/>
              <w:left w:type="dxa" w:w="130"/>
              <w:bottom w:type="dxa" w:w="80"/>
              <w:right w:type="dxa" w:w="130"/>
            </w:tcMar>
          </w:tcPr>
          <w:p>
            <w:r>
              <w:rPr>
                <w:sz w:val="19"/>
                <w:szCs w:val="19"/>
              </w:rPr>
              <w:t xml:space="preserve">-2.85 SD</w:t>
            </w:r>
          </w:p>
        </w:tc>
      </w:tr>
      <w:tr>
        <w:tc>
          <w:tcPr>
            <w:tcW w:type="dxa" w:w="2600"/>
            <w:shd w:fill="FFFFFF" w:val="clear"/>
            <w:tcMar>
              <w:top w:type="dxa" w:w="80"/>
              <w:left w:type="dxa" w:w="130"/>
              <w:bottom w:type="dxa" w:w="80"/>
              <w:right w:type="dxa" w:w="130"/>
            </w:tcMar>
          </w:tcPr>
          <w:p>
            <w:r>
              <w:rPr>
                <w:sz w:val="19"/>
                <w:szCs w:val="19"/>
              </w:rPr>
              <w:t xml:space="preserve">2020-03-12</w:t>
            </w:r>
          </w:p>
        </w:tc>
        <w:tc>
          <w:tcPr>
            <w:tcW w:type="dxa" w:w="3200"/>
            <w:shd w:fill="FFFFFF" w:val="clear"/>
            <w:tcMar>
              <w:top w:type="dxa" w:w="80"/>
              <w:left w:type="dxa" w:w="130"/>
              <w:bottom w:type="dxa" w:w="80"/>
              <w:right w:type="dxa" w:w="130"/>
            </w:tcMar>
          </w:tcPr>
          <w:p>
            <w:r>
              <w:rPr>
                <w:sz w:val="19"/>
                <w:szCs w:val="19"/>
              </w:rPr>
              <w:t xml:space="preserve">-22%</w:t>
            </w:r>
          </w:p>
        </w:tc>
        <w:tc>
          <w:tcPr>
            <w:tcW w:type="dxa" w:w="3200"/>
            <w:shd w:fill="FFFFFF" w:val="clear"/>
            <w:tcMar>
              <w:top w:type="dxa" w:w="80"/>
              <w:left w:type="dxa" w:w="130"/>
              <w:bottom w:type="dxa" w:w="80"/>
              <w:right w:type="dxa" w:w="130"/>
            </w:tcMar>
          </w:tcPr>
          <w:p>
            <w:r>
              <w:rPr>
                <w:sz w:val="19"/>
                <w:szCs w:val="19"/>
              </w:rPr>
              <w:t xml:space="preserve">-2.70 SD</w:t>
            </w:r>
          </w:p>
        </w:tc>
      </w:tr>
      <w:tr>
        <w:tc>
          <w:tcPr>
            <w:tcW w:type="dxa" w:w="2600"/>
            <w:shd w:fill="F5F8FB" w:val="clear"/>
            <w:tcMar>
              <w:top w:type="dxa" w:w="80"/>
              <w:left w:type="dxa" w:w="130"/>
              <w:bottom w:type="dxa" w:w="80"/>
              <w:right w:type="dxa" w:w="130"/>
            </w:tcMar>
          </w:tcPr>
          <w:p>
            <w:r>
              <w:rPr>
                <w:sz w:val="19"/>
                <w:szCs w:val="19"/>
              </w:rPr>
              <w:t xml:space="preserve">2020-03-23</w:t>
            </w:r>
          </w:p>
        </w:tc>
        <w:tc>
          <w:tcPr>
            <w:tcW w:type="dxa" w:w="3200"/>
            <w:shd w:fill="F5F8FB" w:val="clear"/>
            <w:tcMar>
              <w:top w:type="dxa" w:w="80"/>
              <w:left w:type="dxa" w:w="130"/>
              <w:bottom w:type="dxa" w:w="80"/>
              <w:right w:type="dxa" w:w="130"/>
            </w:tcMar>
          </w:tcPr>
          <w:p>
            <w:r>
              <w:rPr>
                <w:sz w:val="19"/>
                <w:szCs w:val="19"/>
              </w:rPr>
              <w:t xml:space="preserve">-38%</w:t>
            </w:r>
          </w:p>
        </w:tc>
        <w:tc>
          <w:tcPr>
            <w:tcW w:type="dxa" w:w="3200"/>
            <w:shd w:fill="F5F8FB" w:val="clear"/>
            <w:tcMar>
              <w:top w:type="dxa" w:w="80"/>
              <w:left w:type="dxa" w:w="130"/>
              <w:bottom w:type="dxa" w:w="80"/>
              <w:right w:type="dxa" w:w="130"/>
            </w:tcMar>
          </w:tcPr>
          <w:p>
            <w:r>
              <w:rPr>
                <w:sz w:val="19"/>
                <w:szCs w:val="19"/>
              </w:rPr>
              <w:t xml:space="preserve">-2.01 SD</w:t>
            </w:r>
          </w:p>
        </w:tc>
      </w:tr>
    </w:tbl>
    <w:p>
      <w:pPr>
        <w:spacing w:after="130" w:line="300"/>
      </w:pPr>
      <w:r>
        <w:t xml:space="preserve">The band half-width grew from 3.1 percent of price to 32.1 percent. During the worst crash in the dataset, a 2.5-sigma band flagged three days out of thirty, and at the minus 38 percent bottom price sat comfortably inside it. The relationship runs backwards for exactly the events that matter most, and unlike the slope_z case there is no fix available — the band IS the normaliser.</w:t>
      </w:r>
    </w:p>
    <w:p>
      <w:pPr>
        <w:spacing w:after="130" w:line="300"/>
      </w:pPr>
      <w:r>
        <w:t xml:space="preserve">To be fair to the method, it is not noise. Measured contemporaneously against sharp drops it reaches 33 percent precision at 2.5 sigma, and 70 percent recall at 1.5 sigma. It is a legitimate coincident detector of sudden drops. It fails specifically on SUSTAINED crashes, which is the failure mode a drawdown-focused strategy can least afford.</w:t>
      </w:r>
    </w:p>
    <w:p>
      <w:pPr>
        <w:pStyle w:val="Heading2"/>
        <w:spacing w:after="120" w:before="300"/>
      </w:pPr>
      <w:r>
        <w:t xml:space="preserve">6.2 As a feature — rejected</w:t>
      </w:r>
    </w:p>
    <w:p>
      <w:pPr>
        <w:spacing w:after="130" w:line="300"/>
      </w:pPr>
      <w:r>
        <w:t xml:space="preserve">Measured incremental value on the hold-out period: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00"/>
      </w:tblGrid>
      <w:tr>
        <w:trPr>
          <w:tblHeader/>
        </w:trPr>
        <w:tc>
          <w:tcPr>
            <w:tcW w:type="dxa" w:w="3600"/>
            <w:shd w:fill="1F4E79" w:val="clear"/>
            <w:tcMar>
              <w:top w:type="dxa" w:w="90"/>
              <w:left w:type="dxa" w:w="130"/>
              <w:bottom w:type="dxa" w:w="90"/>
              <w:right w:type="dxa" w:w="130"/>
            </w:tcMar>
          </w:tcPr>
          <w:p>
            <w:r>
              <w:rPr>
                <w:b/>
                <w:bCs/>
                <w:color w:val="FFFFFF"/>
                <w:sz w:val="19"/>
                <w:szCs w:val="19"/>
              </w:rPr>
              <w:t xml:space="preserve">Feature set</w:t>
            </w:r>
          </w:p>
        </w:tc>
        <w:tc>
          <w:tcPr>
            <w:tcW w:type="dxa" w:w="2400"/>
            <w:shd w:fill="1F4E79" w:val="clear"/>
            <w:tcMar>
              <w:top w:type="dxa" w:w="90"/>
              <w:left w:type="dxa" w:w="130"/>
              <w:bottom w:type="dxa" w:w="90"/>
              <w:right w:type="dxa" w:w="130"/>
            </w:tcMar>
          </w:tcPr>
          <w:p>
            <w:r>
              <w:rPr>
                <w:b/>
                <w:bCs/>
                <w:color w:val="FFFFFF"/>
                <w:sz w:val="19"/>
                <w:szCs w:val="19"/>
              </w:rPr>
              <w:t xml:space="preserve">AUC</w:t>
            </w:r>
          </w:p>
        </w:tc>
        <w:tc>
          <w:tcPr>
            <w:tcW w:type="dxa" w:w="3000"/>
            <w:shd w:fill="1F4E79" w:val="clear"/>
            <w:tcMar>
              <w:top w:type="dxa" w:w="90"/>
              <w:left w:type="dxa" w:w="130"/>
              <w:bottom w:type="dxa" w:w="90"/>
              <w:right w:type="dxa" w:w="130"/>
            </w:tcMar>
          </w:tcPr>
          <w:p>
            <w:r>
              <w:rPr>
                <w:b/>
                <w:bCs/>
                <w:color w:val="FFFFFF"/>
                <w:sz w:val="19"/>
                <w:szCs w:val="19"/>
              </w:rPr>
              <w:t xml:space="preserve">Precision at top 5%</w:t>
            </w:r>
          </w:p>
        </w:tc>
      </w:tr>
      <w:tr>
        <w:tc>
          <w:tcPr>
            <w:tcW w:type="dxa" w:w="3600"/>
            <w:shd w:fill="F5F8FB" w:val="clear"/>
            <w:tcMar>
              <w:top w:type="dxa" w:w="80"/>
              <w:left w:type="dxa" w:w="130"/>
              <w:bottom w:type="dxa" w:w="80"/>
              <w:right w:type="dxa" w:w="130"/>
            </w:tcMar>
          </w:tcPr>
          <w:p>
            <w:r>
              <w:rPr>
                <w:sz w:val="19"/>
                <w:szCs w:val="19"/>
              </w:rPr>
              <w:t xml:space="preserve">baseline, 10 features</w:t>
            </w:r>
          </w:p>
        </w:tc>
        <w:tc>
          <w:tcPr>
            <w:tcW w:type="dxa" w:w="2400"/>
            <w:shd w:fill="F5F8FB" w:val="clear"/>
            <w:tcMar>
              <w:top w:type="dxa" w:w="80"/>
              <w:left w:type="dxa" w:w="130"/>
              <w:bottom w:type="dxa" w:w="80"/>
              <w:right w:type="dxa" w:w="130"/>
            </w:tcMar>
          </w:tcPr>
          <w:p>
            <w:r>
              <w:rPr>
                <w:sz w:val="19"/>
                <w:szCs w:val="19"/>
              </w:rPr>
              <w:t xml:space="preserve">0.5300</w:t>
            </w:r>
          </w:p>
        </w:tc>
        <w:tc>
          <w:tcPr>
            <w:tcW w:type="dxa" w:w="3000"/>
            <w:shd w:fill="F5F8FB" w:val="clear"/>
            <w:tcMar>
              <w:top w:type="dxa" w:w="80"/>
              <w:left w:type="dxa" w:w="130"/>
              <w:bottom w:type="dxa" w:w="80"/>
              <w:right w:type="dxa" w:w="130"/>
            </w:tcMar>
          </w:tcPr>
          <w:p>
            <w:r>
              <w:rPr>
                <w:sz w:val="19"/>
                <w:szCs w:val="19"/>
              </w:rPr>
              <w:t xml:space="preserve">20.1%</w:t>
            </w:r>
          </w:p>
        </w:tc>
      </w:tr>
      <w:tr>
        <w:tc>
          <w:tcPr>
            <w:tcW w:type="dxa" w:w="3600"/>
            <w:shd w:fill="FFFFFF" w:val="clear"/>
            <w:tcMar>
              <w:top w:type="dxa" w:w="80"/>
              <w:left w:type="dxa" w:w="130"/>
              <w:bottom w:type="dxa" w:w="80"/>
              <w:right w:type="dxa" w:w="130"/>
            </w:tcMar>
          </w:tcPr>
          <w:p>
            <w:r>
              <w:rPr>
                <w:sz w:val="19"/>
                <w:szCs w:val="19"/>
              </w:rPr>
              <w:t xml:space="preserve">plus band position</w:t>
            </w:r>
          </w:p>
        </w:tc>
        <w:tc>
          <w:tcPr>
            <w:tcW w:type="dxa" w:w="2400"/>
            <w:shd w:fill="FFFFFF" w:val="clear"/>
            <w:tcMar>
              <w:top w:type="dxa" w:w="80"/>
              <w:left w:type="dxa" w:w="130"/>
              <w:bottom w:type="dxa" w:w="80"/>
              <w:right w:type="dxa" w:w="130"/>
            </w:tcMar>
          </w:tcPr>
          <w:p>
            <w:r>
              <w:rPr>
                <w:sz w:val="19"/>
                <w:szCs w:val="19"/>
              </w:rPr>
              <w:t xml:space="preserve">0.5300</w:t>
            </w:r>
          </w:p>
        </w:tc>
        <w:tc>
          <w:tcPr>
            <w:tcW w:type="dxa" w:w="3000"/>
            <w:shd w:fill="FFFFFF" w:val="clear"/>
            <w:tcMar>
              <w:top w:type="dxa" w:w="80"/>
              <w:left w:type="dxa" w:w="130"/>
              <w:bottom w:type="dxa" w:w="80"/>
              <w:right w:type="dxa" w:w="130"/>
            </w:tcMar>
          </w:tcPr>
          <w:p>
            <w:r>
              <w:rPr>
                <w:sz w:val="19"/>
                <w:szCs w:val="19"/>
              </w:rPr>
              <w:t xml:space="preserve">19.2%</w:t>
            </w:r>
          </w:p>
        </w:tc>
      </w:tr>
      <w:tr>
        <w:tc>
          <w:tcPr>
            <w:tcW w:type="dxa" w:w="3600"/>
            <w:shd w:fill="F5F8FB" w:val="clear"/>
            <w:tcMar>
              <w:top w:type="dxa" w:w="80"/>
              <w:left w:type="dxa" w:w="130"/>
              <w:bottom w:type="dxa" w:w="80"/>
              <w:right w:type="dxa" w:w="130"/>
            </w:tcMar>
          </w:tcPr>
          <w:p>
            <w:r>
              <w:rPr>
                <w:sz w:val="19"/>
                <w:szCs w:val="19"/>
              </w:rPr>
              <w:t xml:space="preserve">plus bandwidth</w:t>
            </w:r>
          </w:p>
        </w:tc>
        <w:tc>
          <w:tcPr>
            <w:tcW w:type="dxa" w:w="2400"/>
            <w:shd w:fill="F5F8FB" w:val="clear"/>
            <w:tcMar>
              <w:top w:type="dxa" w:w="80"/>
              <w:left w:type="dxa" w:w="130"/>
              <w:bottom w:type="dxa" w:w="80"/>
              <w:right w:type="dxa" w:w="130"/>
            </w:tcMar>
          </w:tcPr>
          <w:p>
            <w:r>
              <w:rPr>
                <w:sz w:val="19"/>
                <w:szCs w:val="19"/>
              </w:rPr>
              <w:t xml:space="preserve">0.5324</w:t>
            </w:r>
          </w:p>
        </w:tc>
        <w:tc>
          <w:tcPr>
            <w:tcW w:type="dxa" w:w="3000"/>
            <w:shd w:fill="F5F8FB" w:val="clear"/>
            <w:tcMar>
              <w:top w:type="dxa" w:w="80"/>
              <w:left w:type="dxa" w:w="130"/>
              <w:bottom w:type="dxa" w:w="80"/>
              <w:right w:type="dxa" w:w="130"/>
            </w:tcMar>
          </w:tcPr>
          <w:p>
            <w:r>
              <w:rPr>
                <w:sz w:val="19"/>
                <w:szCs w:val="19"/>
              </w:rPr>
              <w:t xml:space="preserve">21.4%</w:t>
            </w:r>
          </w:p>
        </w:tc>
      </w:tr>
      <w:tr>
        <w:tc>
          <w:tcPr>
            <w:tcW w:type="dxa" w:w="3600"/>
            <w:shd w:fill="FFFFFF" w:val="clear"/>
            <w:tcMar>
              <w:top w:type="dxa" w:w="80"/>
              <w:left w:type="dxa" w:w="130"/>
              <w:bottom w:type="dxa" w:w="80"/>
              <w:right w:type="dxa" w:w="130"/>
            </w:tcMar>
          </w:tcPr>
          <w:p>
            <w:r>
              <w:rPr>
                <w:sz w:val="19"/>
                <w:szCs w:val="19"/>
              </w:rPr>
              <w:t xml:space="preserve">plus both</w:t>
            </w:r>
          </w:p>
        </w:tc>
        <w:tc>
          <w:tcPr>
            <w:tcW w:type="dxa" w:w="2400"/>
            <w:shd w:fill="FFFFFF" w:val="clear"/>
            <w:tcMar>
              <w:top w:type="dxa" w:w="80"/>
              <w:left w:type="dxa" w:w="130"/>
              <w:bottom w:type="dxa" w:w="80"/>
              <w:right w:type="dxa" w:w="130"/>
            </w:tcMar>
          </w:tcPr>
          <w:p>
            <w:r>
              <w:rPr>
                <w:sz w:val="19"/>
                <w:szCs w:val="19"/>
              </w:rPr>
              <w:t xml:space="preserve">0.5348</w:t>
            </w:r>
          </w:p>
        </w:tc>
        <w:tc>
          <w:tcPr>
            <w:tcW w:type="dxa" w:w="3000"/>
            <w:shd w:fill="FFFFFF" w:val="clear"/>
            <w:tcMar>
              <w:top w:type="dxa" w:w="80"/>
              <w:left w:type="dxa" w:w="130"/>
              <w:bottom w:type="dxa" w:w="80"/>
              <w:right w:type="dxa" w:w="130"/>
            </w:tcMar>
          </w:tcPr>
          <w:p>
            <w:r>
              <w:rPr>
                <w:sz w:val="19"/>
                <w:szCs w:val="19"/>
              </w:rPr>
              <w:t xml:space="preserve">21.5%</w:t>
            </w:r>
          </w:p>
        </w:tc>
      </w:tr>
    </w:tbl>
    <w:p>
      <w:pPr>
        <w:spacing w:after="130" w:line="300"/>
      </w:pPr>
      <w:r>
        <w:t xml:space="preserve">Band position contributes exactly nothing on its own and slightly lowers precision. It correlates 0.69 with the downside asymmetry measure and 0.68 with slope, so it is largely a restatement of information already present. Bandwidth adds a marginal amount. Neither was judged to earn its place, and both were left out.</w:t>
      </w:r>
    </w:p>
    <w:p>
      <w:pPr>
        <w:pStyle w:val="Heading2"/>
        <w:spacing w:after="120" w:before="300"/>
      </w:pPr>
      <w:r>
        <w:t xml:space="preserve">6.3 What the investigation did settle</w:t>
      </w:r>
    </w:p>
    <w:p>
      <w:pPr>
        <w:spacing w:after="130" w:line="300"/>
      </w:pPr>
      <w:r>
        <w:t xml:space="preserve">The crash label stays defined on ABSOLUTE magnitude, never on band position. Drawdown is what hurts a portfolio, and it is absolute: losing thirty percent hurts identically whether it happened in a calm year or a wild one. Measured base rates on the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F4E79" w:val="clear"/>
            <w:tcMar>
              <w:top w:type="dxa" w:w="90"/>
              <w:left w:type="dxa" w:w="130"/>
              <w:bottom w:type="dxa" w:w="90"/>
              <w:right w:type="dxa" w:w="130"/>
            </w:tcMar>
          </w:tcPr>
          <w:p>
            <w:r>
              <w:rPr>
                <w:b/>
                <w:bCs/>
                <w:color w:val="FFFFFF"/>
                <w:sz w:val="19"/>
                <w:szCs w:val="19"/>
              </w:rPr>
              <w:t xml:space="preserve">Forward 5-day drawdown worse than</w:t>
            </w:r>
          </w:p>
        </w:tc>
        <w:tc>
          <w:tcPr>
            <w:tcW w:type="dxa" w:w="4000"/>
            <w:shd w:fill="1F4E79" w:val="clear"/>
            <w:tcMar>
              <w:top w:type="dxa" w:w="90"/>
              <w:left w:type="dxa" w:w="130"/>
              <w:bottom w:type="dxa" w:w="90"/>
              <w:right w:type="dxa" w:w="130"/>
            </w:tcMar>
          </w:tcPr>
          <w:p>
            <w:r>
              <w:rPr>
                <w:b/>
                <w:bCs/>
                <w:color w:val="FFFFFF"/>
                <w:sz w:val="19"/>
                <w:szCs w:val="19"/>
              </w:rPr>
              <w:t xml:space="preserve">Share of days</w:t>
            </w:r>
          </w:p>
        </w:tc>
      </w:tr>
      <w:tr>
        <w:tc>
          <w:tcPr>
            <w:tcW w:type="dxa" w:w="5000"/>
            <w:shd w:fill="F5F8FB" w:val="clear"/>
            <w:tcMar>
              <w:top w:type="dxa" w:w="80"/>
              <w:left w:type="dxa" w:w="130"/>
              <w:bottom w:type="dxa" w:w="80"/>
              <w:right w:type="dxa" w:w="130"/>
            </w:tcMar>
          </w:tcPr>
          <w:p>
            <w:r>
              <w:rPr>
                <w:sz w:val="19"/>
                <w:szCs w:val="19"/>
              </w:rPr>
              <w:t xml:space="preserve">-3%</w:t>
            </w:r>
          </w:p>
        </w:tc>
        <w:tc>
          <w:tcPr>
            <w:tcW w:type="dxa" w:w="4000"/>
            <w:shd w:fill="F5F8FB" w:val="clear"/>
            <w:tcMar>
              <w:top w:type="dxa" w:w="80"/>
              <w:left w:type="dxa" w:w="130"/>
              <w:bottom w:type="dxa" w:w="80"/>
              <w:right w:type="dxa" w:w="130"/>
            </w:tcMar>
          </w:tcPr>
          <w:p>
            <w:r>
              <w:rPr>
                <w:sz w:val="19"/>
                <w:szCs w:val="19"/>
              </w:rPr>
              <w:t xml:space="preserve">14.49%</w:t>
            </w:r>
          </w:p>
        </w:tc>
      </w:tr>
      <w:tr>
        <w:tc>
          <w:tcPr>
            <w:tcW w:type="dxa" w:w="5000"/>
            <w:shd w:fill="FFFFFF" w:val="clear"/>
            <w:tcMar>
              <w:top w:type="dxa" w:w="80"/>
              <w:left w:type="dxa" w:w="130"/>
              <w:bottom w:type="dxa" w:w="80"/>
              <w:right w:type="dxa" w:w="130"/>
            </w:tcMar>
          </w:tcPr>
          <w:p>
            <w:r>
              <w:rPr>
                <w:sz w:val="19"/>
                <w:szCs w:val="19"/>
              </w:rPr>
              <w:t xml:space="preserve">-5%</w:t>
            </w:r>
          </w:p>
        </w:tc>
        <w:tc>
          <w:tcPr>
            <w:tcW w:type="dxa" w:w="4000"/>
            <w:shd w:fill="FFFFFF" w:val="clear"/>
            <w:tcMar>
              <w:top w:type="dxa" w:w="80"/>
              <w:left w:type="dxa" w:w="130"/>
              <w:bottom w:type="dxa" w:w="80"/>
              <w:right w:type="dxa" w:w="130"/>
            </w:tcMar>
          </w:tcPr>
          <w:p>
            <w:r>
              <w:rPr>
                <w:sz w:val="19"/>
                <w:szCs w:val="19"/>
              </w:rPr>
              <w:t xml:space="preserve">5.44%</w:t>
            </w:r>
          </w:p>
        </w:tc>
      </w:tr>
      <w:tr>
        <w:tc>
          <w:tcPr>
            <w:tcW w:type="dxa" w:w="5000"/>
            <w:shd w:fill="F5F8FB" w:val="clear"/>
            <w:tcMar>
              <w:top w:type="dxa" w:w="80"/>
              <w:left w:type="dxa" w:w="130"/>
              <w:bottom w:type="dxa" w:w="80"/>
              <w:right w:type="dxa" w:w="130"/>
            </w:tcMar>
          </w:tcPr>
          <w:p>
            <w:r>
              <w:rPr>
                <w:sz w:val="19"/>
                <w:szCs w:val="19"/>
              </w:rPr>
              <w:t xml:space="preserve">-6%</w:t>
            </w:r>
          </w:p>
        </w:tc>
        <w:tc>
          <w:tcPr>
            <w:tcW w:type="dxa" w:w="4000"/>
            <w:shd w:fill="F5F8FB" w:val="clear"/>
            <w:tcMar>
              <w:top w:type="dxa" w:w="80"/>
              <w:left w:type="dxa" w:w="130"/>
              <w:bottom w:type="dxa" w:w="80"/>
              <w:right w:type="dxa" w:w="130"/>
            </w:tcMar>
          </w:tcPr>
          <w:p>
            <w:r>
              <w:rPr>
                <w:sz w:val="19"/>
                <w:szCs w:val="19"/>
              </w:rPr>
              <w:t xml:space="preserve">3.27%</w:t>
            </w:r>
          </w:p>
        </w:tc>
      </w:tr>
      <w:tr>
        <w:tc>
          <w:tcPr>
            <w:tcW w:type="dxa" w:w="5000"/>
            <w:shd w:fill="FFFFFF" w:val="clear"/>
            <w:tcMar>
              <w:top w:type="dxa" w:w="80"/>
              <w:left w:type="dxa" w:w="130"/>
              <w:bottom w:type="dxa" w:w="80"/>
              <w:right w:type="dxa" w:w="130"/>
            </w:tcMar>
          </w:tcPr>
          <w:p>
            <w:r>
              <w:rPr>
                <w:sz w:val="19"/>
                <w:szCs w:val="19"/>
              </w:rPr>
              <w:t xml:space="preserve">-10%</w:t>
            </w:r>
          </w:p>
        </w:tc>
        <w:tc>
          <w:tcPr>
            <w:tcW w:type="dxa" w:w="4000"/>
            <w:shd w:fill="FFFFFF" w:val="clear"/>
            <w:tcMar>
              <w:top w:type="dxa" w:w="80"/>
              <w:left w:type="dxa" w:w="130"/>
              <w:bottom w:type="dxa" w:w="80"/>
              <w:right w:type="dxa" w:w="130"/>
            </w:tcMar>
          </w:tcPr>
          <w:p>
            <w:r>
              <w:rPr>
                <w:sz w:val="19"/>
                <w:szCs w:val="19"/>
              </w:rPr>
              <w:t xml:space="preserve">0.85%</w:t>
            </w:r>
          </w:p>
        </w:tc>
      </w:tr>
    </w:tbl>
    <w:p>
      <w:pPr>
        <w:spacing w:after="130" w:line="300"/>
      </w:pPr>
      <w:r>
        <w:t xml:space="preserve">A minus five percent threshold occurs on 5.44 percent of days, which happens to align almost exactly with the five percent anomaly rate conventionally quoted for this kind of model. That agreement is a useful cross-check on both numbers.</w:t>
      </w:r>
    </w:p>
    <w:p>
      <w:r>
        <w:br w:type="page"/>
      </w:r>
    </w:p>
    <w:p>
      <w:pPr>
        <w:pStyle w:val="Heading1"/>
        <w:spacing w:after="160" w:before="360"/>
      </w:pPr>
      <w:r>
        <w:t xml:space="preserve">7. A note on contamination</w:t>
      </w:r>
    </w:p>
    <w:p>
      <w:pPr>
        <w:spacing w:after="130" w:line="300"/>
      </w:pPr>
      <w:r>
        <w:t xml:space="preserve">Isolation Forest exposes a contamination parameter, usually described as the expected proportion of anomalies. It is natural to reach for it and set it to five percent.</w:t>
      </w:r>
    </w:p>
    <w:p>
      <w:pPr>
        <w:spacing w:after="130" w:line="300"/>
      </w:pPr>
      <w:r>
        <w:t xml:space="preserve">Measured across values from 0.001 to 0.2, the raw anomaly scores are bit-for-bit identical. Contamination does not affect tree building at all. It sets only an internal offset used to convert scores into a binary in-or-out label.</w:t>
      </w:r>
    </w:p>
    <w:p>
      <w:pPr>
        <w:spacing w:after="130" w:line="300"/>
      </w:pPr>
      <w:r>
        <w:t xml:space="preserve">This pipeline never uses that binary label. Intensity is the raw score mapped through the </w:t>
      </w:r>
      <w:r>
        <w:rPr>
          <w:b/>
          <w:bCs/>
        </w:rPr>
        <w:t xml:space="preserve">training-set empirical distribution</w:t>
      </w:r>
      <w:r>
        <w:t xml:space="preserve">, so contamination never enters the calculation. That is deliberate: setting contamination amounts to asserting how much of history was a crash, which is a guess you would then be scored against. A measured percentile replaces the guess.</w:t>
      </w:r>
    </w:p>
    <w:p>
      <w:pPr>
        <w:spacing w:after="130" w:line="300"/>
      </w:pPr>
      <w:r>
        <w:t xml:space="preserve">The five percent intuition is still useful — it just belongs to the intensity THRESHOLD rather than to the model. An intensity cut at 0.95 means acting on the most unusual five percent of days; a cut at 0.99, the most unusual one percent.</w:t>
      </w:r>
    </w:p>
    <w:p>
      <w:pPr>
        <w:pStyle w:val="Heading1"/>
        <w:spacing w:after="160" w:before="360"/>
      </w:pPr>
      <w:r>
        <w:t xml:space="preserve">8. Tests</w:t>
      </w:r>
    </w:p>
    <w:p>
      <w:pPr>
        <w:spacing w:after="130" w:line="300"/>
      </w:pPr>
      <w:r>
        <w:t xml:space="preserve">71 passing. What matters is what they prove.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1F4E79" w:val="clear"/>
            <w:tcMar>
              <w:top w:type="dxa" w:w="90"/>
              <w:left w:type="dxa" w:w="130"/>
              <w:bottom w:type="dxa" w:w="90"/>
              <w:right w:type="dxa" w:w="130"/>
            </w:tcMar>
          </w:tcPr>
          <w:p>
            <w:r>
              <w:rPr>
                <w:b/>
                <w:bCs/>
                <w:color w:val="FFFFFF"/>
                <w:sz w:val="19"/>
                <w:szCs w:val="19"/>
              </w:rPr>
              <w:t xml:space="preserve">Group</w:t>
            </w:r>
          </w:p>
        </w:tc>
        <w:tc>
          <w:tcPr>
            <w:tcW w:type="dxa" w:w="6100"/>
            <w:shd w:fill="1F4E79" w:val="clear"/>
            <w:tcMar>
              <w:top w:type="dxa" w:w="90"/>
              <w:left w:type="dxa" w:w="130"/>
              <w:bottom w:type="dxa" w:w="90"/>
              <w:right w:type="dxa" w:w="130"/>
            </w:tcMar>
          </w:tcPr>
          <w:p>
            <w:r>
              <w:rPr>
                <w:b/>
                <w:bCs/>
                <w:color w:val="FFFFFF"/>
                <w:sz w:val="19"/>
                <w:szCs w:val="19"/>
              </w:rPr>
              <w:t xml:space="preserve">Proves</w:t>
            </w:r>
          </w:p>
        </w:tc>
      </w:tr>
      <w:tr>
        <w:tc>
          <w:tcPr>
            <w:tcW w:type="dxa" w:w="2900"/>
            <w:shd w:fill="F5F8FB" w:val="clear"/>
            <w:tcMar>
              <w:top w:type="dxa" w:w="80"/>
              <w:left w:type="dxa" w:w="130"/>
              <w:bottom w:type="dxa" w:w="80"/>
              <w:right w:type="dxa" w:w="130"/>
            </w:tcMar>
          </w:tcPr>
          <w:p>
            <w:r>
              <w:rPr>
                <w:sz w:val="19"/>
                <w:szCs w:val="19"/>
              </w:rPr>
              <w:t xml:space="preserve">Future perturbation</w:t>
            </w:r>
          </w:p>
        </w:tc>
        <w:tc>
          <w:tcPr>
            <w:tcW w:type="dxa" w:w="6100"/>
            <w:shd w:fill="F5F8FB" w:val="clear"/>
            <w:tcMar>
              <w:top w:type="dxa" w:w="80"/>
              <w:left w:type="dxa" w:w="130"/>
              <w:bottom w:type="dxa" w:w="80"/>
              <w:right w:type="dxa" w:w="130"/>
            </w:tcMar>
          </w:tcPr>
          <w:p>
            <w:r>
              <w:rPr>
                <w:sz w:val="19"/>
                <w:szCs w:val="19"/>
              </w:rPr>
              <w:t xml:space="preserve">Rewriting the future leaves every earlier feature bit-identical</w:t>
            </w:r>
          </w:p>
        </w:tc>
      </w:tr>
      <w:tr>
        <w:tc>
          <w:tcPr>
            <w:tcW w:type="dxa" w:w="2900"/>
            <w:shd w:fill="FFFFFF" w:val="clear"/>
            <w:tcMar>
              <w:top w:type="dxa" w:w="80"/>
              <w:left w:type="dxa" w:w="130"/>
              <w:bottom w:type="dxa" w:w="80"/>
              <w:right w:type="dxa" w:w="130"/>
            </w:tcMar>
          </w:tcPr>
          <w:p>
            <w:r>
              <w:rPr>
                <w:sz w:val="19"/>
                <w:szCs w:val="19"/>
              </w:rPr>
              <w:t xml:space="preserve">Streaming equals batch</w:t>
            </w:r>
          </w:p>
        </w:tc>
        <w:tc>
          <w:tcPr>
            <w:tcW w:type="dxa" w:w="6100"/>
            <w:shd w:fill="FFFFFF" w:val="clear"/>
            <w:tcMar>
              <w:top w:type="dxa" w:w="80"/>
              <w:left w:type="dxa" w:w="130"/>
              <w:bottom w:type="dxa" w:w="80"/>
              <w:right w:type="dxa" w:w="130"/>
            </w:tcMar>
          </w:tcPr>
          <w:p>
            <w:r>
              <w:rPr>
                <w:sz w:val="19"/>
                <w:szCs w:val="19"/>
              </w:rPr>
              <w:t xml:space="preserve">Day-by-day computation reproduces the batch result — the live-trading contract</w:t>
            </w:r>
          </w:p>
        </w:tc>
      </w:tr>
      <w:tr>
        <w:tc>
          <w:tcPr>
            <w:tcW w:type="dxa" w:w="2900"/>
            <w:shd w:fill="F5F8FB" w:val="clear"/>
            <w:tcMar>
              <w:top w:type="dxa" w:w="80"/>
              <w:left w:type="dxa" w:w="130"/>
              <w:bottom w:type="dxa" w:w="80"/>
              <w:right w:type="dxa" w:w="130"/>
            </w:tcMar>
          </w:tcPr>
          <w:p>
            <w:r>
              <w:rPr>
                <w:sz w:val="19"/>
                <w:szCs w:val="19"/>
              </w:rPr>
              <w:t xml:space="preserve">No same-day return</w:t>
            </w:r>
          </w:p>
        </w:tc>
        <w:tc>
          <w:tcPr>
            <w:tcW w:type="dxa" w:w="6100"/>
            <w:shd w:fill="F5F8FB" w:val="clear"/>
            <w:tcMar>
              <w:top w:type="dxa" w:w="80"/>
              <w:left w:type="dxa" w:w="130"/>
              <w:bottom w:type="dxa" w:w="80"/>
              <w:right w:type="dxa" w:w="130"/>
            </w:tcMar>
          </w:tcPr>
          <w:p>
            <w:r>
              <w:rPr>
                <w:sz w:val="19"/>
                <w:szCs w:val="19"/>
              </w:rPr>
              <w:t xml:space="preserve">ret_1d cannot leak into the model</w:t>
            </w:r>
          </w:p>
        </w:tc>
      </w:tr>
      <w:tr>
        <w:tc>
          <w:tcPr>
            <w:tcW w:type="dxa" w:w="2900"/>
            <w:shd w:fill="FFFFFF" w:val="clear"/>
            <w:tcMar>
              <w:top w:type="dxa" w:w="80"/>
              <w:left w:type="dxa" w:w="130"/>
              <w:bottom w:type="dxa" w:w="80"/>
              <w:right w:type="dxa" w:w="130"/>
            </w:tcMar>
          </w:tcPr>
          <w:p>
            <w:r>
              <w:rPr>
                <w:sz w:val="19"/>
                <w:szCs w:val="19"/>
              </w:rPr>
              <w:t xml:space="preserve">Correlation shortcut</w:t>
            </w:r>
          </w:p>
        </w:tc>
        <w:tc>
          <w:tcPr>
            <w:tcW w:type="dxa" w:w="6100"/>
            <w:shd w:fill="FFFFFF" w:val="clear"/>
            <w:tcMar>
              <w:top w:type="dxa" w:w="80"/>
              <w:left w:type="dxa" w:w="130"/>
              <w:bottom w:type="dxa" w:w="80"/>
              <w:right w:type="dxa" w:w="130"/>
            </w:tcMar>
          </w:tcPr>
          <w:p>
            <w:r>
              <w:rPr>
                <w:sz w:val="19"/>
                <w:szCs w:val="19"/>
              </w:rPr>
              <w:t xml:space="preserve">The O(N) form tracks the direct O(N-squared) computation</w:t>
            </w:r>
          </w:p>
        </w:tc>
      </w:tr>
      <w:tr>
        <w:tc>
          <w:tcPr>
            <w:tcW w:type="dxa" w:w="2900"/>
            <w:shd w:fill="F5F8FB" w:val="clear"/>
            <w:tcMar>
              <w:top w:type="dxa" w:w="80"/>
              <w:left w:type="dxa" w:w="130"/>
              <w:bottom w:type="dxa" w:w="80"/>
              <w:right w:type="dxa" w:w="130"/>
            </w:tcMar>
          </w:tcPr>
          <w:p>
            <w:r>
              <w:rPr>
                <w:sz w:val="19"/>
                <w:szCs w:val="19"/>
              </w:rPr>
              <w:t xml:space="preserve">Flat-bar masking</w:t>
            </w:r>
          </w:p>
        </w:tc>
        <w:tc>
          <w:tcPr>
            <w:tcW w:type="dxa" w:w="6100"/>
            <w:shd w:fill="F5F8FB" w:val="clear"/>
            <w:tcMar>
              <w:top w:type="dxa" w:w="80"/>
              <w:left w:type="dxa" w:w="130"/>
              <w:bottom w:type="dxa" w:w="80"/>
              <w:right w:type="dxa" w:w="130"/>
            </w:tcMar>
          </w:tcPr>
          <w:p>
            <w:r>
              <w:rPr>
                <w:sz w:val="19"/>
                <w:szCs w:val="19"/>
              </w:rPr>
              <w:t xml:space="preserve">Zero-range bars are excluded from range features</w:t>
            </w:r>
          </w:p>
        </w:tc>
      </w:tr>
      <w:tr>
        <w:tc>
          <w:tcPr>
            <w:tcW w:type="dxa" w:w="2900"/>
            <w:shd w:fill="FFFFFF" w:val="clear"/>
            <w:tcMar>
              <w:top w:type="dxa" w:w="80"/>
              <w:left w:type="dxa" w:w="130"/>
              <w:bottom w:type="dxa" w:w="80"/>
              <w:right w:type="dxa" w:w="130"/>
            </w:tcMar>
          </w:tcPr>
          <w:p>
            <w:r>
              <w:rPr>
                <w:sz w:val="19"/>
                <w:szCs w:val="19"/>
              </w:rPr>
              <w:t xml:space="preserve">Asymmetry defined</w:t>
            </w:r>
          </w:p>
        </w:tc>
        <w:tc>
          <w:tcPr>
            <w:tcW w:type="dxa" w:w="6100"/>
            <w:shd w:fill="FFFFFF" w:val="clear"/>
            <w:tcMar>
              <w:top w:type="dxa" w:w="80"/>
              <w:left w:type="dxa" w:w="130"/>
              <w:bottom w:type="dxa" w:w="80"/>
              <w:right w:type="dxa" w:w="130"/>
            </w:tcMar>
          </w:tcPr>
          <w:p>
            <w:r>
              <w:rPr>
                <w:sz w:val="19"/>
                <w:szCs w:val="19"/>
              </w:rPr>
              <w:t xml:space="preserve">The bounded form survives a window with no up days</w:t>
            </w:r>
          </w:p>
        </w:tc>
      </w:tr>
      <w:tr>
        <w:tc>
          <w:tcPr>
            <w:tcW w:type="dxa" w:w="2900"/>
            <w:shd w:fill="F5F8FB" w:val="clear"/>
            <w:tcMar>
              <w:top w:type="dxa" w:w="80"/>
              <w:left w:type="dxa" w:w="130"/>
              <w:bottom w:type="dxa" w:w="80"/>
              <w:right w:type="dxa" w:w="130"/>
            </w:tcMar>
          </w:tcPr>
          <w:p>
            <w:r>
              <w:rPr>
                <w:sz w:val="19"/>
                <w:szCs w:val="19"/>
              </w:rPr>
              <w:t xml:space="preserve">Volatility transition</w:t>
            </w:r>
          </w:p>
        </w:tc>
        <w:tc>
          <w:tcPr>
            <w:tcW w:type="dxa" w:w="6100"/>
            <w:shd w:fill="F5F8FB" w:val="clear"/>
            <w:tcMar>
              <w:top w:type="dxa" w:w="80"/>
              <w:left w:type="dxa" w:w="130"/>
              <w:bottom w:type="dxa" w:w="80"/>
              <w:right w:type="dxa" w:w="130"/>
            </w:tcMar>
          </w:tcPr>
          <w:p>
            <w:r>
              <w:rPr>
                <w:sz w:val="19"/>
                <w:szCs w:val="19"/>
              </w:rPr>
              <w:t xml:space="preserve">vol_ratio spikes at a regime change</w:t>
            </w:r>
          </w:p>
        </w:tc>
      </w:tr>
      <w:tr>
        <w:tc>
          <w:tcPr>
            <w:tcW w:type="dxa" w:w="2900"/>
            <w:shd w:fill="FFFFFF" w:val="clear"/>
            <w:tcMar>
              <w:top w:type="dxa" w:w="80"/>
              <w:left w:type="dxa" w:w="130"/>
              <w:bottom w:type="dxa" w:w="80"/>
              <w:right w:type="dxa" w:w="130"/>
            </w:tcMar>
          </w:tcPr>
          <w:p>
            <w:r>
              <w:rPr>
                <w:sz w:val="19"/>
                <w:szCs w:val="19"/>
              </w:rPr>
              <w:t xml:space="preserve">Listing mask</w:t>
            </w:r>
          </w:p>
        </w:tc>
        <w:tc>
          <w:tcPr>
            <w:tcW w:type="dxa" w:w="6100"/>
            <w:shd w:fill="FFFFFF" w:val="clear"/>
            <w:tcMar>
              <w:top w:type="dxa" w:w="80"/>
              <w:left w:type="dxa" w:w="130"/>
              <w:bottom w:type="dxa" w:w="80"/>
              <w:right w:type="dxa" w:w="130"/>
            </w:tcMar>
          </w:tcPr>
          <w:p>
            <w:r>
              <w:rPr>
                <w:sz w:val="19"/>
                <w:szCs w:val="19"/>
              </w:rPr>
              <w:t xml:space="preserve">Breadth counts only companies that existed</w:t>
            </w:r>
          </w:p>
        </w:tc>
      </w:tr>
      <w:tr>
        <w:tc>
          <w:tcPr>
            <w:tcW w:type="dxa" w:w="2900"/>
            <w:shd w:fill="F5F8FB" w:val="clear"/>
            <w:tcMar>
              <w:top w:type="dxa" w:w="80"/>
              <w:left w:type="dxa" w:w="130"/>
              <w:bottom w:type="dxa" w:w="80"/>
              <w:right w:type="dxa" w:w="130"/>
            </w:tcMar>
          </w:tcPr>
          <w:p>
            <w:r>
              <w:rPr>
                <w:sz w:val="19"/>
                <w:szCs w:val="19"/>
              </w:rPr>
              <w:t xml:space="preserve">No infinities</w:t>
            </w:r>
          </w:p>
        </w:tc>
        <w:tc>
          <w:tcPr>
            <w:tcW w:type="dxa" w:w="6100"/>
            <w:shd w:fill="F5F8FB" w:val="clear"/>
            <w:tcMar>
              <w:top w:type="dxa" w:w="80"/>
              <w:left w:type="dxa" w:w="130"/>
              <w:bottom w:type="dxa" w:w="80"/>
              <w:right w:type="dxa" w:w="130"/>
            </w:tcMar>
          </w:tcPr>
          <w:p>
            <w:r>
              <w:rPr>
                <w:sz w:val="19"/>
                <w:szCs w:val="19"/>
              </w:rPr>
              <w:t xml:space="preserve">A single infinity would make every finite value look identical</w:t>
            </w:r>
          </w:p>
        </w:tc>
      </w:tr>
    </w:tbl>
    <w:p>
      <w:r>
        <w:br w:type="page"/>
      </w:r>
    </w:p>
    <w:p>
      <w:pPr>
        <w:pStyle w:val="Heading1"/>
        <w:spacing w:after="160" w:before="360"/>
      </w:pPr>
      <w:r>
        <w:t xml:space="preserve">9. Results</w:t>
      </w:r>
    </w:p>
    <w:p>
      <w:pPr>
        <w:shd w:fill="F2F2F2" w:val="clear"/>
        <w:spacing w:after="0" w:before="70"/>
        <w:ind w:left="240"/>
      </w:pPr>
      <w:r>
        <w:rPr>
          <w:rFonts w:ascii="Consolas" w:cs="Consolas" w:eastAsia="Consolas" w:hAnsi="Consolas"/>
          <w:sz w:val="18"/>
          <w:szCs w:val="18"/>
        </w:rPr>
        <w:t xml:space="preserve">per-stock: 468,266 symbol-days x 10 model features</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  vol_ratio           99.8% non-null</w:t>
      </w:r>
    </w:p>
    <w:p>
      <w:pPr>
        <w:shd w:fill="F2F2F2" w:val="clear"/>
        <w:spacing w:after="0" w:before="0"/>
        <w:ind w:left="240"/>
      </w:pPr>
      <w:r>
        <w:rPr>
          <w:rFonts w:ascii="Consolas" w:cs="Consolas" w:eastAsia="Consolas" w:hAnsi="Consolas"/>
          <w:sz w:val="18"/>
          <w:szCs w:val="18"/>
        </w:rPr>
        <w:t xml:space="preserve">  vol_of_vol          99.7% non-null</w:t>
      </w:r>
    </w:p>
    <w:p>
      <w:pPr>
        <w:shd w:fill="F2F2F2" w:val="clear"/>
        <w:spacing w:after="0" w:before="0"/>
        <w:ind w:left="240"/>
      </w:pPr>
      <w:r>
        <w:rPr>
          <w:rFonts w:ascii="Consolas" w:cs="Consolas" w:eastAsia="Consolas" w:hAnsi="Consolas"/>
          <w:sz w:val="18"/>
          <w:szCs w:val="18"/>
        </w:rPr>
        <w:t xml:space="preserve">  semidev_asym        99.9% non-null</w:t>
      </w:r>
    </w:p>
    <w:p>
      <w:pPr>
        <w:shd w:fill="F2F2F2" w:val="clear"/>
        <w:spacing w:after="0" w:before="0"/>
        <w:ind w:left="240"/>
      </w:pPr>
      <w:r>
        <w:rPr>
          <w:rFonts w:ascii="Consolas" w:cs="Consolas" w:eastAsia="Consolas" w:hAnsi="Consolas"/>
          <w:sz w:val="18"/>
          <w:szCs w:val="18"/>
        </w:rPr>
        <w:t xml:space="preserve">  volume_z            99.9% non-null</w:t>
      </w:r>
    </w:p>
    <w:p>
      <w:pPr>
        <w:shd w:fill="F2F2F2" w:val="clear"/>
        <w:spacing w:after="0" w:before="0"/>
        <w:ind w:left="240"/>
      </w:pPr>
      <w:r>
        <w:rPr>
          <w:rFonts w:ascii="Consolas" w:cs="Consolas" w:eastAsia="Consolas" w:hAnsi="Consolas"/>
          <w:sz w:val="18"/>
          <w:szCs w:val="18"/>
        </w:rPr>
        <w:t xml:space="preserve">  range_expansion     98.6% non-null</w:t>
      </w:r>
    </w:p>
    <w:p>
      <w:pPr>
        <w:shd w:fill="F2F2F2" w:val="clear"/>
        <w:spacing w:after="0" w:before="0"/>
        <w:ind w:left="240"/>
      </w:pPr>
      <w:r>
        <w:rPr>
          <w:rFonts w:ascii="Consolas" w:cs="Consolas" w:eastAsia="Consolas" w:hAnsi="Consolas"/>
          <w:sz w:val="18"/>
          <w:szCs w:val="18"/>
        </w:rPr>
        <w:t xml:space="preserve">  gap_freq            99.9% non-null</w:t>
      </w:r>
    </w:p>
    <w:p>
      <w:pPr>
        <w:shd w:fill="F2F2F2" w:val="clear"/>
        <w:spacing w:after="0" w:before="0"/>
        <w:ind w:left="240"/>
      </w:pPr>
      <w:r>
        <w:rPr>
          <w:rFonts w:ascii="Consolas" w:cs="Consolas" w:eastAsia="Consolas" w:hAnsi="Consolas"/>
          <w:sz w:val="18"/>
          <w:szCs w:val="18"/>
        </w:rPr>
        <w:t xml:space="preserve">  illiquidity         99.9% non-null</w:t>
      </w:r>
    </w:p>
    <w:p>
      <w:pPr>
        <w:shd w:fill="F2F2F2" w:val="clear"/>
        <w:spacing w:after="0" w:before="0"/>
        <w:ind w:left="240"/>
      </w:pPr>
      <w:r>
        <w:rPr>
          <w:rFonts w:ascii="Consolas" w:cs="Consolas" w:eastAsia="Consolas" w:hAnsi="Consolas"/>
          <w:sz w:val="18"/>
          <w:szCs w:val="18"/>
        </w:rPr>
        <w:t xml:space="preserve">  dd_from_high        99.9% non-null</w:t>
      </w:r>
    </w:p>
    <w:p>
      <w:pPr>
        <w:shd w:fill="F2F2F2" w:val="clear"/>
        <w:spacing w:after="0" w:before="0"/>
        <w:ind w:left="240"/>
      </w:pPr>
      <w:r>
        <w:rPr>
          <w:rFonts w:ascii="Consolas" w:cs="Consolas" w:eastAsia="Consolas" w:hAnsi="Consolas"/>
          <w:sz w:val="18"/>
          <w:szCs w:val="18"/>
        </w:rPr>
        <w:t xml:space="preserve">  slope_z             99.7% non-null</w:t>
      </w:r>
    </w:p>
    <w:p>
      <w:pPr>
        <w:shd w:fill="F2F2F2" w:val="clear"/>
        <w:spacing w:after="0" w:before="0"/>
        <w:ind w:left="240"/>
      </w:pPr>
      <w:r>
        <w:rPr>
          <w:rFonts w:ascii="Consolas" w:cs="Consolas" w:eastAsia="Consolas" w:hAnsi="Consolas"/>
          <w:sz w:val="18"/>
          <w:szCs w:val="18"/>
        </w:rPr>
        <w:t xml:space="preserve">  accel_z             99.7% non-null</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cross-sectional (2016 onward), median / p1 / p99:</w:t>
      </w:r>
    </w:p>
    <w:p>
      <w:pPr>
        <w:shd w:fill="F2F2F2" w:val="clear"/>
        <w:spacing w:after="0" w:before="0"/>
        <w:ind w:left="240"/>
      </w:pPr>
      <w:r>
        <w:rPr>
          <w:rFonts w:ascii="Consolas" w:cs="Consolas" w:eastAsia="Consolas" w:hAnsi="Consolas"/>
          <w:sz w:val="18"/>
          <w:szCs w:val="18"/>
        </w:rPr>
        <w:t xml:space="preserve">  breadth_decline    19.10    1.04   77.95</w:t>
      </w:r>
    </w:p>
    <w:p>
      <w:pPr>
        <w:shd w:fill="F2F2F2" w:val="clear"/>
        <w:spacing w:after="0" w:before="0"/>
        <w:ind w:left="240"/>
      </w:pPr>
      <w:r>
        <w:rPr>
          <w:rFonts w:ascii="Consolas" w:cs="Consolas" w:eastAsia="Consolas" w:hAnsi="Consolas"/>
          <w:sz w:val="18"/>
          <w:szCs w:val="18"/>
        </w:rPr>
        <w:t xml:space="preserve">  median_slope_z      0.04   -0.78    0.64</w:t>
      </w:r>
    </w:p>
    <w:p>
      <w:pPr>
        <w:shd w:fill="F2F2F2" w:val="clear"/>
        <w:spacing w:after="0" w:before="0"/>
        <w:ind w:left="240"/>
      </w:pPr>
      <w:r>
        <w:rPr>
          <w:rFonts w:ascii="Consolas" w:cs="Consolas" w:eastAsia="Consolas" w:hAnsi="Consolas"/>
          <w:sz w:val="18"/>
          <w:szCs w:val="18"/>
        </w:rPr>
        <w:t xml:space="preserve">  dispersion          1.64    0.94    3.39</w:t>
      </w:r>
    </w:p>
    <w:p>
      <w:pPr>
        <w:shd w:fill="F2F2F2" w:val="clear"/>
        <w:spacing w:after="0" w:before="0"/>
        <w:ind w:left="240"/>
      </w:pPr>
      <w:r>
        <w:rPr>
          <w:rFonts w:ascii="Consolas" w:cs="Consolas" w:eastAsia="Consolas" w:hAnsi="Consolas"/>
          <w:sz w:val="18"/>
          <w:szCs w:val="18"/>
        </w:rPr>
        <w:t xml:space="preserve">  avg_corr            0.24    0.11    0.48</w:t>
      </w:r>
    </w:p>
    <w:p>
      <w:pPr>
        <w:shd w:fill="F2F2F2" w:val="clear"/>
        <w:spacing w:after="170" w:before="0"/>
        <w:ind w:left="240"/>
      </w:pPr>
      <w:r>
        <w:rPr>
          <w:rFonts w:ascii="Consolas" w:cs="Consolas" w:eastAsia="Consolas" w:hAnsi="Consolas"/>
          <w:sz w:val="18"/>
          <w:szCs w:val="18"/>
        </w:rPr>
        <w:t xml:space="preserve">  pct_below_ma50     39.29    3.16   92.13</w:t>
      </w:r>
    </w:p>
    <w:p>
      <w:pPr>
        <w:pStyle w:val="Heading1"/>
        <w:spacing w:after="160" w:before="360"/>
      </w:pPr>
      <w:r>
        <w:t xml:space="preserve">10. Known limitations</w:t>
      </w:r>
    </w:p>
    <w:p>
      <w:pPr>
        <w:pStyle w:val="ListParagraph"/>
        <w:numPr>
          <w:ilvl w:val="0"/>
          <w:numId w:val="2"/>
        </w:numPr>
        <w:spacing w:after="80" w:line="290"/>
      </w:pPr>
      <w:r>
        <w:t xml:space="preserve">Predictive power is modest and unproven. The strongest rule reaches 3.91 times base rate, on 107 observations that are heavily overlapping — the same market event appears across many correlated stocks on the same day, so the effective independent sample is far smaller than the count suggests.</w:t>
      </w:r>
    </w:p>
    <w:p>
      <w:pPr>
        <w:pStyle w:val="ListParagraph"/>
        <w:numPr>
          <w:ilvl w:val="0"/>
          <w:numId w:val="2"/>
        </w:numPr>
        <w:spacing w:after="80" w:line="290"/>
      </w:pPr>
      <w:r>
        <w:t xml:space="preserve">The leading-feature thesis is not yet demonstrated. Features were chosen because there are good reasons they should lead. Whether they actually do is what Phase 4 measures, and the market-level probe gives grounds for caution.</w:t>
      </w:r>
    </w:p>
    <w:p>
      <w:pPr>
        <w:pStyle w:val="ListParagraph"/>
        <w:numPr>
          <w:ilvl w:val="0"/>
          <w:numId w:val="2"/>
        </w:numPr>
        <w:spacing w:after="80" w:line="290"/>
      </w:pPr>
      <w:r>
        <w:t xml:space="preserve">Pre-crash markets look calmer and stronger than average. Median slope is positive ten days before an onset. Crashes here begin from strength, not from visible weakness, which complicates the premise that stress accumulates visibly beforehand.</w:t>
      </w:r>
    </w:p>
    <w:p>
      <w:pPr>
        <w:pStyle w:val="ListParagraph"/>
        <w:numPr>
          <w:ilvl w:val="0"/>
          <w:numId w:val="2"/>
        </w:numPr>
        <w:spacing w:after="80" w:line="290"/>
      </w:pPr>
      <w:r>
        <w:t xml:space="preserve">The correlation shortcut assumes homogeneous correlations and roughly stable membership within each window. It tracks the true average closely, but it is an approximation.</w:t>
      </w:r>
    </w:p>
    <w:p>
      <w:pPr>
        <w:pStyle w:val="ListParagraph"/>
        <w:numPr>
          <w:ilvl w:val="0"/>
          <w:numId w:val="2"/>
        </w:numPr>
        <w:spacing w:after="80" w:line="290"/>
      </w:pPr>
      <w:r>
        <w:t xml:space="preserve">Feature parameters — 5, 20 and 60-day windows, the 20-day volatility lag — are conventional choices, not optimised. Optimising them against the hold-out would be a form of look-ahead.</w:t>
      </w:r>
    </w:p>
    <w:p>
      <w:pPr>
        <w:pStyle w:val="Heading1"/>
        <w:spacing w:after="160" w:before="360"/>
      </w:pPr>
      <w:r>
        <w:t xml:space="preserve">11. Handoff to Phase 3</w:t>
      </w:r>
    </w:p>
    <w:p>
      <w:pPr>
        <w:spacing w:after="130" w:line="300"/>
      </w:pPr>
      <w:r>
        <w:t xml:space="preserve">Phase 3 fits Isolation Forest and converts its scores into intensity. It inherits a long-format table of 468,266 symbol-days by 10 features, a daily market-state block, and a settled crash definition based on absolute magnitude.</w:t>
      </w:r>
    </w:p>
    <w:p>
      <w:pPr>
        <w:spacing w:after="130" w:line="300"/>
      </w:pPr>
      <w:r>
        <w:t xml:space="preserve">Three decisions carry forward. The model is fitted on the POOLED cross-section rather than per symbol, so one model learns what normal looks like across the whole universe. Intensity is the percentile of the score against the TRAINING distribution, which is what makes the four retraining schemes comparable. And max_samples, not contamination, is the parameter that actually needs tuning.</w:t>
      </w:r>
    </w:p>
    <w:tbl>
      <w:tblPr>
        <w:tblW w:type="dxa" w:w="9000"/>
        <w:tblBorders>
          <w:top w:val="single" w:color="B22222" w:sz="2"/>
          <w:left w:val="single" w:color="B22222" w:sz="20"/>
          <w:bottom w:val="single" w:color="B22222" w:sz="2"/>
          <w:right w:val="single" w:color="B22222" w:sz="2"/>
          <w:insideH w:val="none"/>
          <w:insideV w:val="none"/>
        </w:tblBorders>
      </w:tblPr>
      <w:tblGrid>
        <w:gridCol w:w="9000"/>
      </w:tblGrid>
      <w:tr>
        <w:tc>
          <w:tcPr>
            <w:tcW w:type="dxa" w:w="9000"/>
            <w:shd w:fill="FDF6F6" w:val="clear"/>
            <w:tcMar>
              <w:top w:type="dxa" w:w="150"/>
              <w:left w:type="dxa" w:w="220"/>
              <w:bottom w:type="dxa" w:w="150"/>
              <w:right w:type="dxa" w:w="200"/>
            </w:tcMar>
          </w:tcPr>
          <w:p>
            <w:pPr>
              <w:spacing w:after="70"/>
            </w:pPr>
            <w:r>
              <w:rPr>
                <w:b/>
                <w:bCs/>
                <w:color w:val="B22222"/>
              </w:rPr>
              <w:t xml:space="preserve">Phase 4 is the decision point</w:t>
            </w:r>
          </w:p>
          <w:p>
            <w:pPr>
              <w:spacing w:after="70" w:line="300"/>
            </w:pPr>
            <w:r>
              <w:t xml:space="preserve">Phase 3 produces intensity. Phase 4 measures whether it arrives early enough to be worth anything.</w:t>
            </w:r>
          </w:p>
          <w:p>
            <w:pPr>
              <w:spacing w:after="0" w:line="300"/>
            </w:pPr>
            <w:r>
              <w:t xml:space="preserve">No backtest, no retraining comparison, and no dashboard should be built until that lead-time histogram exists.</w:t>
            </w:r>
          </w:p>
        </w:tc>
      </w:tr>
    </w:tbl>
    <w:sectPr>
      <w:headerReference w:type="default" r:id="rId7"/>
      <w:footerReference w:type="default" r:id="rId8"/>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pBdr>
      <w:jc w:val="right"/>
    </w:pPr>
    <w:r>
      <w:rPr>
        <w:color w:val="595959"/>
        <w:sz w:val="17"/>
        <w:szCs w:val="17"/>
      </w:rPr>
      <w:t xml:space="preserve">QBEAST · Phase 2 — Features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5F8A"/>
      <w:sz w:val="25"/>
      <w:szCs w:val="25"/>
    </w:rPr>
  </w:style>
  <w:style w:type="paragraph" w:styleId="Heading3">
    <w:name w:val="Heading 3"/>
    <w:basedOn w:val="Normal"/>
    <w:next w:val="Normal"/>
    <w:qFormat/>
    <w:rPr>
      <w:rFonts w:ascii="Calibri" w:cs="Calibri" w:eastAsia="Calibri" w:hAnsi="Calibri"/>
      <w:b/>
      <w:bCs/>
      <w:color w:val="59595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QBEAST Phase 2 — Features</dc:title>
  <dc:creator>QBEAST</dc:creator>
  <dc:description>QBEAST crash detection system — phase documentation</dc:description>
  <cp:lastModifiedBy>Un-named</cp:lastModifiedBy>
  <cp:revision>1</cp:revision>
  <dcterms:created xsi:type="dcterms:W3CDTF">2026-07-26T13:37:32.947Z</dcterms:created>
  <dcterms:modified xsi:type="dcterms:W3CDTF">2026-07-26T13:37:32.947Z</dcterms:modified>
</cp:coreProperties>
</file>

<file path=docProps/custom.xml><?xml version="1.0" encoding="utf-8"?>
<Properties xmlns="http://schemas.openxmlformats.org/officeDocument/2006/custom-properties" xmlns:vt="http://schemas.openxmlformats.org/officeDocument/2006/docPropsVTypes"/>
</file>