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0"/>
        <w:jc w:val="center"/>
      </w:pPr>
      <w:r>
        <w:rPr>
          <w:b/>
          <w:bCs/>
          <w:color w:val="1F4E79"/>
          <w:sz w:val="56"/>
          <w:szCs w:val="56"/>
        </w:rPr>
        <w:t xml:space="preserve">QBEAST</w:t>
      </w:r>
    </w:p>
    <w:p>
      <w:pPr>
        <w:spacing w:after="500"/>
        <w:jc w:val="center"/>
      </w:pPr>
      <w:r>
        <w:rPr>
          <w:color w:val="595959"/>
          <w:sz w:val="24"/>
          <w:szCs w:val="24"/>
        </w:rPr>
        <w:t xml:space="preserve">Stock Market Crash Detection System</w:t>
      </w:r>
    </w:p>
    <w:p>
      <w:pPr>
        <w:spacing w:after="60"/>
        <w:jc w:val="center"/>
      </w:pPr>
      <w:r>
        <w:rPr>
          <w:b/>
          <w:bCs/>
          <w:color w:val="2E5F8A"/>
          <w:sz w:val="30"/>
          <w:szCs w:val="30"/>
        </w:rPr>
        <w:t xml:space="preserve">PHASE 3</w:t>
      </w:r>
    </w:p>
    <w:p>
      <w:pPr>
        <w:spacing w:after="100"/>
        <w:jc w:val="center"/>
      </w:pPr>
      <w:r>
        <w:rPr>
          <w:b/>
          <w:bCs/>
          <w:sz w:val="44"/>
          <w:szCs w:val="44"/>
        </w:rPr>
        <w:t xml:space="preserve">Isolation Forest &amp; Anomaly Intensity</w:t>
      </w:r>
    </w:p>
    <w:p>
      <w:pPr>
        <w:spacing w:after="500"/>
        <w:jc w:val="center"/>
      </w:pPr>
      <w:r>
        <w:rPr>
          <w:i/>
          <w:iCs/>
          <w:color w:val="595959"/>
          <w:sz w:val="23"/>
          <w:szCs w:val="23"/>
        </w:rPr>
        <w:t xml:space="preserve">Fitting the detector, and turning its scores into a scale that means something</w:t>
      </w:r>
    </w:p>
    <w:p>
      <w:pPr>
        <w:spacing w:after="60"/>
        <w:jc w:val="center"/>
      </w:pPr>
      <w:r>
        <w:rPr>
          <w:b/>
          <w:bCs/>
          <w:color w:val="1E7B34"/>
          <w:sz w:val="22"/>
          <w:szCs w:val="22"/>
        </w:rPr>
        <w:t xml:space="preserve">STATUS: COMPLETE — 86 tests passing</w:t>
      </w:r>
    </w:p>
    <w:p>
      <w:pPr>
        <w:spacing w:after="50"/>
        <w:jc w:val="center"/>
      </w:pPr>
      <w:r>
        <w:rPr>
          <w:color w:val="595959"/>
          <w:sz w:val="20"/>
          <w:szCs w:val="20"/>
        </w:rPr>
        <w:t xml:space="preserve">One model fitted on 106,157 pooled symbol-days</w:t>
      </w:r>
    </w:p>
    <w:p>
      <w:pPr>
        <w:spacing w:after="50"/>
        <w:jc w:val="center"/>
      </w:pPr>
      <w:r>
        <w:rPr>
          <w:color w:val="595959"/>
          <w:sz w:val="20"/>
          <w:szCs w:val="20"/>
        </w:rPr>
        <w:t xml:space="preserve">328 High-band alerts across 128,737 out-of-sample symbol-days</w:t>
      </w:r>
    </w:p>
    <w:p>
      <w:pPr>
        <w:spacing w:after="50"/>
        <w:jc w:val="center"/>
      </w:pPr>
      <w:r>
        <w:rPr>
          <w:color w:val="595959"/>
          <w:sz w:val="20"/>
          <w:szCs w:val="20"/>
        </w:rPr>
        <w:t xml:space="preserve">Strongest signal: 38.4% crash rate against an 11.0% base rate (3.48×)</w:t>
      </w:r>
    </w:p>
    <w:p>
      <w:pPr>
        <w:spacing w:before="200"/>
        <w:jc w:val="center"/>
      </w:pPr>
      <w:r>
        <w:rPr>
          <w:color w:val="595959"/>
          <w:sz w:val="19"/>
          <w:szCs w:val="19"/>
        </w:rPr>
        <w:t xml:space="preserve">Generated 2026-07-26</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How Isolation Forest works</w:t>
      </w:r>
    </w:p>
    <w:p>
      <w:pPr>
        <w:spacing w:after="130" w:line="300"/>
      </w:pPr>
      <w:r>
        <w:t xml:space="preserve">Most anomaly detectors work by building a model of what is normal and then measuring how far each point sits from it. Isolation Forest does something stranger and much cheaper: it never models normality at all.</w:t>
      </w:r>
    </w:p>
    <w:p>
      <w:pPr>
        <w:spacing w:after="130" w:line="300"/>
      </w:pPr>
      <w:r>
        <w:t xml:space="preserve">It builds many random trees. At each step it picks a feature at random, picks a split value at random within that feature's range, and cuts the data in two. It repeats until every point sits alone in its own leaf, and then counts how many cuts each point needed.</w:t>
      </w:r>
    </w:p>
    <w:tbl>
      <w:tblPr>
        <w:tblW w:type="dxa" w:w="9000"/>
        <w:tblBorders>
          <w:top w:val="single" w:color="1F4E79" w:sz="2"/>
          <w:left w:val="single" w:color="1F4E79" w:sz="20"/>
          <w:bottom w:val="single" w:color="1F4E79" w:sz="2"/>
          <w:right w:val="single" w:color="1F4E79" w:sz="2"/>
          <w:insideH w:val="none"/>
          <w:insideV w:val="none"/>
        </w:tblBorders>
      </w:tblPr>
      <w:tblGrid>
        <w:gridCol w:w="9000"/>
      </w:tblGrid>
      <w:tr>
        <w:tc>
          <w:tcPr>
            <w:tcW w:type="dxa" w:w="9000"/>
            <w:shd w:fill="F7FAFD" w:val="clear"/>
            <w:tcMar>
              <w:top w:type="dxa" w:w="150"/>
              <w:left w:type="dxa" w:w="220"/>
              <w:bottom w:type="dxa" w:w="150"/>
              <w:right w:type="dxa" w:w="200"/>
            </w:tcMar>
          </w:tcPr>
          <w:p>
            <w:pPr>
              <w:spacing w:after="70"/>
            </w:pPr>
            <w:r>
              <w:rPr>
                <w:b/>
                <w:bCs/>
                <w:color w:val="1F4E79"/>
              </w:rPr>
              <w:t xml:space="preserve">The insight</w:t>
            </w:r>
          </w:p>
          <w:p>
            <w:pPr>
              <w:spacing w:after="70" w:line="300"/>
            </w:pPr>
            <w:r>
              <w:t xml:space="preserve">Outliers are isolated quickly. A point sitting far from everything else gets separated after a handful of random cuts, because almost any cut you make happens to fall between it and the crowd.</w:t>
            </w:r>
          </w:p>
          <w:p>
            <w:pPr>
              <w:spacing w:after="70" w:line="300"/>
            </w:pPr>
            <w:r>
              <w:t xml:space="preserve">A point buried inside a dense cluster needs many cuts before it is alone, because most random cuts land elsewhere.</w:t>
            </w:r>
          </w:p>
          <w:p>
            <w:pPr>
              <w:spacing w:after="0" w:line="300"/>
            </w:pPr>
            <w:r>
              <w:t xml:space="preserve">So the average number of cuts — the path length — is itself the anomaly measure. Short path means anomalous. Nothing else has to be computed.</w:t>
            </w:r>
          </w:p>
        </w:tc>
      </w:tr>
    </w:tbl>
    <w:p>
      <w:pPr>
        <w:spacing w:after="130" w:line="300"/>
      </w:pPr>
      <w:r>
        <w:t xml:space="preserve">This is why the method is fast, why it needs no assumption about the shape of the data, and why it scales comfortably to 468,266 rows.</w:t>
      </w:r>
    </w:p>
    <w:p>
      <w:pPr>
        <w:pStyle w:val="Heading2"/>
        <w:spacing w:after="120" w:before="300"/>
      </w:pPr>
      <w:r>
        <w:t xml:space="preserve">1.1 Unsupervised, and what that costs</w:t>
      </w:r>
    </w:p>
    <w:p>
      <w:pPr>
        <w:spacing w:after="130" w:line="300"/>
      </w:pPr>
      <w:r>
        <w:t xml:space="preserve">The model is never shown a labelled crash. It has no notion of good or bad, only of usual and unusual. That is a genuine advantage: crashes are rare, and a supervised model trained on the handful of crashes in Indian market history would have almost nothing to learn from.</w:t>
      </w:r>
    </w:p>
    <w:p>
      <w:pPr>
        <w:spacing w:after="130" w:line="300"/>
      </w:pPr>
      <w:r>
        <w:t xml:space="preserve">But it has a cost that shapes every downstream decision, and it is worth stating bluntly.</w:t>
      </w:r>
    </w:p>
    <w:tbl>
      <w:tblPr>
        <w:tblW w:type="dxa" w:w="9000"/>
        <w:tblBorders>
          <w:top w:val="single" w:color="1F4E79" w:sz="2"/>
          <w:left w:val="single" w:color="1F4E79" w:sz="20"/>
          <w:bottom w:val="single" w:color="1F4E79" w:sz="2"/>
          <w:right w:val="single" w:color="1F4E79" w:sz="2"/>
          <w:insideH w:val="none"/>
          <w:insideV w:val="none"/>
        </w:tblBorders>
      </w:tblPr>
      <w:tblGrid>
        <w:gridCol w:w="9000"/>
      </w:tblGrid>
      <w:tr>
        <w:tc>
          <w:tcPr>
            <w:tcW w:type="dxa" w:w="9000"/>
            <w:shd w:fill="F7FAFD" w:val="clear"/>
            <w:tcMar>
              <w:top w:type="dxa" w:w="150"/>
              <w:left w:type="dxa" w:w="220"/>
              <w:bottom w:type="dxa" w:w="150"/>
              <w:right w:type="dxa" w:w="200"/>
            </w:tcMar>
          </w:tcPr>
          <w:p>
            <w:pPr>
              <w:spacing w:after="70"/>
            </w:pPr>
            <w:r>
              <w:rPr>
                <w:b/>
                <w:bCs/>
                <w:color w:val="1F4E79"/>
              </w:rPr>
              <w:t xml:space="preserve">Isolation Forest is direction-blind</w:t>
            </w:r>
          </w:p>
          <w:p>
            <w:pPr>
              <w:spacing w:after="70" w:line="300"/>
            </w:pPr>
            <w:r>
              <w:t xml:space="preserve">It flags UNUSUAL, not UNUSUALLY BAD. A violent rally is exactly as anomalous as a violent crash, because both are equally far from an ordinary Tuesday.</w:t>
            </w:r>
          </w:p>
          <w:p>
            <w:pPr>
              <w:spacing w:after="70" w:line="300"/>
            </w:pPr>
            <w:r>
              <w:t xml:space="preserve">So the anomaly score alone can never produce a buy or a sell signal. It can only say that something is happening.</w:t>
            </w:r>
          </w:p>
          <w:p>
            <w:pPr>
              <w:spacing w:after="0" w:line="300"/>
            </w:pPr>
            <w:r>
              <w:t xml:space="preserve">Direction comes from slope. Building-versus-exhausting comes from acceleration. That is the entire reason those features exist, and why the architecture has three parts rather than one.</w:t>
            </w:r>
          </w:p>
        </w:tc>
      </w:tr>
    </w:tbl>
    <w:p>
      <w:r>
        <w:br w:type="page"/>
      </w:r>
    </w:p>
    <w:p>
      <w:pPr>
        <w:pStyle w:val="Heading1"/>
        <w:spacing w:after="160" w:before="360"/>
      </w:pPr>
      <w:r>
        <w:t xml:space="preserve">2. Anomaly intensity</w:t>
      </w:r>
    </w:p>
    <w:p>
      <w:pPr>
        <w:pStyle w:val="Heading2"/>
        <w:spacing w:after="120" w:before="300"/>
      </w:pPr>
      <w:r>
        <w:t xml:space="preserve">2.1 The problem with the raw score</w:t>
      </w:r>
    </w:p>
    <w:p>
      <w:pPr>
        <w:spacing w:after="130" w:line="300"/>
      </w:pPr>
      <w:r>
        <w:t xml:space="preserve">The score that comes out of the model is not comparable between one fitted model and another. Its scale shifts with the size of the training window, with how many trees were built, and with which random cuts those trees happened to make.</w:t>
      </w:r>
    </w:p>
    <w:p>
      <w:pPr>
        <w:spacing w:after="130" w:line="300"/>
      </w:pPr>
      <w:r>
        <w:t xml:space="preserve">That would not matter if we only ever fitted one model. But Phase 7 compares four retraining schemes against each other, and a fixed cutoff on the raw score would mean four different things under four schemes. The comparison would be measuring the scoring scale rather than the schemes.</w:t>
      </w:r>
    </w:p>
    <w:p>
      <w:pPr>
        <w:pStyle w:val="Heading2"/>
        <w:spacing w:after="120" w:before="300"/>
      </w:pPr>
      <w:r>
        <w:t xml:space="preserve">2.2 The fix: percentile against the training distribution</w:t>
      </w:r>
    </w:p>
    <w:p>
      <w:pPr>
        <w:shd w:fill="F2F2F2" w:val="clear"/>
        <w:spacing w:after="0" w:before="70"/>
        <w:ind w:left="240"/>
      </w:pPr>
      <w:r>
        <w:rPr>
          <w:rFonts w:ascii="Consolas" w:cs="Consolas" w:eastAsia="Consolas" w:hAnsi="Consolas"/>
          <w:sz w:val="18"/>
          <w:szCs w:val="18"/>
        </w:rPr>
        <w:t xml:space="preserve">intensity(x) = fraction of TRAINING rows that scored lower than x</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  intensity = 0.99   more unusual than 99% of training days</w:t>
      </w:r>
    </w:p>
    <w:p>
      <w:pPr>
        <w:shd w:fill="F2F2F2" w:val="clear"/>
        <w:spacing w:after="170" w:before="0"/>
        <w:ind w:left="240"/>
      </w:pPr>
      <w:r>
        <w:rPr>
          <w:rFonts w:ascii="Consolas" w:cs="Consolas" w:eastAsia="Consolas" w:hAnsi="Consolas"/>
          <w:sz w:val="18"/>
          <w:szCs w:val="18"/>
        </w:rPr>
        <w:t xml:space="preserve">  intensity = 0.50   a perfectly ordinary day</w:t>
      </w:r>
    </w:p>
    <w:p>
      <w:pPr>
        <w:spacing w:after="130" w:line="300"/>
      </w:pPr>
      <w:r>
        <w:t xml:space="preserve">Three properties follow, and all three are needed:</w:t>
      </w:r>
    </w:p>
    <w:p>
      <w:pPr>
        <w:pStyle w:val="ListParagraph"/>
        <w:numPr>
          <w:ilvl w:val="0"/>
          <w:numId w:val="2"/>
        </w:numPr>
        <w:spacing w:after="80" w:line="290"/>
      </w:pPr>
      <w:r>
        <w:t xml:space="preserve">It means the same thing under every fit, which is what makes the retraining comparison valid.</w:t>
      </w:r>
    </w:p>
    <w:p>
      <w:pPr>
        <w:pStyle w:val="ListParagraph"/>
        <w:numPr>
          <w:ilvl w:val="0"/>
          <w:numId w:val="2"/>
        </w:numPr>
        <w:spacing w:after="80" w:line="290"/>
      </w:pPr>
      <w:r>
        <w:t xml:space="preserve">It means the same thing for every stock, so one global threshold serves all 96 symbols rather than 96 hand-tuned ones.</w:t>
      </w:r>
    </w:p>
    <w:p>
      <w:pPr>
        <w:pStyle w:val="ListParagraph"/>
        <w:numPr>
          <w:ilvl w:val="0"/>
          <w:numId w:val="2"/>
        </w:numPr>
        <w:spacing w:after="80" w:line="290"/>
      </w:pPr>
      <w:r>
        <w:t xml:space="preserve">It is directly interpretable as an alert budget. A 0.99 cut implies roughly one alert per hundred days, before any direction filter is applied.</w:t>
      </w:r>
    </w:p>
    <w:p>
      <w:pPr>
        <w:spacing w:after="130" w:line="300"/>
      </w:pPr>
      <w:r>
        <w:t xml:space="preserve">A test asserts this property directly: two detectors with different settings must each select about one percent of their own training data at intensity 0.99 or above. A raw-score threshold would not.</w:t>
      </w:r>
    </w:p>
    <w:p>
      <w:pPr>
        <w:pStyle w:val="Heading2"/>
        <w:spacing w:after="120" w:before="300"/>
      </w:pPr>
      <w:r>
        <w:t xml:space="preserve">2.3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200"/>
      </w:tblGrid>
      <w:tr>
        <w:trPr>
          <w:tblHeader/>
        </w:trPr>
        <w:tc>
          <w:tcPr>
            <w:tcW w:type="dxa" w:w="1500"/>
            <w:shd w:fill="1F4E79" w:val="clear"/>
            <w:tcMar>
              <w:top w:type="dxa" w:w="90"/>
              <w:left w:type="dxa" w:w="130"/>
              <w:bottom w:type="dxa" w:w="90"/>
              <w:right w:type="dxa" w:w="130"/>
            </w:tcMar>
          </w:tcPr>
          <w:p>
            <w:r>
              <w:rPr>
                <w:b/>
                <w:bCs/>
                <w:color w:val="FFFFFF"/>
                <w:sz w:val="19"/>
                <w:szCs w:val="19"/>
              </w:rPr>
              <w:t xml:space="preserve">Band</w:t>
            </w:r>
          </w:p>
        </w:tc>
        <w:tc>
          <w:tcPr>
            <w:tcW w:type="dxa" w:w="2300"/>
            <w:shd w:fill="1F4E79" w:val="clear"/>
            <w:tcMar>
              <w:top w:type="dxa" w:w="90"/>
              <w:left w:type="dxa" w:w="130"/>
              <w:bottom w:type="dxa" w:w="90"/>
              <w:right w:type="dxa" w:w="130"/>
            </w:tcMar>
          </w:tcPr>
          <w:p>
            <w:r>
              <w:rPr>
                <w:b/>
                <w:bCs/>
                <w:color w:val="FFFFFF"/>
                <w:sz w:val="19"/>
                <w:szCs w:val="19"/>
              </w:rPr>
              <w:t xml:space="preserve">Intensity</w:t>
            </w:r>
          </w:p>
        </w:tc>
        <w:tc>
          <w:tcPr>
            <w:tcW w:type="dxa" w:w="5200"/>
            <w:shd w:fill="1F4E79" w:val="clear"/>
            <w:tcMar>
              <w:top w:type="dxa" w:w="90"/>
              <w:left w:type="dxa" w:w="130"/>
              <w:bottom w:type="dxa" w:w="90"/>
              <w:right w:type="dxa" w:w="130"/>
            </w:tcMar>
          </w:tcPr>
          <w:p>
            <w:r>
              <w:rPr>
                <w:b/>
                <w:bCs/>
                <w:color w:val="FFFFFF"/>
                <w:sz w:val="19"/>
                <w:szCs w:val="19"/>
              </w:rPr>
              <w:t xml:space="preserve">Intended use</w:t>
            </w:r>
          </w:p>
        </w:tc>
      </w:tr>
      <w:tr>
        <w:tc>
          <w:tcPr>
            <w:tcW w:type="dxa" w:w="1500"/>
            <w:shd w:fill="F5F8FB" w:val="clear"/>
            <w:tcMar>
              <w:top w:type="dxa" w:w="80"/>
              <w:left w:type="dxa" w:w="130"/>
              <w:bottom w:type="dxa" w:w="80"/>
              <w:right w:type="dxa" w:w="130"/>
            </w:tcMar>
          </w:tcPr>
          <w:p>
            <w:r>
              <w:rPr>
                <w:sz w:val="19"/>
                <w:szCs w:val="19"/>
              </w:rPr>
              <w:t xml:space="preserve">High</w:t>
            </w:r>
          </w:p>
        </w:tc>
        <w:tc>
          <w:tcPr>
            <w:tcW w:type="dxa" w:w="2300"/>
            <w:shd w:fill="F5F8FB" w:val="clear"/>
            <w:tcMar>
              <w:top w:type="dxa" w:w="80"/>
              <w:left w:type="dxa" w:w="130"/>
              <w:bottom w:type="dxa" w:w="80"/>
              <w:right w:type="dxa" w:w="130"/>
            </w:tcMar>
          </w:tcPr>
          <w:p>
            <w:r>
              <w:rPr>
                <w:sz w:val="19"/>
                <w:szCs w:val="19"/>
              </w:rPr>
              <w:t xml:space="preserve">0.99 and above</w:t>
            </w:r>
          </w:p>
        </w:tc>
        <w:tc>
          <w:tcPr>
            <w:tcW w:type="dxa" w:w="5200"/>
            <w:shd w:fill="F5F8FB" w:val="clear"/>
            <w:tcMar>
              <w:top w:type="dxa" w:w="80"/>
              <w:left w:type="dxa" w:w="130"/>
              <w:bottom w:type="dxa" w:w="80"/>
              <w:right w:type="dxa" w:w="130"/>
            </w:tcMar>
          </w:tcPr>
          <w:p>
            <w:r>
              <w:rPr>
                <w:sz w:val="19"/>
                <w:szCs w:val="19"/>
              </w:rPr>
              <w:t xml:space="preserve">Act, if slope and acceleration confirm</w:t>
            </w:r>
          </w:p>
        </w:tc>
      </w:tr>
      <w:tr>
        <w:tc>
          <w:tcPr>
            <w:tcW w:type="dxa" w:w="1500"/>
            <w:shd w:fill="FFFFFF" w:val="clear"/>
            <w:tcMar>
              <w:top w:type="dxa" w:w="80"/>
              <w:left w:type="dxa" w:w="130"/>
              <w:bottom w:type="dxa" w:w="80"/>
              <w:right w:type="dxa" w:w="130"/>
            </w:tcMar>
          </w:tcPr>
          <w:p>
            <w:r>
              <w:rPr>
                <w:sz w:val="19"/>
                <w:szCs w:val="19"/>
              </w:rPr>
              <w:t xml:space="preserve">Moderate</w:t>
            </w:r>
          </w:p>
        </w:tc>
        <w:tc>
          <w:tcPr>
            <w:tcW w:type="dxa" w:w="2300"/>
            <w:shd w:fill="FFFFFF" w:val="clear"/>
            <w:tcMar>
              <w:top w:type="dxa" w:w="80"/>
              <w:left w:type="dxa" w:w="130"/>
              <w:bottom w:type="dxa" w:w="80"/>
              <w:right w:type="dxa" w:w="130"/>
            </w:tcMar>
          </w:tcPr>
          <w:p>
            <w:r>
              <w:rPr>
                <w:sz w:val="19"/>
                <w:szCs w:val="19"/>
              </w:rPr>
              <w:t xml:space="preserve">0.95 to 0.99</w:t>
            </w:r>
          </w:p>
        </w:tc>
        <w:tc>
          <w:tcPr>
            <w:tcW w:type="dxa" w:w="5200"/>
            <w:shd w:fill="FFFFFF" w:val="clear"/>
            <w:tcMar>
              <w:top w:type="dxa" w:w="80"/>
              <w:left w:type="dxa" w:w="130"/>
              <w:bottom w:type="dxa" w:w="80"/>
              <w:right w:type="dxa" w:w="130"/>
            </w:tcMar>
          </w:tcPr>
          <w:p>
            <w:r>
              <w:rPr>
                <w:sz w:val="19"/>
                <w:szCs w:val="19"/>
              </w:rPr>
              <w:t xml:space="preserve">Do not act — watch for 3 to 5 days and see how it resolves</w:t>
            </w:r>
          </w:p>
        </w:tc>
      </w:tr>
      <w:tr>
        <w:tc>
          <w:tcPr>
            <w:tcW w:type="dxa" w:w="1500"/>
            <w:shd w:fill="F5F8FB" w:val="clear"/>
            <w:tcMar>
              <w:top w:type="dxa" w:w="80"/>
              <w:left w:type="dxa" w:w="130"/>
              <w:bottom w:type="dxa" w:w="80"/>
              <w:right w:type="dxa" w:w="130"/>
            </w:tcMar>
          </w:tcPr>
          <w:p>
            <w:r>
              <w:rPr>
                <w:sz w:val="19"/>
                <w:szCs w:val="19"/>
              </w:rPr>
              <w:t xml:space="preserve">Low</w:t>
            </w:r>
          </w:p>
        </w:tc>
        <w:tc>
          <w:tcPr>
            <w:tcW w:type="dxa" w:w="2300"/>
            <w:shd w:fill="F5F8FB" w:val="clear"/>
            <w:tcMar>
              <w:top w:type="dxa" w:w="80"/>
              <w:left w:type="dxa" w:w="130"/>
              <w:bottom w:type="dxa" w:w="80"/>
              <w:right w:type="dxa" w:w="130"/>
            </w:tcMar>
          </w:tcPr>
          <w:p>
            <w:r>
              <w:rPr>
                <w:sz w:val="19"/>
                <w:szCs w:val="19"/>
              </w:rPr>
              <w:t xml:space="preserve">0.90 to 0.95</w:t>
            </w:r>
          </w:p>
        </w:tc>
        <w:tc>
          <w:tcPr>
            <w:tcW w:type="dxa" w:w="5200"/>
            <w:shd w:fill="F5F8FB" w:val="clear"/>
            <w:tcMar>
              <w:top w:type="dxa" w:w="80"/>
              <w:left w:type="dxa" w:w="130"/>
              <w:bottom w:type="dxa" w:w="80"/>
              <w:right w:type="dxa" w:w="130"/>
            </w:tcMar>
          </w:tcPr>
          <w:p>
            <w:r>
              <w:rPr>
                <w:sz w:val="19"/>
                <w:szCs w:val="19"/>
              </w:rPr>
              <w:t xml:space="preserve">Record only</w:t>
            </w:r>
          </w:p>
        </w:tc>
      </w:tr>
    </w:tbl>
    <w:p>
      <w:r>
        <w:br w:type="page"/>
      </w:r>
    </w:p>
    <w:p>
      <w:pPr>
        <w:pStyle w:val="Heading1"/>
        <w:spacing w:after="160" w:before="360"/>
      </w:pPr>
      <w:r>
        <w:t xml:space="preserve">3. Design decisions</w:t>
      </w:r>
    </w:p>
    <w:p>
      <w:pPr>
        <w:pStyle w:val="Heading2"/>
        <w:spacing w:after="120" w:before="300"/>
      </w:pPr>
      <w:r>
        <w:t xml:space="preserve">3.1 One pooled model, not one per stock</w:t>
      </w:r>
    </w:p>
    <w:p>
      <w:pPr>
        <w:spacing w:after="130" w:line="300"/>
      </w:pPr>
      <w:r>
        <w:t xml:space="preserve">The detector is fitted on all 96 symbols together rather than separately per symbol.</w:t>
      </w:r>
    </w:p>
    <w:p>
      <w:pPr>
        <w:spacing w:after="130" w:line="300"/>
      </w:pPr>
      <w:r>
        <w:t xml:space="preserve">A per-symbol model would see only a few hundred training rows each. Worse, it would learn each stock's own quiet periods as that stock's normal — so a permanently turbulent name would have a high bar for anomaly and a placid one a low bar. The scores would no longer be comparable across the universe, which destroys the entire point of a cross-sectional signal: choosing which stocks to act on requires that a 0.99 for one stock means what a 0.99 means for another.</w:t>
      </w:r>
    </w:p>
    <w:p>
      <w:pPr>
        <w:pStyle w:val="Heading2"/>
        <w:spacing w:after="120" w:before="300"/>
      </w:pPr>
      <w:r>
        <w:t xml:space="preserve">3.2 Missing rows are dropped, never imputed</w:t>
      </w:r>
    </w:p>
    <w:p>
      <w:pPr>
        <w:spacing w:after="130" w:line="300"/>
      </w:pPr>
      <w:r>
        <w:t xml:space="preserve">Isolation Forest cannot consume missing values. The usual response is to fill them with a column mean, and here that would be actively harmful.</w:t>
      </w:r>
    </w:p>
    <w:p>
      <w:pPr>
        <w:spacing w:after="130" w:line="300"/>
      </w:pPr>
      <w:r>
        <w:t xml:space="preserve">Every imputed row would carry the same fabricated values. The model would see a large, perfectly dense cluster of identical points and learn that this configuration is extremely normal — the single most normal thing in the dataset. Incomplete rows are therefore excluded from fitting and score as missing, with the row itself preserved so nothing downstream silently shifts.</w:t>
      </w:r>
    </w:p>
    <w:p>
      <w:pPr>
        <w:pStyle w:val="Heading2"/>
        <w:spacing w:after="120" w:before="300"/>
      </w:pPr>
      <w:r>
        <w:t xml:space="preserve">3.3 What is persisted, and why both halves matter</w:t>
      </w:r>
    </w:p>
    <w:p>
      <w:pPr>
        <w:spacing w:after="130" w:line="300"/>
      </w:pPr>
      <w:r>
        <w:t xml:space="preserve">Saving the fitted forest alone would be useless, because the forest cannot produce intensity by itself — the scale lives in the training score distribution. Both are stored together.</w:t>
      </w:r>
    </w:p>
    <w:p>
      <w:pPr>
        <w:spacing w:after="130" w:line="300"/>
      </w:pPr>
      <w:r>
        <w:t xml:space="preserve">There is a second reason. Storing the training distribution alongside the model means a later robustness experiment can be re-run without repeating the backtest, which turns a day of computation into a minute of it.</w:t>
      </w:r>
    </w:p>
    <w:p>
      <w:r>
        <w:br w:type="page"/>
      </w:r>
    </w:p>
    <w:p>
      <w:pPr>
        <w:pStyle w:val="Heading1"/>
        <w:spacing w:after="160" w:before="360"/>
      </w:pPr>
      <w:r>
        <w:t xml:space="preserve">4. A parameter that does not do what its name suggests</w:t>
      </w:r>
    </w:p>
    <w:p>
      <w:pPr>
        <w:spacing w:after="130" w:line="300"/>
      </w:pPr>
      <w:r>
        <w:t xml:space="preserve">Isolation Forest exposes a </w:t>
      </w:r>
      <w:r>
        <w:rPr>
          <w:rFonts w:ascii="Consolas" w:cs="Consolas" w:eastAsia="Consolas" w:hAnsi="Consolas"/>
          <w:sz w:val="19"/>
          <w:szCs w:val="19"/>
          <w:shd w:fill="F2F2F2" w:val="clear"/>
        </w:rPr>
        <w:t xml:space="preserve">contamination</w:t>
      </w:r>
      <w:r>
        <w:t xml:space="preserve"> parameter, usually documented as the expected proportion of anomalies in the data. It is entirely natural to reach for it and set it to five percent, and much of the literature suggests exactly that.</w:t>
      </w:r>
    </w:p>
    <w:p>
      <w:pPr>
        <w:spacing w:after="130" w:line="300"/>
      </w:pPr>
      <w:r>
        <w:t xml:space="preserve">Measured across every value from 0.001 to 0.2, the raw anomaly scores are bit-for-bit identical.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00"/>
      </w:tblGrid>
      <w:tr>
        <w:trPr>
          <w:tblHeader/>
        </w:trPr>
        <w:tc>
          <w:tcPr>
            <w:tcW w:type="dxa" w:w="2400"/>
            <w:shd w:fill="1F4E79" w:val="clear"/>
            <w:tcMar>
              <w:top w:type="dxa" w:w="90"/>
              <w:left w:type="dxa" w:w="130"/>
              <w:bottom w:type="dxa" w:w="90"/>
              <w:right w:type="dxa" w:w="130"/>
            </w:tcMar>
          </w:tcPr>
          <w:p>
            <w:r>
              <w:rPr>
                <w:b/>
                <w:bCs/>
                <w:color w:val="FFFFFF"/>
                <w:sz w:val="19"/>
                <w:szCs w:val="19"/>
              </w:rPr>
              <w:t xml:space="preserve">contamination</w:t>
            </w:r>
          </w:p>
        </w:tc>
        <w:tc>
          <w:tcPr>
            <w:tcW w:type="dxa" w:w="2400"/>
            <w:shd w:fill="1F4E79" w:val="clear"/>
            <w:tcMar>
              <w:top w:type="dxa" w:w="90"/>
              <w:left w:type="dxa" w:w="130"/>
              <w:bottom w:type="dxa" w:w="90"/>
              <w:right w:type="dxa" w:w="130"/>
            </w:tcMar>
          </w:tcPr>
          <w:p>
            <w:r>
              <w:rPr>
                <w:b/>
                <w:bCs/>
                <w:color w:val="FFFFFF"/>
                <w:sz w:val="19"/>
                <w:szCs w:val="19"/>
              </w:rPr>
              <w:t xml:space="preserve">scores identical?</w:t>
            </w:r>
          </w:p>
        </w:tc>
        <w:tc>
          <w:tcPr>
            <w:tcW w:type="dxa" w:w="2200"/>
            <w:shd w:fill="1F4E79" w:val="clear"/>
            <w:tcMar>
              <w:top w:type="dxa" w:w="90"/>
              <w:left w:type="dxa" w:w="130"/>
              <w:bottom w:type="dxa" w:w="90"/>
              <w:right w:type="dxa" w:w="130"/>
            </w:tcMar>
          </w:tcPr>
          <w:p>
            <w:r>
              <w:rPr>
                <w:b/>
                <w:bCs/>
                <w:color w:val="FFFFFF"/>
                <w:sz w:val="19"/>
                <w:szCs w:val="19"/>
              </w:rPr>
              <w:t xml:space="preserve">internal offset</w:t>
            </w:r>
          </w:p>
        </w:tc>
        <w:tc>
          <w:tcPr>
            <w:tcW w:type="dxa" w:w="2000"/>
            <w:shd w:fill="1F4E79" w:val="clear"/>
            <w:tcMar>
              <w:top w:type="dxa" w:w="90"/>
              <w:left w:type="dxa" w:w="130"/>
              <w:bottom w:type="dxa" w:w="90"/>
              <w:right w:type="dxa" w:w="130"/>
            </w:tcMar>
          </w:tcPr>
          <w:p>
            <w:r>
              <w:rPr>
                <w:b/>
                <w:bCs/>
                <w:color w:val="FFFFFF"/>
                <w:sz w:val="19"/>
                <w:szCs w:val="19"/>
              </w:rPr>
              <w:t xml:space="preserve">predict() flags</w:t>
            </w:r>
          </w:p>
        </w:tc>
      </w:tr>
      <w:tr>
        <w:tc>
          <w:tcPr>
            <w:tcW w:type="dxa" w:w="2400"/>
            <w:shd w:fill="F5F8FB" w:val="clear"/>
            <w:tcMar>
              <w:top w:type="dxa" w:w="80"/>
              <w:left w:type="dxa" w:w="130"/>
              <w:bottom w:type="dxa" w:w="80"/>
              <w:right w:type="dxa" w:w="130"/>
            </w:tcMar>
          </w:tcPr>
          <w:p>
            <w:r>
              <w:rPr>
                <w:sz w:val="19"/>
                <w:szCs w:val="19"/>
              </w:rPr>
              <w:t xml:space="preserve">0.001</w:t>
            </w:r>
          </w:p>
        </w:tc>
        <w:tc>
          <w:tcPr>
            <w:tcW w:type="dxa" w:w="2400"/>
            <w:shd w:fill="F5F8FB" w:val="clear"/>
            <w:tcMar>
              <w:top w:type="dxa" w:w="80"/>
              <w:left w:type="dxa" w:w="130"/>
              <w:bottom w:type="dxa" w:w="80"/>
              <w:right w:type="dxa" w:w="130"/>
            </w:tcMar>
          </w:tcPr>
          <w:p>
            <w:r>
              <w:rPr>
                <w:sz w:val="19"/>
                <w:szCs w:val="19"/>
              </w:rPr>
              <w:t xml:space="preserve">yes</w:t>
            </w:r>
          </w:p>
        </w:tc>
        <w:tc>
          <w:tcPr>
            <w:tcW w:type="dxa" w:w="2200"/>
            <w:shd w:fill="F5F8FB" w:val="clear"/>
            <w:tcMar>
              <w:top w:type="dxa" w:w="80"/>
              <w:left w:type="dxa" w:w="130"/>
              <w:bottom w:type="dxa" w:w="80"/>
              <w:right w:type="dxa" w:w="130"/>
            </w:tcMar>
          </w:tcPr>
          <w:p>
            <w:r>
              <w:rPr>
                <w:sz w:val="19"/>
                <w:szCs w:val="19"/>
              </w:rPr>
              <w:t xml:space="preserve">-0.6012</w:t>
            </w:r>
          </w:p>
        </w:tc>
        <w:tc>
          <w:tcPr>
            <w:tcW w:type="dxa" w:w="2000"/>
            <w:shd w:fill="F5F8FB" w:val="clear"/>
            <w:tcMar>
              <w:top w:type="dxa" w:w="80"/>
              <w:left w:type="dxa" w:w="130"/>
              <w:bottom w:type="dxa" w:w="80"/>
              <w:right w:type="dxa" w:w="130"/>
            </w:tcMar>
          </w:tcPr>
          <w:p>
            <w:r>
              <w:rPr>
                <w:sz w:val="19"/>
                <w:szCs w:val="19"/>
              </w:rPr>
              <w:t xml:space="preserve">0.1%</w:t>
            </w:r>
          </w:p>
        </w:tc>
      </w:tr>
      <w:tr>
        <w:tc>
          <w:tcPr>
            <w:tcW w:type="dxa" w:w="2400"/>
            <w:shd w:fill="FFFFFF" w:val="clear"/>
            <w:tcMar>
              <w:top w:type="dxa" w:w="80"/>
              <w:left w:type="dxa" w:w="130"/>
              <w:bottom w:type="dxa" w:w="80"/>
              <w:right w:type="dxa" w:w="130"/>
            </w:tcMar>
          </w:tcPr>
          <w:p>
            <w:r>
              <w:rPr>
                <w:sz w:val="19"/>
                <w:szCs w:val="19"/>
              </w:rPr>
              <w:t xml:space="preserve">0.01</w:t>
            </w:r>
          </w:p>
        </w:tc>
        <w:tc>
          <w:tcPr>
            <w:tcW w:type="dxa" w:w="2400"/>
            <w:shd w:fill="FFFFFF" w:val="clear"/>
            <w:tcMar>
              <w:top w:type="dxa" w:w="80"/>
              <w:left w:type="dxa" w:w="130"/>
              <w:bottom w:type="dxa" w:w="80"/>
              <w:right w:type="dxa" w:w="130"/>
            </w:tcMar>
          </w:tcPr>
          <w:p>
            <w:r>
              <w:rPr>
                <w:sz w:val="19"/>
                <w:szCs w:val="19"/>
              </w:rPr>
              <w:t xml:space="preserve">yes</w:t>
            </w:r>
          </w:p>
        </w:tc>
        <w:tc>
          <w:tcPr>
            <w:tcW w:type="dxa" w:w="2200"/>
            <w:shd w:fill="FFFFFF" w:val="clear"/>
            <w:tcMar>
              <w:top w:type="dxa" w:w="80"/>
              <w:left w:type="dxa" w:w="130"/>
              <w:bottom w:type="dxa" w:w="80"/>
              <w:right w:type="dxa" w:w="130"/>
            </w:tcMar>
          </w:tcPr>
          <w:p>
            <w:r>
              <w:rPr>
                <w:sz w:val="19"/>
                <w:szCs w:val="19"/>
              </w:rPr>
              <w:t xml:space="preserve">-0.5644</w:t>
            </w:r>
          </w:p>
        </w:tc>
        <w:tc>
          <w:tcPr>
            <w:tcW w:type="dxa" w:w="2000"/>
            <w:shd w:fill="FFFFFF" w:val="clear"/>
            <w:tcMar>
              <w:top w:type="dxa" w:w="80"/>
              <w:left w:type="dxa" w:w="130"/>
              <w:bottom w:type="dxa" w:w="80"/>
              <w:right w:type="dxa" w:w="130"/>
            </w:tcMar>
          </w:tcPr>
          <w:p>
            <w:r>
              <w:rPr>
                <w:sz w:val="19"/>
                <w:szCs w:val="19"/>
              </w:rPr>
              <w:t xml:space="preserve">1.0%</w:t>
            </w:r>
          </w:p>
        </w:tc>
      </w:tr>
      <w:tr>
        <w:tc>
          <w:tcPr>
            <w:tcW w:type="dxa" w:w="2400"/>
            <w:shd w:fill="F5F8FB" w:val="clear"/>
            <w:tcMar>
              <w:top w:type="dxa" w:w="80"/>
              <w:left w:type="dxa" w:w="130"/>
              <w:bottom w:type="dxa" w:w="80"/>
              <w:right w:type="dxa" w:w="130"/>
            </w:tcMar>
          </w:tcPr>
          <w:p>
            <w:r>
              <w:rPr>
                <w:sz w:val="19"/>
                <w:szCs w:val="19"/>
              </w:rPr>
              <w:t xml:space="preserve">0.05</w:t>
            </w:r>
          </w:p>
        </w:tc>
        <w:tc>
          <w:tcPr>
            <w:tcW w:type="dxa" w:w="2400"/>
            <w:shd w:fill="F5F8FB" w:val="clear"/>
            <w:tcMar>
              <w:top w:type="dxa" w:w="80"/>
              <w:left w:type="dxa" w:w="130"/>
              <w:bottom w:type="dxa" w:w="80"/>
              <w:right w:type="dxa" w:w="130"/>
            </w:tcMar>
          </w:tcPr>
          <w:p>
            <w:r>
              <w:rPr>
                <w:sz w:val="19"/>
                <w:szCs w:val="19"/>
              </w:rPr>
              <w:t xml:space="preserve">yes</w:t>
            </w:r>
          </w:p>
        </w:tc>
        <w:tc>
          <w:tcPr>
            <w:tcW w:type="dxa" w:w="2200"/>
            <w:shd w:fill="F5F8FB" w:val="clear"/>
            <w:tcMar>
              <w:top w:type="dxa" w:w="80"/>
              <w:left w:type="dxa" w:w="130"/>
              <w:bottom w:type="dxa" w:w="80"/>
              <w:right w:type="dxa" w:w="130"/>
            </w:tcMar>
          </w:tcPr>
          <w:p>
            <w:r>
              <w:rPr>
                <w:sz w:val="19"/>
                <w:szCs w:val="19"/>
              </w:rPr>
              <w:t xml:space="preserve">-0.5242</w:t>
            </w:r>
          </w:p>
        </w:tc>
        <w:tc>
          <w:tcPr>
            <w:tcW w:type="dxa" w:w="2000"/>
            <w:shd w:fill="F5F8FB" w:val="clear"/>
            <w:tcMar>
              <w:top w:type="dxa" w:w="80"/>
              <w:left w:type="dxa" w:w="130"/>
              <w:bottom w:type="dxa" w:w="80"/>
              <w:right w:type="dxa" w:w="130"/>
            </w:tcMar>
          </w:tcPr>
          <w:p>
            <w:r>
              <w:rPr>
                <w:sz w:val="19"/>
                <w:szCs w:val="19"/>
              </w:rPr>
              <w:t xml:space="preserve">5.0%</w:t>
            </w:r>
          </w:p>
        </w:tc>
      </w:tr>
      <w:tr>
        <w:tc>
          <w:tcPr>
            <w:tcW w:type="dxa" w:w="2400"/>
            <w:shd w:fill="FFFFFF" w:val="clear"/>
            <w:tcMar>
              <w:top w:type="dxa" w:w="80"/>
              <w:left w:type="dxa" w:w="130"/>
              <w:bottom w:type="dxa" w:w="80"/>
              <w:right w:type="dxa" w:w="130"/>
            </w:tcMar>
          </w:tcPr>
          <w:p>
            <w:r>
              <w:rPr>
                <w:sz w:val="19"/>
                <w:szCs w:val="19"/>
              </w:rPr>
              <w:t xml:space="preserve">0.20</w:t>
            </w:r>
          </w:p>
        </w:tc>
        <w:tc>
          <w:tcPr>
            <w:tcW w:type="dxa" w:w="2400"/>
            <w:shd w:fill="FFFFFF" w:val="clear"/>
            <w:tcMar>
              <w:top w:type="dxa" w:w="80"/>
              <w:left w:type="dxa" w:w="130"/>
              <w:bottom w:type="dxa" w:w="80"/>
              <w:right w:type="dxa" w:w="130"/>
            </w:tcMar>
          </w:tcPr>
          <w:p>
            <w:r>
              <w:rPr>
                <w:sz w:val="19"/>
                <w:szCs w:val="19"/>
              </w:rPr>
              <w:t xml:space="preserve">yes</w:t>
            </w:r>
          </w:p>
        </w:tc>
        <w:tc>
          <w:tcPr>
            <w:tcW w:type="dxa" w:w="2200"/>
            <w:shd w:fill="FFFFFF" w:val="clear"/>
            <w:tcMar>
              <w:top w:type="dxa" w:w="80"/>
              <w:left w:type="dxa" w:w="130"/>
              <w:bottom w:type="dxa" w:w="80"/>
              <w:right w:type="dxa" w:w="130"/>
            </w:tcMar>
          </w:tcPr>
          <w:p>
            <w:r>
              <w:rPr>
                <w:sz w:val="19"/>
                <w:szCs w:val="19"/>
              </w:rPr>
              <w:t xml:space="preserve">-0.4800</w:t>
            </w:r>
          </w:p>
        </w:tc>
        <w:tc>
          <w:tcPr>
            <w:tcW w:type="dxa" w:w="2000"/>
            <w:shd w:fill="FFFFFF" w:val="clear"/>
            <w:tcMar>
              <w:top w:type="dxa" w:w="80"/>
              <w:left w:type="dxa" w:w="130"/>
              <w:bottom w:type="dxa" w:w="80"/>
              <w:right w:type="dxa" w:w="130"/>
            </w:tcMar>
          </w:tcPr>
          <w:p>
            <w:r>
              <w:rPr>
                <w:sz w:val="19"/>
                <w:szCs w:val="19"/>
              </w:rPr>
              <w:t xml:space="preserve">20.0%</w:t>
            </w:r>
          </w:p>
        </w:tc>
      </w:tr>
    </w:tbl>
    <w:p>
      <w:pPr>
        <w:spacing w:after="130" w:line="300"/>
      </w:pPr>
      <w:r>
        <w:t xml:space="preserve">Contamination does not affect tree building at all. It sets only an internal offset used to convert scores into a binary in-or-out label. It is a labelling knob, not a learning one.</w:t>
      </w:r>
    </w:p>
    <w:p>
      <w:pPr>
        <w:spacing w:after="130" w:line="300"/>
      </w:pPr>
      <w:r>
        <w:t xml:space="preserve">This pipeline never uses that binary label, so contamination never enters the calculation. That is deliberate. Setting contamination amounts to </w:t>
      </w:r>
      <w:r>
        <w:rPr>
          <w:i/>
          <w:iCs/>
        </w:rPr>
        <w:t xml:space="preserve">asserting</w:t>
      </w:r>
      <w:r>
        <w:t xml:space="preserve"> what fraction of history was a crash — and then being scored against your own assertion. The training-percentile mapping replaces the assumption with a measurement.</w:t>
      </w:r>
    </w:p>
    <w:p>
      <w:pPr>
        <w:spacing w:after="130" w:line="300"/>
      </w:pPr>
      <w:r>
        <w:t xml:space="preserve">The five percent intuition is still sound. It simply belongs to the intensity THRESHOLD rather than to the model. Cutting at 0.95 means acting on the most unusual five percent of days.</w:t>
      </w:r>
    </w:p>
    <w:tbl>
      <w:tblPr>
        <w:tblW w:type="dxa" w:w="9000"/>
        <w:tblBorders>
          <w:top w:val="single" w:color="1E7B34" w:sz="2"/>
          <w:left w:val="single" w:color="1E7B34" w:sz="20"/>
          <w:bottom w:val="single" w:color="1E7B34" w:sz="2"/>
          <w:right w:val="single" w:color="1E7B34" w:sz="2"/>
          <w:insideH w:val="none"/>
          <w:insideV w:val="none"/>
        </w:tblBorders>
      </w:tblPr>
      <w:tblGrid>
        <w:gridCol w:w="9000"/>
      </w:tblGrid>
      <w:tr>
        <w:tc>
          <w:tcPr>
            <w:tcW w:type="dxa" w:w="9000"/>
            <w:shd w:fill="F5FBF6" w:val="clear"/>
            <w:tcMar>
              <w:top w:type="dxa" w:w="150"/>
              <w:left w:type="dxa" w:w="220"/>
              <w:bottom w:type="dxa" w:w="150"/>
              <w:right w:type="dxa" w:w="200"/>
            </w:tcMar>
          </w:tcPr>
          <w:p>
            <w:pPr>
              <w:spacing w:after="70"/>
            </w:pPr>
            <w:r>
              <w:rPr>
                <w:b/>
                <w:bCs/>
                <w:color w:val="1E7B34"/>
              </w:rPr>
              <w:t xml:space="preserve">A pleasing coincidence</w:t>
            </w:r>
          </w:p>
          <w:p>
            <w:pPr>
              <w:spacing w:after="70" w:line="300"/>
            </w:pPr>
            <w:r>
              <w:t xml:space="preserve">Measured on the index, a forward five-day drawdown of five percent or worse occurs on 5.44% of days.</w:t>
            </w:r>
          </w:p>
          <w:p>
            <w:pPr>
              <w:spacing w:after="0" w:line="300"/>
            </w:pPr>
            <w:r>
              <w:t xml:space="preserve">So the conventional five percent figure and an absolute five percent crash definition agree almost exactly — arrived at from completely different directions. That agreement is a useful cross-check on both numbers.</w:t>
            </w:r>
          </w:p>
        </w:tc>
      </w:tr>
    </w:tbl>
    <w:p>
      <w:r>
        <w:br w:type="page"/>
      </w:r>
    </w:p>
    <w:p>
      <w:pPr>
        <w:pStyle w:val="Heading1"/>
        <w:spacing w:after="160" w:before="360"/>
      </w:pPr>
      <w:r>
        <w:t xml:space="preserve">5. Two corrections to earlier claims</w:t>
      </w:r>
    </w:p>
    <w:p>
      <w:pPr>
        <w:spacing w:after="130" w:line="300"/>
      </w:pPr>
      <w:r>
        <w:t xml:space="preserve">Both were stated confidently in earlier phases and both turned out to be wrong when measured. They are recorded here rather than quietly fixed, because the reasoning matters more than the conclusion.</w:t>
      </w:r>
    </w:p>
    <w:p>
      <w:pPr>
        <w:pStyle w:val="Heading2"/>
        <w:spacing w:after="120" w:before="300"/>
      </w:pPr>
      <w:r>
        <w:t xml:space="preserve">5.1 max_samples is not the parameter that matters</w:t>
      </w:r>
    </w:p>
    <w:p>
      <w:pPr>
        <w:spacing w:after="130" w:line="300"/>
      </w:pPr>
      <w:r>
        <w:t xml:space="preserve">Earlier documentation described max_samples — the subsample each tree isolates from — as the parameter that genuinely needed tuning, in contrast to contamination. Measured across a 64-fold range: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00"/>
      </w:tblGrid>
      <w:tr>
        <w:trPr>
          <w:tblHeader/>
        </w:trPr>
        <w:tc>
          <w:tcPr>
            <w:tcW w:type="dxa" w:w="2200"/>
            <w:shd w:fill="1F4E79" w:val="clear"/>
            <w:tcMar>
              <w:top w:type="dxa" w:w="90"/>
              <w:left w:type="dxa" w:w="130"/>
              <w:bottom w:type="dxa" w:w="90"/>
              <w:right w:type="dxa" w:w="130"/>
            </w:tcMar>
          </w:tcPr>
          <w:p>
            <w:r>
              <w:rPr>
                <w:b/>
                <w:bCs/>
                <w:color w:val="FFFFFF"/>
                <w:sz w:val="19"/>
                <w:szCs w:val="19"/>
              </w:rPr>
              <w:t xml:space="preserve">max_samples</w:t>
            </w:r>
          </w:p>
        </w:tc>
        <w:tc>
          <w:tcPr>
            <w:tcW w:type="dxa" w:w="2000"/>
            <w:shd w:fill="1F4E79" w:val="clear"/>
            <w:tcMar>
              <w:top w:type="dxa" w:w="90"/>
              <w:left w:type="dxa" w:w="130"/>
              <w:bottom w:type="dxa" w:w="90"/>
              <w:right w:type="dxa" w:w="130"/>
            </w:tcMar>
          </w:tcPr>
          <w:p>
            <w:r>
              <w:rPr>
                <w:b/>
                <w:bCs/>
                <w:color w:val="FFFFFF"/>
                <w:sz w:val="19"/>
                <w:szCs w:val="19"/>
              </w:rPr>
              <w:t xml:space="preserve">signals</w:t>
            </w:r>
          </w:p>
        </w:tc>
        <w:tc>
          <w:tcPr>
            <w:tcW w:type="dxa" w:w="2400"/>
            <w:shd w:fill="1F4E79" w:val="clear"/>
            <w:tcMar>
              <w:top w:type="dxa" w:w="90"/>
              <w:left w:type="dxa" w:w="130"/>
              <w:bottom w:type="dxa" w:w="90"/>
              <w:right w:type="dxa" w:w="130"/>
            </w:tcMar>
          </w:tcPr>
          <w:p>
            <w:r>
              <w:rPr>
                <w:b/>
                <w:bCs/>
                <w:color w:val="FFFFFF"/>
                <w:sz w:val="19"/>
                <w:szCs w:val="19"/>
              </w:rPr>
              <w:t xml:space="preserve">P(crash)</w:t>
            </w:r>
          </w:p>
        </w:tc>
        <w:tc>
          <w:tcPr>
            <w:tcW w:type="dxa" w:w="2400"/>
            <w:shd w:fill="1F4E79" w:val="clear"/>
            <w:tcMar>
              <w:top w:type="dxa" w:w="90"/>
              <w:left w:type="dxa" w:w="130"/>
              <w:bottom w:type="dxa" w:w="90"/>
              <w:right w:type="dxa" w:w="130"/>
            </w:tcMar>
          </w:tcPr>
          <w:p>
            <w:r>
              <w:rPr>
                <w:b/>
                <w:bCs/>
                <w:color w:val="FFFFFF"/>
                <w:sz w:val="19"/>
                <w:szCs w:val="19"/>
              </w:rPr>
              <w:t xml:space="preserve">lift</w:t>
            </w:r>
          </w:p>
        </w:tc>
      </w:tr>
      <w:tr>
        <w:tc>
          <w:tcPr>
            <w:tcW w:type="dxa" w:w="2200"/>
            <w:shd w:fill="F5F8FB" w:val="clear"/>
            <w:tcMar>
              <w:top w:type="dxa" w:w="80"/>
              <w:left w:type="dxa" w:w="130"/>
              <w:bottom w:type="dxa" w:w="80"/>
              <w:right w:type="dxa" w:w="130"/>
            </w:tcMar>
          </w:tcPr>
          <w:p>
            <w:r>
              <w:rPr>
                <w:sz w:val="19"/>
                <w:szCs w:val="19"/>
              </w:rPr>
              <w:t xml:space="preserve">64</w:t>
            </w:r>
          </w:p>
        </w:tc>
        <w:tc>
          <w:tcPr>
            <w:tcW w:type="dxa" w:w="2000"/>
            <w:shd w:fill="F5F8FB" w:val="clear"/>
            <w:tcMar>
              <w:top w:type="dxa" w:w="80"/>
              <w:left w:type="dxa" w:w="130"/>
              <w:bottom w:type="dxa" w:w="80"/>
              <w:right w:type="dxa" w:w="130"/>
            </w:tcMar>
          </w:tcPr>
          <w:p>
            <w:r>
              <w:rPr>
                <w:sz w:val="19"/>
                <w:szCs w:val="19"/>
              </w:rPr>
              <w:t xml:space="preserve">445</w:t>
            </w:r>
          </w:p>
        </w:tc>
        <w:tc>
          <w:tcPr>
            <w:tcW w:type="dxa" w:w="2400"/>
            <w:shd w:fill="F5F8FB" w:val="clear"/>
            <w:tcMar>
              <w:top w:type="dxa" w:w="80"/>
              <w:left w:type="dxa" w:w="130"/>
              <w:bottom w:type="dxa" w:w="80"/>
              <w:right w:type="dxa" w:w="130"/>
            </w:tcMar>
          </w:tcPr>
          <w:p>
            <w:r>
              <w:rPr>
                <w:sz w:val="19"/>
                <w:szCs w:val="19"/>
              </w:rPr>
              <w:t xml:space="preserve">24.0%</w:t>
            </w:r>
          </w:p>
        </w:tc>
        <w:tc>
          <w:tcPr>
            <w:tcW w:type="dxa" w:w="2400"/>
            <w:shd w:fill="F5F8FB" w:val="clear"/>
            <w:tcMar>
              <w:top w:type="dxa" w:w="80"/>
              <w:left w:type="dxa" w:w="130"/>
              <w:bottom w:type="dxa" w:w="80"/>
              <w:right w:type="dxa" w:w="130"/>
            </w:tcMar>
          </w:tcPr>
          <w:p>
            <w:r>
              <w:rPr>
                <w:sz w:val="19"/>
                <w:szCs w:val="19"/>
              </w:rPr>
              <w:t xml:space="preserve">2.18x</w:t>
            </w:r>
          </w:p>
        </w:tc>
      </w:tr>
      <w:tr>
        <w:tc>
          <w:tcPr>
            <w:tcW w:type="dxa" w:w="2200"/>
            <w:shd w:fill="FFFFFF" w:val="clear"/>
            <w:tcMar>
              <w:top w:type="dxa" w:w="80"/>
              <w:left w:type="dxa" w:w="130"/>
              <w:bottom w:type="dxa" w:w="80"/>
              <w:right w:type="dxa" w:w="130"/>
            </w:tcMar>
          </w:tcPr>
          <w:p>
            <w:r>
              <w:rPr>
                <w:sz w:val="19"/>
                <w:szCs w:val="19"/>
              </w:rPr>
              <w:t xml:space="preserve">128</w:t>
            </w:r>
          </w:p>
        </w:tc>
        <w:tc>
          <w:tcPr>
            <w:tcW w:type="dxa" w:w="2000"/>
            <w:shd w:fill="FFFFFF" w:val="clear"/>
            <w:tcMar>
              <w:top w:type="dxa" w:w="80"/>
              <w:left w:type="dxa" w:w="130"/>
              <w:bottom w:type="dxa" w:w="80"/>
              <w:right w:type="dxa" w:w="130"/>
            </w:tcMar>
          </w:tcPr>
          <w:p>
            <w:r>
              <w:rPr>
                <w:sz w:val="19"/>
                <w:szCs w:val="19"/>
              </w:rPr>
              <w:t xml:space="preserve">411</w:t>
            </w:r>
          </w:p>
        </w:tc>
        <w:tc>
          <w:tcPr>
            <w:tcW w:type="dxa" w:w="2400"/>
            <w:shd w:fill="FFFFFF" w:val="clear"/>
            <w:tcMar>
              <w:top w:type="dxa" w:w="80"/>
              <w:left w:type="dxa" w:w="130"/>
              <w:bottom w:type="dxa" w:w="80"/>
              <w:right w:type="dxa" w:w="130"/>
            </w:tcMar>
          </w:tcPr>
          <w:p>
            <w:r>
              <w:rPr>
                <w:sz w:val="19"/>
                <w:szCs w:val="19"/>
              </w:rPr>
              <w:t xml:space="preserve">24.6%</w:t>
            </w:r>
          </w:p>
        </w:tc>
        <w:tc>
          <w:tcPr>
            <w:tcW w:type="dxa" w:w="2400"/>
            <w:shd w:fill="FFFFFF" w:val="clear"/>
            <w:tcMar>
              <w:top w:type="dxa" w:w="80"/>
              <w:left w:type="dxa" w:w="130"/>
              <w:bottom w:type="dxa" w:w="80"/>
              <w:right w:type="dxa" w:w="130"/>
            </w:tcMar>
          </w:tcPr>
          <w:p>
            <w:r>
              <w:rPr>
                <w:sz w:val="19"/>
                <w:szCs w:val="19"/>
              </w:rPr>
              <w:t xml:space="preserve">2.23x</w:t>
            </w:r>
          </w:p>
        </w:tc>
      </w:tr>
      <w:tr>
        <w:tc>
          <w:tcPr>
            <w:tcW w:type="dxa" w:w="2200"/>
            <w:shd w:fill="F5F8FB" w:val="clear"/>
            <w:tcMar>
              <w:top w:type="dxa" w:w="80"/>
              <w:left w:type="dxa" w:w="130"/>
              <w:bottom w:type="dxa" w:w="80"/>
              <w:right w:type="dxa" w:w="130"/>
            </w:tcMar>
          </w:tcPr>
          <w:p>
            <w:r>
              <w:rPr>
                <w:sz w:val="19"/>
                <w:szCs w:val="19"/>
              </w:rPr>
              <w:t xml:space="preserve">256</w:t>
            </w:r>
          </w:p>
        </w:tc>
        <w:tc>
          <w:tcPr>
            <w:tcW w:type="dxa" w:w="2000"/>
            <w:shd w:fill="F5F8FB" w:val="clear"/>
            <w:tcMar>
              <w:top w:type="dxa" w:w="80"/>
              <w:left w:type="dxa" w:w="130"/>
              <w:bottom w:type="dxa" w:w="80"/>
              <w:right w:type="dxa" w:w="130"/>
            </w:tcMar>
          </w:tcPr>
          <w:p>
            <w:r>
              <w:rPr>
                <w:sz w:val="19"/>
                <w:szCs w:val="19"/>
              </w:rPr>
              <w:t xml:space="preserve">444</w:t>
            </w:r>
          </w:p>
        </w:tc>
        <w:tc>
          <w:tcPr>
            <w:tcW w:type="dxa" w:w="2400"/>
            <w:shd w:fill="F5F8FB" w:val="clear"/>
            <w:tcMar>
              <w:top w:type="dxa" w:w="80"/>
              <w:left w:type="dxa" w:w="130"/>
              <w:bottom w:type="dxa" w:w="80"/>
              <w:right w:type="dxa" w:w="130"/>
            </w:tcMar>
          </w:tcPr>
          <w:p>
            <w:r>
              <w:rPr>
                <w:sz w:val="19"/>
                <w:szCs w:val="19"/>
              </w:rPr>
              <w:t xml:space="preserve">24.5%</w:t>
            </w:r>
          </w:p>
        </w:tc>
        <w:tc>
          <w:tcPr>
            <w:tcW w:type="dxa" w:w="2400"/>
            <w:shd w:fill="F5F8FB" w:val="clear"/>
            <w:tcMar>
              <w:top w:type="dxa" w:w="80"/>
              <w:left w:type="dxa" w:w="130"/>
              <w:bottom w:type="dxa" w:w="80"/>
              <w:right w:type="dxa" w:w="130"/>
            </w:tcMar>
          </w:tcPr>
          <w:p>
            <w:r>
              <w:rPr>
                <w:sz w:val="19"/>
                <w:szCs w:val="19"/>
              </w:rPr>
              <w:t xml:space="preserve">2.22x</w:t>
            </w:r>
          </w:p>
        </w:tc>
      </w:tr>
      <w:tr>
        <w:tc>
          <w:tcPr>
            <w:tcW w:type="dxa" w:w="2200"/>
            <w:shd w:fill="FFFFFF" w:val="clear"/>
            <w:tcMar>
              <w:top w:type="dxa" w:w="80"/>
              <w:left w:type="dxa" w:w="130"/>
              <w:bottom w:type="dxa" w:w="80"/>
              <w:right w:type="dxa" w:w="130"/>
            </w:tcMar>
          </w:tcPr>
          <w:p>
            <w:r>
              <w:rPr>
                <w:sz w:val="19"/>
                <w:szCs w:val="19"/>
              </w:rPr>
              <w:t xml:space="preserve">512</w:t>
            </w:r>
          </w:p>
        </w:tc>
        <w:tc>
          <w:tcPr>
            <w:tcW w:type="dxa" w:w="2000"/>
            <w:shd w:fill="FFFFFF" w:val="clear"/>
            <w:tcMar>
              <w:top w:type="dxa" w:w="80"/>
              <w:left w:type="dxa" w:w="130"/>
              <w:bottom w:type="dxa" w:w="80"/>
              <w:right w:type="dxa" w:w="130"/>
            </w:tcMar>
          </w:tcPr>
          <w:p>
            <w:r>
              <w:rPr>
                <w:sz w:val="19"/>
                <w:szCs w:val="19"/>
              </w:rPr>
              <w:t xml:space="preserve">429</w:t>
            </w:r>
          </w:p>
        </w:tc>
        <w:tc>
          <w:tcPr>
            <w:tcW w:type="dxa" w:w="2400"/>
            <w:shd w:fill="FFFFFF" w:val="clear"/>
            <w:tcMar>
              <w:top w:type="dxa" w:w="80"/>
              <w:left w:type="dxa" w:w="130"/>
              <w:bottom w:type="dxa" w:w="80"/>
              <w:right w:type="dxa" w:w="130"/>
            </w:tcMar>
          </w:tcPr>
          <w:p>
            <w:r>
              <w:rPr>
                <w:sz w:val="19"/>
                <w:szCs w:val="19"/>
              </w:rPr>
              <w:t xml:space="preserve">24.9%</w:t>
            </w:r>
          </w:p>
        </w:tc>
        <w:tc>
          <w:tcPr>
            <w:tcW w:type="dxa" w:w="2400"/>
            <w:shd w:fill="FFFFFF" w:val="clear"/>
            <w:tcMar>
              <w:top w:type="dxa" w:w="80"/>
              <w:left w:type="dxa" w:w="130"/>
              <w:bottom w:type="dxa" w:w="80"/>
              <w:right w:type="dxa" w:w="130"/>
            </w:tcMar>
          </w:tcPr>
          <w:p>
            <w:r>
              <w:rPr>
                <w:sz w:val="19"/>
                <w:szCs w:val="19"/>
              </w:rPr>
              <w:t xml:space="preserve">2.26x</w:t>
            </w:r>
          </w:p>
        </w:tc>
      </w:tr>
      <w:tr>
        <w:tc>
          <w:tcPr>
            <w:tcW w:type="dxa" w:w="2200"/>
            <w:shd w:fill="F5F8FB" w:val="clear"/>
            <w:tcMar>
              <w:top w:type="dxa" w:w="80"/>
              <w:left w:type="dxa" w:w="130"/>
              <w:bottom w:type="dxa" w:w="80"/>
              <w:right w:type="dxa" w:w="130"/>
            </w:tcMar>
          </w:tcPr>
          <w:p>
            <w:r>
              <w:rPr>
                <w:sz w:val="19"/>
                <w:szCs w:val="19"/>
              </w:rPr>
              <w:t xml:space="preserve">1024</w:t>
            </w:r>
          </w:p>
        </w:tc>
        <w:tc>
          <w:tcPr>
            <w:tcW w:type="dxa" w:w="2000"/>
            <w:shd w:fill="F5F8FB" w:val="clear"/>
            <w:tcMar>
              <w:top w:type="dxa" w:w="80"/>
              <w:left w:type="dxa" w:w="130"/>
              <w:bottom w:type="dxa" w:w="80"/>
              <w:right w:type="dxa" w:w="130"/>
            </w:tcMar>
          </w:tcPr>
          <w:p>
            <w:r>
              <w:rPr>
                <w:sz w:val="19"/>
                <w:szCs w:val="19"/>
              </w:rPr>
              <w:t xml:space="preserve">420</w:t>
            </w:r>
          </w:p>
        </w:tc>
        <w:tc>
          <w:tcPr>
            <w:tcW w:type="dxa" w:w="2400"/>
            <w:shd w:fill="F5F8FB" w:val="clear"/>
            <w:tcMar>
              <w:top w:type="dxa" w:w="80"/>
              <w:left w:type="dxa" w:w="130"/>
              <w:bottom w:type="dxa" w:w="80"/>
              <w:right w:type="dxa" w:w="130"/>
            </w:tcMar>
          </w:tcPr>
          <w:p>
            <w:r>
              <w:rPr>
                <w:sz w:val="19"/>
                <w:szCs w:val="19"/>
              </w:rPr>
              <w:t xml:space="preserve">24.5%</w:t>
            </w:r>
          </w:p>
        </w:tc>
        <w:tc>
          <w:tcPr>
            <w:tcW w:type="dxa" w:w="2400"/>
            <w:shd w:fill="F5F8FB" w:val="clear"/>
            <w:tcMar>
              <w:top w:type="dxa" w:w="80"/>
              <w:left w:type="dxa" w:w="130"/>
              <w:bottom w:type="dxa" w:w="80"/>
              <w:right w:type="dxa" w:w="130"/>
            </w:tcMar>
          </w:tcPr>
          <w:p>
            <w:r>
              <w:rPr>
                <w:sz w:val="19"/>
                <w:szCs w:val="19"/>
              </w:rPr>
              <w:t xml:space="preserve">2.22x</w:t>
            </w:r>
          </w:p>
        </w:tc>
      </w:tr>
      <w:tr>
        <w:tc>
          <w:tcPr>
            <w:tcW w:type="dxa" w:w="2200"/>
            <w:shd w:fill="FFFFFF" w:val="clear"/>
            <w:tcMar>
              <w:top w:type="dxa" w:w="80"/>
              <w:left w:type="dxa" w:w="130"/>
              <w:bottom w:type="dxa" w:w="80"/>
              <w:right w:type="dxa" w:w="130"/>
            </w:tcMar>
          </w:tcPr>
          <w:p>
            <w:r>
              <w:rPr>
                <w:sz w:val="19"/>
                <w:szCs w:val="19"/>
              </w:rPr>
              <w:t xml:space="preserve">4096</w:t>
            </w:r>
          </w:p>
        </w:tc>
        <w:tc>
          <w:tcPr>
            <w:tcW w:type="dxa" w:w="2000"/>
            <w:shd w:fill="FFFFFF" w:val="clear"/>
            <w:tcMar>
              <w:top w:type="dxa" w:w="80"/>
              <w:left w:type="dxa" w:w="130"/>
              <w:bottom w:type="dxa" w:w="80"/>
              <w:right w:type="dxa" w:w="130"/>
            </w:tcMar>
          </w:tcPr>
          <w:p>
            <w:r>
              <w:rPr>
                <w:sz w:val="19"/>
                <w:szCs w:val="19"/>
              </w:rPr>
              <w:t xml:space="preserve">399</w:t>
            </w:r>
          </w:p>
        </w:tc>
        <w:tc>
          <w:tcPr>
            <w:tcW w:type="dxa" w:w="2400"/>
            <w:shd w:fill="FFFFFF" w:val="clear"/>
            <w:tcMar>
              <w:top w:type="dxa" w:w="80"/>
              <w:left w:type="dxa" w:w="130"/>
              <w:bottom w:type="dxa" w:w="80"/>
              <w:right w:type="dxa" w:w="130"/>
            </w:tcMar>
          </w:tcPr>
          <w:p>
            <w:r>
              <w:rPr>
                <w:sz w:val="19"/>
                <w:szCs w:val="19"/>
              </w:rPr>
              <w:t xml:space="preserve">25.3%</w:t>
            </w:r>
          </w:p>
        </w:tc>
        <w:tc>
          <w:tcPr>
            <w:tcW w:type="dxa" w:w="2400"/>
            <w:shd w:fill="FFFFFF" w:val="clear"/>
            <w:tcMar>
              <w:top w:type="dxa" w:w="80"/>
              <w:left w:type="dxa" w:w="130"/>
              <w:bottom w:type="dxa" w:w="80"/>
              <w:right w:type="dxa" w:w="130"/>
            </w:tcMar>
          </w:tcPr>
          <w:p>
            <w:r>
              <w:rPr>
                <w:sz w:val="19"/>
                <w:szCs w:val="19"/>
              </w:rPr>
              <w:t xml:space="preserve">2.29x</w:t>
            </w:r>
          </w:p>
        </w:tc>
      </w:tr>
    </w:tbl>
    <w:p>
      <w:pPr>
        <w:spacing w:after="130" w:line="300"/>
      </w:pPr>
      <w:r>
        <w:t xml:space="preserve">Lift moves from 2.18 to 2.29 across the whole range. It barely matters on this data. The default of 256 is kept, now on evidence rather than on assertion.</w:t>
      </w:r>
    </w:p>
    <w:p>
      <w:pPr>
        <w:pStyle w:val="Heading2"/>
        <w:spacing w:after="120" w:before="300"/>
      </w:pPr>
      <w:r>
        <w:t xml:space="preserve">5.2 Volatility purging is not the right baseline</w:t>
      </w:r>
    </w:p>
    <w:p>
      <w:pPr>
        <w:spacing w:after="130" w:line="300"/>
      </w:pPr>
      <w:r>
        <w:t xml:space="preserve">Phase 2 found something striking: a detector trained on all market history through 2020 fired ZERO alerts across 1,344 out-of-sample days. Having been shown 2008 and March 2020, it had learned that catastrophe is ordinary. Volatility purging — withholding the most turbulent days from training — restored firing, and the Phase 2 documentation concluded that purging should become the default.</w:t>
      </w:r>
    </w:p>
    <w:p>
      <w:pPr>
        <w:spacing w:after="130" w:line="300"/>
      </w:pPr>
      <w:r>
        <w:t xml:space="preserve">On the per-stock model that conclusion is wrong. Measured on 2021 to 2026, signal defined as intensity 0.99 or above combined with AcceleratingDecline, against a base crash rate of 11.0%: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500"/>
        <w:gridCol w:w="1800"/>
        <w:gridCol w:w="1700"/>
      </w:tblGrid>
      <w:tr>
        <w:trPr>
          <w:tblHeader/>
        </w:trPr>
        <w:tc>
          <w:tcPr>
            <w:tcW w:type="dxa" w:w="1900"/>
            <w:shd w:fill="1F4E79" w:val="clear"/>
            <w:tcMar>
              <w:top w:type="dxa" w:w="90"/>
              <w:left w:type="dxa" w:w="130"/>
              <w:bottom w:type="dxa" w:w="90"/>
              <w:right w:type="dxa" w:w="130"/>
            </w:tcMar>
          </w:tcPr>
          <w:p>
            <w:r>
              <w:rPr>
                <w:b/>
                <w:bCs/>
                <w:color w:val="FFFFFF"/>
                <w:sz w:val="19"/>
                <w:szCs w:val="19"/>
              </w:rPr>
              <w:t xml:space="preserve">Purge quantile</w:t>
            </w:r>
          </w:p>
        </w:tc>
        <w:tc>
          <w:tcPr>
            <w:tcW w:type="dxa" w:w="2100"/>
            <w:shd w:fill="1F4E79" w:val="clear"/>
            <w:tcMar>
              <w:top w:type="dxa" w:w="90"/>
              <w:left w:type="dxa" w:w="130"/>
              <w:bottom w:type="dxa" w:w="90"/>
              <w:right w:type="dxa" w:w="130"/>
            </w:tcMar>
          </w:tcPr>
          <w:p>
            <w:r>
              <w:rPr>
                <w:b/>
                <w:bCs/>
                <w:color w:val="FFFFFF"/>
                <w:sz w:val="19"/>
                <w:szCs w:val="19"/>
              </w:rPr>
              <w:t xml:space="preserve">Training rows</w:t>
            </w:r>
          </w:p>
        </w:tc>
        <w:tc>
          <w:tcPr>
            <w:tcW w:type="dxa" w:w="1500"/>
            <w:shd w:fill="1F4E79" w:val="clear"/>
            <w:tcMar>
              <w:top w:type="dxa" w:w="90"/>
              <w:left w:type="dxa" w:w="130"/>
              <w:bottom w:type="dxa" w:w="90"/>
              <w:right w:type="dxa" w:w="130"/>
            </w:tcMar>
          </w:tcPr>
          <w:p>
            <w:r>
              <w:rPr>
                <w:b/>
                <w:bCs/>
                <w:color w:val="FFFFFF"/>
                <w:sz w:val="19"/>
                <w:szCs w:val="19"/>
              </w:rPr>
              <w:t xml:space="preserve">Signals</w:t>
            </w:r>
          </w:p>
        </w:tc>
        <w:tc>
          <w:tcPr>
            <w:tcW w:type="dxa" w:w="1800"/>
            <w:shd w:fill="1F4E79" w:val="clear"/>
            <w:tcMar>
              <w:top w:type="dxa" w:w="90"/>
              <w:left w:type="dxa" w:w="130"/>
              <w:bottom w:type="dxa" w:w="90"/>
              <w:right w:type="dxa" w:w="130"/>
            </w:tcMar>
          </w:tcPr>
          <w:p>
            <w:r>
              <w:rPr>
                <w:b/>
                <w:bCs/>
                <w:color w:val="FFFFFF"/>
                <w:sz w:val="19"/>
                <w:szCs w:val="19"/>
              </w:rPr>
              <w:t xml:space="preserve">P(crash)</w:t>
            </w:r>
          </w:p>
        </w:tc>
        <w:tc>
          <w:tcPr>
            <w:tcW w:type="dxa" w:w="1700"/>
            <w:shd w:fill="1F4E79" w:val="clear"/>
            <w:tcMar>
              <w:top w:type="dxa" w:w="90"/>
              <w:left w:type="dxa" w:w="130"/>
              <w:bottom w:type="dxa" w:w="90"/>
              <w:right w:type="dxa" w:w="130"/>
            </w:tcMar>
          </w:tcPr>
          <w:p>
            <w:r>
              <w:rPr>
                <w:b/>
                <w:bCs/>
                <w:color w:val="FFFFFF"/>
                <w:sz w:val="19"/>
                <w:szCs w:val="19"/>
              </w:rPr>
              <w:t xml:space="preserve">Lift</w:t>
            </w:r>
          </w:p>
        </w:tc>
      </w:tr>
      <w:tr>
        <w:tc>
          <w:tcPr>
            <w:tcW w:type="dxa" w:w="1900"/>
            <w:shd w:fill="F5F8FB" w:val="clear"/>
            <w:tcMar>
              <w:top w:type="dxa" w:w="80"/>
              <w:left w:type="dxa" w:w="130"/>
              <w:bottom w:type="dxa" w:w="80"/>
              <w:right w:type="dxa" w:w="130"/>
            </w:tcMar>
          </w:tcPr>
          <w:p>
            <w:r>
              <w:rPr>
                <w:sz w:val="19"/>
                <w:szCs w:val="19"/>
              </w:rPr>
              <w:t xml:space="preserve">none</w:t>
            </w:r>
          </w:p>
        </w:tc>
        <w:tc>
          <w:tcPr>
            <w:tcW w:type="dxa" w:w="2100"/>
            <w:shd w:fill="F5F8FB" w:val="clear"/>
            <w:tcMar>
              <w:top w:type="dxa" w:w="80"/>
              <w:left w:type="dxa" w:w="130"/>
              <w:bottom w:type="dxa" w:w="80"/>
              <w:right w:type="dxa" w:w="130"/>
            </w:tcMar>
          </w:tcPr>
          <w:p>
            <w:r>
              <w:rPr>
                <w:sz w:val="19"/>
                <w:szCs w:val="19"/>
              </w:rPr>
              <w:t xml:space="preserve">106,157</w:t>
            </w:r>
          </w:p>
        </w:tc>
        <w:tc>
          <w:tcPr>
            <w:tcW w:type="dxa" w:w="1500"/>
            <w:shd w:fill="F5F8FB" w:val="clear"/>
            <w:tcMar>
              <w:top w:type="dxa" w:w="80"/>
              <w:left w:type="dxa" w:w="130"/>
              <w:bottom w:type="dxa" w:w="80"/>
              <w:right w:type="dxa" w:w="130"/>
            </w:tcMar>
          </w:tcPr>
          <w:p>
            <w:r>
              <w:rPr>
                <w:sz w:val="19"/>
                <w:szCs w:val="19"/>
              </w:rPr>
              <w:t xml:space="preserve">125</w:t>
            </w:r>
          </w:p>
        </w:tc>
        <w:tc>
          <w:tcPr>
            <w:tcW w:type="dxa" w:w="1800"/>
            <w:shd w:fill="F5F8FB" w:val="clear"/>
            <w:tcMar>
              <w:top w:type="dxa" w:w="80"/>
              <w:left w:type="dxa" w:w="130"/>
              <w:bottom w:type="dxa" w:w="80"/>
              <w:right w:type="dxa" w:w="130"/>
            </w:tcMar>
          </w:tcPr>
          <w:p>
            <w:r>
              <w:rPr>
                <w:sz w:val="19"/>
                <w:szCs w:val="19"/>
              </w:rPr>
              <w:t xml:space="preserve">38.4%</w:t>
            </w:r>
          </w:p>
        </w:tc>
        <w:tc>
          <w:tcPr>
            <w:tcW w:type="dxa" w:w="1700"/>
            <w:shd w:fill="F5F8FB" w:val="clear"/>
            <w:tcMar>
              <w:top w:type="dxa" w:w="80"/>
              <w:left w:type="dxa" w:w="130"/>
              <w:bottom w:type="dxa" w:w="80"/>
              <w:right w:type="dxa" w:w="130"/>
            </w:tcMar>
          </w:tcPr>
          <w:p>
            <w:r>
              <w:rPr>
                <w:sz w:val="19"/>
                <w:szCs w:val="19"/>
              </w:rPr>
              <w:t xml:space="preserve">3.48x</w:t>
            </w:r>
          </w:p>
        </w:tc>
      </w:tr>
      <w:tr>
        <w:tc>
          <w:tcPr>
            <w:tcW w:type="dxa" w:w="1900"/>
            <w:shd w:fill="FFFFFF" w:val="clear"/>
            <w:tcMar>
              <w:top w:type="dxa" w:w="80"/>
              <w:left w:type="dxa" w:w="130"/>
              <w:bottom w:type="dxa" w:w="80"/>
              <w:right w:type="dxa" w:w="130"/>
            </w:tcMar>
          </w:tcPr>
          <w:p>
            <w:r>
              <w:rPr>
                <w:sz w:val="19"/>
                <w:szCs w:val="19"/>
              </w:rPr>
              <w:t xml:space="preserve">0.99</w:t>
            </w:r>
          </w:p>
        </w:tc>
        <w:tc>
          <w:tcPr>
            <w:tcW w:type="dxa" w:w="2100"/>
            <w:shd w:fill="FFFFFF" w:val="clear"/>
            <w:tcMar>
              <w:top w:type="dxa" w:w="80"/>
              <w:left w:type="dxa" w:w="130"/>
              <w:bottom w:type="dxa" w:w="80"/>
              <w:right w:type="dxa" w:w="130"/>
            </w:tcMar>
          </w:tcPr>
          <w:p>
            <w:r>
              <w:rPr>
                <w:sz w:val="19"/>
                <w:szCs w:val="19"/>
              </w:rPr>
              <w:t xml:space="preserve">105,006</w:t>
            </w:r>
          </w:p>
        </w:tc>
        <w:tc>
          <w:tcPr>
            <w:tcW w:type="dxa" w:w="1500"/>
            <w:shd w:fill="FFFFFF" w:val="clear"/>
            <w:tcMar>
              <w:top w:type="dxa" w:w="80"/>
              <w:left w:type="dxa" w:w="130"/>
              <w:bottom w:type="dxa" w:w="80"/>
              <w:right w:type="dxa" w:w="130"/>
            </w:tcMar>
          </w:tcPr>
          <w:p>
            <w:r>
              <w:rPr>
                <w:sz w:val="19"/>
                <w:szCs w:val="19"/>
              </w:rPr>
              <w:t xml:space="preserve">205</w:t>
            </w:r>
          </w:p>
        </w:tc>
        <w:tc>
          <w:tcPr>
            <w:tcW w:type="dxa" w:w="1800"/>
            <w:shd w:fill="FFFFFF" w:val="clear"/>
            <w:tcMar>
              <w:top w:type="dxa" w:w="80"/>
              <w:left w:type="dxa" w:w="130"/>
              <w:bottom w:type="dxa" w:w="80"/>
              <w:right w:type="dxa" w:w="130"/>
            </w:tcMar>
          </w:tcPr>
          <w:p>
            <w:r>
              <w:rPr>
                <w:sz w:val="19"/>
                <w:szCs w:val="19"/>
              </w:rPr>
              <w:t xml:space="preserve">29.3%</w:t>
            </w:r>
          </w:p>
        </w:tc>
        <w:tc>
          <w:tcPr>
            <w:tcW w:type="dxa" w:w="1700"/>
            <w:shd w:fill="FFFFFF" w:val="clear"/>
            <w:tcMar>
              <w:top w:type="dxa" w:w="80"/>
              <w:left w:type="dxa" w:w="130"/>
              <w:bottom w:type="dxa" w:w="80"/>
              <w:right w:type="dxa" w:w="130"/>
            </w:tcMar>
          </w:tcPr>
          <w:p>
            <w:r>
              <w:rPr>
                <w:sz w:val="19"/>
                <w:szCs w:val="19"/>
              </w:rPr>
              <w:t xml:space="preserve">2.65x</w:t>
            </w:r>
          </w:p>
        </w:tc>
      </w:tr>
      <w:tr>
        <w:tc>
          <w:tcPr>
            <w:tcW w:type="dxa" w:w="1900"/>
            <w:shd w:fill="F5F8FB" w:val="clear"/>
            <w:tcMar>
              <w:top w:type="dxa" w:w="80"/>
              <w:left w:type="dxa" w:w="130"/>
              <w:bottom w:type="dxa" w:w="80"/>
              <w:right w:type="dxa" w:w="130"/>
            </w:tcMar>
          </w:tcPr>
          <w:p>
            <w:r>
              <w:rPr>
                <w:sz w:val="19"/>
                <w:szCs w:val="19"/>
              </w:rPr>
              <w:t xml:space="preserve">0.95</w:t>
            </w:r>
          </w:p>
        </w:tc>
        <w:tc>
          <w:tcPr>
            <w:tcW w:type="dxa" w:w="2100"/>
            <w:shd w:fill="F5F8FB" w:val="clear"/>
            <w:tcMar>
              <w:top w:type="dxa" w:w="80"/>
              <w:left w:type="dxa" w:w="130"/>
              <w:bottom w:type="dxa" w:w="80"/>
              <w:right w:type="dxa" w:w="130"/>
            </w:tcMar>
          </w:tcPr>
          <w:p>
            <w:r>
              <w:rPr>
                <w:sz w:val="19"/>
                <w:szCs w:val="19"/>
              </w:rPr>
              <w:t xml:space="preserve">100,726</w:t>
            </w:r>
          </w:p>
        </w:tc>
        <w:tc>
          <w:tcPr>
            <w:tcW w:type="dxa" w:w="1500"/>
            <w:shd w:fill="F5F8FB" w:val="clear"/>
            <w:tcMar>
              <w:top w:type="dxa" w:w="80"/>
              <w:left w:type="dxa" w:w="130"/>
              <w:bottom w:type="dxa" w:w="80"/>
              <w:right w:type="dxa" w:w="130"/>
            </w:tcMar>
          </w:tcPr>
          <w:p>
            <w:r>
              <w:rPr>
                <w:sz w:val="19"/>
                <w:szCs w:val="19"/>
              </w:rPr>
              <w:t xml:space="preserve">420</w:t>
            </w:r>
          </w:p>
        </w:tc>
        <w:tc>
          <w:tcPr>
            <w:tcW w:type="dxa" w:w="1800"/>
            <w:shd w:fill="F5F8FB" w:val="clear"/>
            <w:tcMar>
              <w:top w:type="dxa" w:w="80"/>
              <w:left w:type="dxa" w:w="130"/>
              <w:bottom w:type="dxa" w:w="80"/>
              <w:right w:type="dxa" w:w="130"/>
            </w:tcMar>
          </w:tcPr>
          <w:p>
            <w:r>
              <w:rPr>
                <w:sz w:val="19"/>
                <w:szCs w:val="19"/>
              </w:rPr>
              <w:t xml:space="preserve">24.8%</w:t>
            </w:r>
          </w:p>
        </w:tc>
        <w:tc>
          <w:tcPr>
            <w:tcW w:type="dxa" w:w="1700"/>
            <w:shd w:fill="F5F8FB" w:val="clear"/>
            <w:tcMar>
              <w:top w:type="dxa" w:w="80"/>
              <w:left w:type="dxa" w:w="130"/>
              <w:bottom w:type="dxa" w:w="80"/>
              <w:right w:type="dxa" w:w="130"/>
            </w:tcMar>
          </w:tcPr>
          <w:p>
            <w:r>
              <w:rPr>
                <w:sz w:val="19"/>
                <w:szCs w:val="19"/>
              </w:rPr>
              <w:t xml:space="preserve">2.24x</w:t>
            </w:r>
          </w:p>
        </w:tc>
      </w:tr>
      <w:tr>
        <w:tc>
          <w:tcPr>
            <w:tcW w:type="dxa" w:w="1900"/>
            <w:shd w:fill="FFFFFF" w:val="clear"/>
            <w:tcMar>
              <w:top w:type="dxa" w:w="80"/>
              <w:left w:type="dxa" w:w="130"/>
              <w:bottom w:type="dxa" w:w="80"/>
              <w:right w:type="dxa" w:w="130"/>
            </w:tcMar>
          </w:tcPr>
          <w:p>
            <w:r>
              <w:rPr>
                <w:sz w:val="19"/>
                <w:szCs w:val="19"/>
              </w:rPr>
              <w:t xml:space="preserve">0.90</w:t>
            </w:r>
          </w:p>
        </w:tc>
        <w:tc>
          <w:tcPr>
            <w:tcW w:type="dxa" w:w="2100"/>
            <w:shd w:fill="FFFFFF" w:val="clear"/>
            <w:tcMar>
              <w:top w:type="dxa" w:w="80"/>
              <w:left w:type="dxa" w:w="130"/>
              <w:bottom w:type="dxa" w:w="80"/>
              <w:right w:type="dxa" w:w="130"/>
            </w:tcMar>
          </w:tcPr>
          <w:p>
            <w:r>
              <w:rPr>
                <w:sz w:val="19"/>
                <w:szCs w:val="19"/>
              </w:rPr>
              <w:t xml:space="preserve">95,329</w:t>
            </w:r>
          </w:p>
        </w:tc>
        <w:tc>
          <w:tcPr>
            <w:tcW w:type="dxa" w:w="1500"/>
            <w:shd w:fill="FFFFFF" w:val="clear"/>
            <w:tcMar>
              <w:top w:type="dxa" w:w="80"/>
              <w:left w:type="dxa" w:w="130"/>
              <w:bottom w:type="dxa" w:w="80"/>
              <w:right w:type="dxa" w:w="130"/>
            </w:tcMar>
          </w:tcPr>
          <w:p>
            <w:r>
              <w:rPr>
                <w:sz w:val="19"/>
                <w:szCs w:val="19"/>
              </w:rPr>
              <w:t xml:space="preserve">444</w:t>
            </w:r>
          </w:p>
        </w:tc>
        <w:tc>
          <w:tcPr>
            <w:tcW w:type="dxa" w:w="1800"/>
            <w:shd w:fill="FFFFFF" w:val="clear"/>
            <w:tcMar>
              <w:top w:type="dxa" w:w="80"/>
              <w:left w:type="dxa" w:w="130"/>
              <w:bottom w:type="dxa" w:w="80"/>
              <w:right w:type="dxa" w:w="130"/>
            </w:tcMar>
          </w:tcPr>
          <w:p>
            <w:r>
              <w:rPr>
                <w:sz w:val="19"/>
                <w:szCs w:val="19"/>
              </w:rPr>
              <w:t xml:space="preserve">24.5%</w:t>
            </w:r>
          </w:p>
        </w:tc>
        <w:tc>
          <w:tcPr>
            <w:tcW w:type="dxa" w:w="1700"/>
            <w:shd w:fill="FFFFFF" w:val="clear"/>
            <w:tcMar>
              <w:top w:type="dxa" w:w="80"/>
              <w:left w:type="dxa" w:w="130"/>
              <w:bottom w:type="dxa" w:w="80"/>
              <w:right w:type="dxa" w:w="130"/>
            </w:tcMar>
          </w:tcPr>
          <w:p>
            <w:r>
              <w:rPr>
                <w:sz w:val="19"/>
                <w:szCs w:val="19"/>
              </w:rPr>
              <w:t xml:space="preserve">2.22x</w:t>
            </w:r>
          </w:p>
        </w:tc>
      </w:tr>
      <w:tr>
        <w:tc>
          <w:tcPr>
            <w:tcW w:type="dxa" w:w="1900"/>
            <w:shd w:fill="F5F8FB" w:val="clear"/>
            <w:tcMar>
              <w:top w:type="dxa" w:w="80"/>
              <w:left w:type="dxa" w:w="130"/>
              <w:bottom w:type="dxa" w:w="80"/>
              <w:right w:type="dxa" w:w="130"/>
            </w:tcMar>
          </w:tcPr>
          <w:p>
            <w:r>
              <w:rPr>
                <w:sz w:val="19"/>
                <w:szCs w:val="19"/>
              </w:rPr>
              <w:t xml:space="preserve">0.75</w:t>
            </w:r>
          </w:p>
        </w:tc>
        <w:tc>
          <w:tcPr>
            <w:tcW w:type="dxa" w:w="2100"/>
            <w:shd w:fill="F5F8FB" w:val="clear"/>
            <w:tcMar>
              <w:top w:type="dxa" w:w="80"/>
              <w:left w:type="dxa" w:w="130"/>
              <w:bottom w:type="dxa" w:w="80"/>
              <w:right w:type="dxa" w:w="130"/>
            </w:tcMar>
          </w:tcPr>
          <w:p>
            <w:r>
              <w:rPr>
                <w:sz w:val="19"/>
                <w:szCs w:val="19"/>
              </w:rPr>
              <w:t xml:space="preserve">79,336</w:t>
            </w:r>
          </w:p>
        </w:tc>
        <w:tc>
          <w:tcPr>
            <w:tcW w:type="dxa" w:w="1500"/>
            <w:shd w:fill="F5F8FB" w:val="clear"/>
            <w:tcMar>
              <w:top w:type="dxa" w:w="80"/>
              <w:left w:type="dxa" w:w="130"/>
              <w:bottom w:type="dxa" w:w="80"/>
              <w:right w:type="dxa" w:w="130"/>
            </w:tcMar>
          </w:tcPr>
          <w:p>
            <w:r>
              <w:rPr>
                <w:sz w:val="19"/>
                <w:szCs w:val="19"/>
              </w:rPr>
              <w:t xml:space="preserve">645</w:t>
            </w:r>
          </w:p>
        </w:tc>
        <w:tc>
          <w:tcPr>
            <w:tcW w:type="dxa" w:w="1800"/>
            <w:shd w:fill="F5F8FB" w:val="clear"/>
            <w:tcMar>
              <w:top w:type="dxa" w:w="80"/>
              <w:left w:type="dxa" w:w="130"/>
              <w:bottom w:type="dxa" w:w="80"/>
              <w:right w:type="dxa" w:w="130"/>
            </w:tcMar>
          </w:tcPr>
          <w:p>
            <w:r>
              <w:rPr>
                <w:sz w:val="19"/>
                <w:szCs w:val="19"/>
              </w:rPr>
              <w:t xml:space="preserve">20.8%</w:t>
            </w:r>
          </w:p>
        </w:tc>
        <w:tc>
          <w:tcPr>
            <w:tcW w:type="dxa" w:w="1700"/>
            <w:shd w:fill="F5F8FB" w:val="clear"/>
            <w:tcMar>
              <w:top w:type="dxa" w:w="80"/>
              <w:left w:type="dxa" w:w="130"/>
              <w:bottom w:type="dxa" w:w="80"/>
              <w:right w:type="dxa" w:w="130"/>
            </w:tcMar>
          </w:tcPr>
          <w:p>
            <w:r>
              <w:rPr>
                <w:sz w:val="19"/>
                <w:szCs w:val="19"/>
              </w:rPr>
              <w:t xml:space="preserve">1.88x</w:t>
            </w:r>
          </w:p>
        </w:tc>
      </w:tr>
    </w:tbl>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Why the earlier finding did not transfer</w:t>
            </w:r>
          </w:p>
          <w:p>
            <w:pPr>
              <w:spacing w:after="70" w:line="300"/>
            </w:pPr>
            <w:r>
              <w:t xml:space="preserve">The zero-alert result came from MARKET-level features — six series — trained across 2006 to 2020, a window containing both the global financial crisis and COVID. In that setting a couple of crises really can dominate the training distribution.</w:t>
            </w:r>
          </w:p>
          <w:p>
            <w:pPr>
              <w:spacing w:after="70" w:line="300"/>
            </w:pPr>
            <w:r>
              <w:t xml:space="preserve">The per-stock model pools 96 symbols over 2016 to 2020: 106,157 rows, most of which are ordinary days for ordinary stocks even during a crisis. No single episode dominates, so the silence problem never arises.</w:t>
            </w:r>
          </w:p>
          <w:p>
            <w:pPr>
              <w:spacing w:after="0" w:line="300"/>
            </w:pPr>
            <w:r>
              <w:t xml:space="preserve">Purging then only removes useful information. The relationship is monotone — it buys coverage at the cost of precision.</w:t>
            </w:r>
          </w:p>
        </w:tc>
      </w:tr>
    </w:tbl>
    <w:p>
      <w:pPr>
        <w:spacing w:after="130" w:line="300"/>
      </w:pPr>
      <w:r>
        <w:t xml:space="preserve">Purging reverts to what it originally was: one of four retraining variants to be compared in Phase 7, not the baseline. The lesson generalises — a finding measured on one representation of the data does not automatically transfer to another.</w:t>
      </w:r>
    </w:p>
    <w:p>
      <w:r>
        <w:br w:type="page"/>
      </w:r>
    </w:p>
    <w:p>
      <w:pPr>
        <w:pStyle w:val="Heading1"/>
        <w:spacing w:after="160" w:before="360"/>
      </w:pPr>
      <w:r>
        <w:t xml:space="preserve">6. Results</w:t>
      </w:r>
    </w:p>
    <w:p>
      <w:pPr>
        <w:shd w:fill="F2F2F2" w:val="clear"/>
        <w:spacing w:after="0" w:before="70"/>
        <w:ind w:left="240"/>
      </w:pPr>
      <w:r>
        <w:rPr>
          <w:rFonts w:ascii="Consolas" w:cs="Consolas" w:eastAsia="Consolas" w:hAnsi="Consolas"/>
          <w:sz w:val="18"/>
          <w:szCs w:val="18"/>
        </w:rPr>
        <w:t xml:space="preserve">training window 2016-01-01 to 2020-12-31: 108,008 symbol-days</w:t>
      </w:r>
    </w:p>
    <w:p>
      <w:pPr>
        <w:shd w:fill="F2F2F2" w:val="clear"/>
        <w:spacing w:after="0" w:before="0"/>
        <w:ind w:left="240"/>
      </w:pPr>
      <w:r>
        <w:rPr>
          <w:rFonts w:ascii="Consolas" w:cs="Consolas" w:eastAsia="Consolas" w:hAnsi="Consolas"/>
          <w:sz w:val="18"/>
          <w:szCs w:val="18"/>
        </w:rPr>
        <w:t xml:space="preserve">volatility purge: disabled (baseline)</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fitted on 106,157 complete rows</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out-of-sample (2021-01-01 onward): 128,737 symbol-days</w:t>
      </w:r>
    </w:p>
    <w:p>
      <w:pPr>
        <w:shd w:fill="F2F2F2" w:val="clear"/>
        <w:spacing w:after="0" w:before="0"/>
        <w:ind w:left="240"/>
      </w:pPr>
      <w:r>
        <w:rPr>
          <w:rFonts w:ascii="Consolas" w:cs="Consolas" w:eastAsia="Consolas" w:hAnsi="Consolas"/>
          <w:sz w:val="18"/>
          <w:szCs w:val="18"/>
        </w:rPr>
        <w:t xml:space="preserve">  High          328  ( 0.25%)</w:t>
      </w:r>
    </w:p>
    <w:p>
      <w:pPr>
        <w:shd w:fill="F2F2F2" w:val="clear"/>
        <w:spacing w:after="0" w:before="0"/>
        <w:ind w:left="240"/>
      </w:pPr>
      <w:r>
        <w:rPr>
          <w:rFonts w:ascii="Consolas" w:cs="Consolas" w:eastAsia="Consolas" w:hAnsi="Consolas"/>
          <w:sz w:val="18"/>
          <w:szCs w:val="18"/>
        </w:rPr>
        <w:t xml:space="preserve">  Moderate    2,432  ( 1.89%)</w:t>
      </w:r>
    </w:p>
    <w:p>
      <w:pPr>
        <w:shd w:fill="F2F2F2" w:val="clear"/>
        <w:spacing w:after="0" w:before="0"/>
        <w:ind w:left="240"/>
      </w:pPr>
      <w:r>
        <w:rPr>
          <w:rFonts w:ascii="Consolas" w:cs="Consolas" w:eastAsia="Consolas" w:hAnsi="Consolas"/>
          <w:sz w:val="18"/>
          <w:szCs w:val="18"/>
        </w:rPr>
        <w:t xml:space="preserve">  Low         4,760  ( 3.70%)</w:t>
      </w:r>
    </w:p>
    <w:p>
      <w:pPr>
        <w:shd w:fill="F2F2F2" w:val="clear"/>
        <w:spacing w:after="0" w:before="0"/>
        <w:ind w:left="240"/>
      </w:pPr>
      <w:r>
        <w:rPr>
          <w:rFonts w:ascii="Consolas" w:cs="Consolas" w:eastAsia="Consolas" w:hAnsi="Consolas"/>
          <w:sz w:val="18"/>
          <w:szCs w:val="18"/>
        </w:rPr>
        <w:t xml:space="preserve"> </w:t>
      </w:r>
    </w:p>
    <w:p>
      <w:pPr>
        <w:shd w:fill="F2F2F2" w:val="clear"/>
        <w:spacing w:after="0" w:before="0"/>
        <w:ind w:left="240"/>
      </w:pPr>
      <w:r>
        <w:rPr>
          <w:rFonts w:ascii="Consolas" w:cs="Consolas" w:eastAsia="Consolas" w:hAnsi="Consolas"/>
          <w:sz w:val="18"/>
          <w:szCs w:val="18"/>
        </w:rPr>
        <w:t xml:space="preserve">  High-band alerts: 0.6 per symbol per year</w:t>
      </w:r>
    </w:p>
    <w:p>
      <w:pPr>
        <w:shd w:fill="F2F2F2" w:val="clear"/>
        <w:spacing w:after="170" w:before="0"/>
        <w:ind w:left="240"/>
      </w:pPr>
      <w:r>
        <w:rPr>
          <w:rFonts w:ascii="Consolas" w:cs="Consolas" w:eastAsia="Consolas" w:hAnsi="Consolas"/>
          <w:sz w:val="18"/>
          <w:szCs w:val="18"/>
        </w:rPr>
        <w:t xml:space="preserve">  ...of which AcceleratingDecline: 130 (40%)</w:t>
      </w:r>
    </w:p>
    <w:p>
      <w:pPr>
        <w:spacing w:after="130" w:line="300"/>
      </w:pPr>
      <w:r>
        <w:t xml:space="preserve">Roughly forty percent of High-band alerts are accompanied by an accelerating decline. The remainder are the direction-blindness in action: violent rallies and other unusual configurations that are genuinely anomalous but not bearish.</w:t>
      </w:r>
    </w:p>
    <w:p>
      <w:pPr>
        <w:pStyle w:val="Heading2"/>
        <w:spacing w:after="120" w:before="300"/>
      </w:pPr>
      <w:r>
        <w:t xml:space="preserve">6.1 Signal strength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800"/>
        <w:gridCol w:w="1900"/>
      </w:tblGrid>
      <w:tr>
        <w:trPr>
          <w:tblHeader/>
        </w:trPr>
        <w:tc>
          <w:tcPr>
            <w:tcW w:type="dxa" w:w="3800"/>
            <w:shd w:fill="1F4E79" w:val="clear"/>
            <w:tcMar>
              <w:top w:type="dxa" w:w="90"/>
              <w:left w:type="dxa" w:w="130"/>
              <w:bottom w:type="dxa" w:w="90"/>
              <w:right w:type="dxa" w:w="130"/>
            </w:tcMar>
          </w:tcPr>
          <w:p>
            <w:r>
              <w:rPr>
                <w:b/>
                <w:bCs/>
                <w:color w:val="FFFFFF"/>
                <w:sz w:val="19"/>
                <w:szCs w:val="19"/>
              </w:rPr>
              <w:t xml:space="preserve">Rule</w:t>
            </w:r>
          </w:p>
        </w:tc>
        <w:tc>
          <w:tcPr>
            <w:tcW w:type="dxa" w:w="1500"/>
            <w:shd w:fill="1F4E79" w:val="clear"/>
            <w:tcMar>
              <w:top w:type="dxa" w:w="90"/>
              <w:left w:type="dxa" w:w="130"/>
              <w:bottom w:type="dxa" w:w="90"/>
              <w:right w:type="dxa" w:w="130"/>
            </w:tcMar>
          </w:tcPr>
          <w:p>
            <w:r>
              <w:rPr>
                <w:b/>
                <w:bCs/>
                <w:color w:val="FFFFFF"/>
                <w:sz w:val="19"/>
                <w:szCs w:val="19"/>
              </w:rPr>
              <w:t xml:space="preserve">Days</w:t>
            </w:r>
          </w:p>
        </w:tc>
        <w:tc>
          <w:tcPr>
            <w:tcW w:type="dxa" w:w="1800"/>
            <w:shd w:fill="1F4E79" w:val="clear"/>
            <w:tcMar>
              <w:top w:type="dxa" w:w="90"/>
              <w:left w:type="dxa" w:w="130"/>
              <w:bottom w:type="dxa" w:w="90"/>
              <w:right w:type="dxa" w:w="130"/>
            </w:tcMar>
          </w:tcPr>
          <w:p>
            <w:r>
              <w:rPr>
                <w:b/>
                <w:bCs/>
                <w:color w:val="FFFFFF"/>
                <w:sz w:val="19"/>
                <w:szCs w:val="19"/>
              </w:rPr>
              <w:t xml:space="preserve">P(crash)</w:t>
            </w:r>
          </w:p>
        </w:tc>
        <w:tc>
          <w:tcPr>
            <w:tcW w:type="dxa" w:w="1900"/>
            <w:shd w:fill="1F4E79" w:val="clear"/>
            <w:tcMar>
              <w:top w:type="dxa" w:w="90"/>
              <w:left w:type="dxa" w:w="130"/>
              <w:bottom w:type="dxa" w:w="90"/>
              <w:right w:type="dxa" w:w="130"/>
            </w:tcMar>
          </w:tcPr>
          <w:p>
            <w:r>
              <w:rPr>
                <w:b/>
                <w:bCs/>
                <w:color w:val="FFFFFF"/>
                <w:sz w:val="19"/>
                <w:szCs w:val="19"/>
              </w:rPr>
              <w:t xml:space="preserve">Lift</w:t>
            </w:r>
          </w:p>
        </w:tc>
      </w:tr>
      <w:tr>
        <w:tc>
          <w:tcPr>
            <w:tcW w:type="dxa" w:w="3800"/>
            <w:shd w:fill="F5F8FB" w:val="clear"/>
            <w:tcMar>
              <w:top w:type="dxa" w:w="80"/>
              <w:left w:type="dxa" w:w="130"/>
              <w:bottom w:type="dxa" w:w="80"/>
              <w:right w:type="dxa" w:w="130"/>
            </w:tcMar>
          </w:tcPr>
          <w:p>
            <w:r>
              <w:rPr>
                <w:sz w:val="19"/>
                <w:szCs w:val="19"/>
              </w:rPr>
              <w:t xml:space="preserve">base rate</w:t>
            </w:r>
          </w:p>
        </w:tc>
        <w:tc>
          <w:tcPr>
            <w:tcW w:type="dxa" w:w="1500"/>
            <w:shd w:fill="F5F8FB" w:val="clear"/>
            <w:tcMar>
              <w:top w:type="dxa" w:w="80"/>
              <w:left w:type="dxa" w:w="130"/>
              <w:bottom w:type="dxa" w:w="80"/>
              <w:right w:type="dxa" w:w="130"/>
            </w:tcMar>
          </w:tcPr>
          <w:p>
            <w:r>
              <w:rPr>
                <w:sz w:val="19"/>
                <w:szCs w:val="19"/>
              </w:rPr>
              <w:t xml:space="preserve">—</w:t>
            </w:r>
          </w:p>
        </w:tc>
        <w:tc>
          <w:tcPr>
            <w:tcW w:type="dxa" w:w="1800"/>
            <w:shd w:fill="F5F8FB" w:val="clear"/>
            <w:tcMar>
              <w:top w:type="dxa" w:w="80"/>
              <w:left w:type="dxa" w:w="130"/>
              <w:bottom w:type="dxa" w:w="80"/>
              <w:right w:type="dxa" w:w="130"/>
            </w:tcMar>
          </w:tcPr>
          <w:p>
            <w:r>
              <w:rPr>
                <w:sz w:val="19"/>
                <w:szCs w:val="19"/>
              </w:rPr>
              <w:t xml:space="preserve">11.0%</w:t>
            </w:r>
          </w:p>
        </w:tc>
        <w:tc>
          <w:tcPr>
            <w:tcW w:type="dxa" w:w="1900"/>
            <w:shd w:fill="F5F8FB" w:val="clear"/>
            <w:tcMar>
              <w:top w:type="dxa" w:w="80"/>
              <w:left w:type="dxa" w:w="130"/>
              <w:bottom w:type="dxa" w:w="80"/>
              <w:right w:type="dxa" w:w="130"/>
            </w:tcMar>
          </w:tcPr>
          <w:p>
            <w:r>
              <w:rPr>
                <w:sz w:val="19"/>
                <w:szCs w:val="19"/>
              </w:rPr>
              <w:t xml:space="preserve">1.00x</w:t>
            </w:r>
          </w:p>
        </w:tc>
      </w:tr>
      <w:tr>
        <w:tc>
          <w:tcPr>
            <w:tcW w:type="dxa" w:w="3800"/>
            <w:shd w:fill="FFFFFF" w:val="clear"/>
            <w:tcMar>
              <w:top w:type="dxa" w:w="80"/>
              <w:left w:type="dxa" w:w="130"/>
              <w:bottom w:type="dxa" w:w="80"/>
              <w:right w:type="dxa" w:w="130"/>
            </w:tcMar>
          </w:tcPr>
          <w:p>
            <w:r>
              <w:rPr>
                <w:sz w:val="19"/>
                <w:szCs w:val="19"/>
              </w:rPr>
              <w:t xml:space="preserve">AcceleratingDecline alone, no model</w:t>
            </w:r>
          </w:p>
        </w:tc>
        <w:tc>
          <w:tcPr>
            <w:tcW w:type="dxa" w:w="1500"/>
            <w:shd w:fill="FFFFFF" w:val="clear"/>
            <w:tcMar>
              <w:top w:type="dxa" w:w="80"/>
              <w:left w:type="dxa" w:w="130"/>
              <w:bottom w:type="dxa" w:w="80"/>
              <w:right w:type="dxa" w:w="130"/>
            </w:tcMar>
          </w:tcPr>
          <w:p>
            <w:r>
              <w:rPr>
                <w:sz w:val="19"/>
                <w:szCs w:val="19"/>
              </w:rPr>
              <w:t xml:space="preserve">38,612</w:t>
            </w:r>
          </w:p>
        </w:tc>
        <w:tc>
          <w:tcPr>
            <w:tcW w:type="dxa" w:w="1800"/>
            <w:shd w:fill="FFFFFF" w:val="clear"/>
            <w:tcMar>
              <w:top w:type="dxa" w:w="80"/>
              <w:left w:type="dxa" w:w="130"/>
              <w:bottom w:type="dxa" w:w="80"/>
              <w:right w:type="dxa" w:w="130"/>
            </w:tcMar>
          </w:tcPr>
          <w:p>
            <w:r>
              <w:rPr>
                <w:sz w:val="19"/>
                <w:szCs w:val="19"/>
              </w:rPr>
              <w:t xml:space="preserve">12.0%</w:t>
            </w:r>
          </w:p>
        </w:tc>
        <w:tc>
          <w:tcPr>
            <w:tcW w:type="dxa" w:w="1900"/>
            <w:shd w:fill="FFFFFF" w:val="clear"/>
            <w:tcMar>
              <w:top w:type="dxa" w:w="80"/>
              <w:left w:type="dxa" w:w="130"/>
              <w:bottom w:type="dxa" w:w="80"/>
              <w:right w:type="dxa" w:w="130"/>
            </w:tcMar>
          </w:tcPr>
          <w:p>
            <w:r>
              <w:rPr>
                <w:sz w:val="19"/>
                <w:szCs w:val="19"/>
              </w:rPr>
              <w:t xml:space="preserve">1.10x</w:t>
            </w:r>
          </w:p>
        </w:tc>
      </w:tr>
      <w:tr>
        <w:tc>
          <w:tcPr>
            <w:tcW w:type="dxa" w:w="3800"/>
            <w:shd w:fill="F5F8FB" w:val="clear"/>
            <w:tcMar>
              <w:top w:type="dxa" w:w="80"/>
              <w:left w:type="dxa" w:w="130"/>
              <w:bottom w:type="dxa" w:w="80"/>
              <w:right w:type="dxa" w:w="130"/>
            </w:tcMar>
          </w:tcPr>
          <w:p>
            <w:r>
              <w:rPr>
                <w:sz w:val="19"/>
                <w:szCs w:val="19"/>
              </w:rPr>
              <w:t xml:space="preserve">slope_z below -1 alone, no model</w:t>
            </w:r>
          </w:p>
        </w:tc>
        <w:tc>
          <w:tcPr>
            <w:tcW w:type="dxa" w:w="1500"/>
            <w:shd w:fill="F5F8FB" w:val="clear"/>
            <w:tcMar>
              <w:top w:type="dxa" w:w="80"/>
              <w:left w:type="dxa" w:w="130"/>
              <w:bottom w:type="dxa" w:w="80"/>
              <w:right w:type="dxa" w:w="130"/>
            </w:tcMar>
          </w:tcPr>
          <w:p>
            <w:r>
              <w:rPr>
                <w:sz w:val="19"/>
                <w:szCs w:val="19"/>
              </w:rPr>
              <w:t xml:space="preserve">3,451</w:t>
            </w:r>
          </w:p>
        </w:tc>
        <w:tc>
          <w:tcPr>
            <w:tcW w:type="dxa" w:w="1800"/>
            <w:shd w:fill="F5F8FB" w:val="clear"/>
            <w:tcMar>
              <w:top w:type="dxa" w:w="80"/>
              <w:left w:type="dxa" w:w="130"/>
              <w:bottom w:type="dxa" w:w="80"/>
              <w:right w:type="dxa" w:w="130"/>
            </w:tcMar>
          </w:tcPr>
          <w:p>
            <w:r>
              <w:rPr>
                <w:sz w:val="19"/>
                <w:szCs w:val="19"/>
              </w:rPr>
              <w:t xml:space="preserve">13.2%</w:t>
            </w:r>
          </w:p>
        </w:tc>
        <w:tc>
          <w:tcPr>
            <w:tcW w:type="dxa" w:w="1900"/>
            <w:shd w:fill="F5F8FB" w:val="clear"/>
            <w:tcMar>
              <w:top w:type="dxa" w:w="80"/>
              <w:left w:type="dxa" w:w="130"/>
              <w:bottom w:type="dxa" w:w="80"/>
              <w:right w:type="dxa" w:w="130"/>
            </w:tcMar>
          </w:tcPr>
          <w:p>
            <w:r>
              <w:rPr>
                <w:sz w:val="19"/>
                <w:szCs w:val="19"/>
              </w:rPr>
              <w:t xml:space="preserve">1.20x</w:t>
            </w:r>
          </w:p>
        </w:tc>
      </w:tr>
      <w:tr>
        <w:tc>
          <w:tcPr>
            <w:tcW w:type="dxa" w:w="3800"/>
            <w:shd w:fill="FFFFFF" w:val="clear"/>
            <w:tcMar>
              <w:top w:type="dxa" w:w="80"/>
              <w:left w:type="dxa" w:w="130"/>
              <w:bottom w:type="dxa" w:w="80"/>
              <w:right w:type="dxa" w:w="130"/>
            </w:tcMar>
          </w:tcPr>
          <w:p>
            <w:r>
              <w:rPr>
                <w:sz w:val="19"/>
                <w:szCs w:val="19"/>
              </w:rPr>
              <w:t xml:space="preserve">intensity 0.95+ with AcceleratingDecline</w:t>
            </w:r>
          </w:p>
        </w:tc>
        <w:tc>
          <w:tcPr>
            <w:tcW w:type="dxa" w:w="1500"/>
            <w:shd w:fill="FFFFFF" w:val="clear"/>
            <w:tcMar>
              <w:top w:type="dxa" w:w="80"/>
              <w:left w:type="dxa" w:w="130"/>
              <w:bottom w:type="dxa" w:w="80"/>
              <w:right w:type="dxa" w:w="130"/>
            </w:tcMar>
          </w:tcPr>
          <w:p>
            <w:r>
              <w:rPr>
                <w:sz w:val="19"/>
                <w:szCs w:val="19"/>
              </w:rPr>
              <w:t xml:space="preserve">875</w:t>
            </w:r>
          </w:p>
        </w:tc>
        <w:tc>
          <w:tcPr>
            <w:tcW w:type="dxa" w:w="1800"/>
            <w:shd w:fill="FFFFFF" w:val="clear"/>
            <w:tcMar>
              <w:top w:type="dxa" w:w="80"/>
              <w:left w:type="dxa" w:w="130"/>
              <w:bottom w:type="dxa" w:w="80"/>
              <w:right w:type="dxa" w:w="130"/>
            </w:tcMar>
          </w:tcPr>
          <w:p>
            <w:r>
              <w:rPr>
                <w:sz w:val="19"/>
                <w:szCs w:val="19"/>
              </w:rPr>
              <w:t xml:space="preserve">20.7%</w:t>
            </w:r>
          </w:p>
        </w:tc>
        <w:tc>
          <w:tcPr>
            <w:tcW w:type="dxa" w:w="1900"/>
            <w:shd w:fill="FFFFFF" w:val="clear"/>
            <w:tcMar>
              <w:top w:type="dxa" w:w="80"/>
              <w:left w:type="dxa" w:w="130"/>
              <w:bottom w:type="dxa" w:w="80"/>
              <w:right w:type="dxa" w:w="130"/>
            </w:tcMar>
          </w:tcPr>
          <w:p>
            <w:r>
              <w:rPr>
                <w:sz w:val="19"/>
                <w:szCs w:val="19"/>
              </w:rPr>
              <w:t xml:space="preserve">1.88x</w:t>
            </w:r>
          </w:p>
        </w:tc>
      </w:tr>
      <w:tr>
        <w:tc>
          <w:tcPr>
            <w:tcW w:type="dxa" w:w="3800"/>
            <w:shd w:fill="F5F8FB" w:val="clear"/>
            <w:tcMar>
              <w:top w:type="dxa" w:w="80"/>
              <w:left w:type="dxa" w:w="130"/>
              <w:bottom w:type="dxa" w:w="80"/>
              <w:right w:type="dxa" w:w="130"/>
            </w:tcMar>
          </w:tcPr>
          <w:p>
            <w:r>
              <w:rPr>
                <w:sz w:val="19"/>
                <w:szCs w:val="19"/>
              </w:rPr>
              <w:t xml:space="preserve">intensity 0.99+ with AcceleratingDecline</w:t>
            </w:r>
          </w:p>
        </w:tc>
        <w:tc>
          <w:tcPr>
            <w:tcW w:type="dxa" w:w="1500"/>
            <w:shd w:fill="F5F8FB" w:val="clear"/>
            <w:tcMar>
              <w:top w:type="dxa" w:w="80"/>
              <w:left w:type="dxa" w:w="130"/>
              <w:bottom w:type="dxa" w:w="80"/>
              <w:right w:type="dxa" w:w="130"/>
            </w:tcMar>
          </w:tcPr>
          <w:p>
            <w:r>
              <w:rPr>
                <w:sz w:val="19"/>
                <w:szCs w:val="19"/>
              </w:rPr>
              <w:t xml:space="preserve">125</w:t>
            </w:r>
          </w:p>
        </w:tc>
        <w:tc>
          <w:tcPr>
            <w:tcW w:type="dxa" w:w="1800"/>
            <w:shd w:fill="F5F8FB" w:val="clear"/>
            <w:tcMar>
              <w:top w:type="dxa" w:w="80"/>
              <w:left w:type="dxa" w:w="130"/>
              <w:bottom w:type="dxa" w:w="80"/>
              <w:right w:type="dxa" w:w="130"/>
            </w:tcMar>
          </w:tcPr>
          <w:p>
            <w:r>
              <w:rPr>
                <w:sz w:val="19"/>
                <w:szCs w:val="19"/>
              </w:rPr>
              <w:t xml:space="preserve">38.4%</w:t>
            </w:r>
          </w:p>
        </w:tc>
        <w:tc>
          <w:tcPr>
            <w:tcW w:type="dxa" w:w="1900"/>
            <w:shd w:fill="F5F8FB" w:val="clear"/>
            <w:tcMar>
              <w:top w:type="dxa" w:w="80"/>
              <w:left w:type="dxa" w:w="130"/>
              <w:bottom w:type="dxa" w:w="80"/>
              <w:right w:type="dxa" w:w="130"/>
            </w:tcMar>
          </w:tcPr>
          <w:p>
            <w:r>
              <w:rPr>
                <w:sz w:val="19"/>
                <w:szCs w:val="19"/>
              </w:rPr>
              <w:t xml:space="preserve">3.48x</w:t>
            </w:r>
          </w:p>
        </w:tc>
      </w:tr>
    </w:tbl>
    <w:p>
      <w:pPr>
        <w:spacing w:after="130" w:line="300"/>
      </w:pPr>
      <w:r>
        <w:t xml:space="preserve">The trend rules alone are worth almost nothing — 1.10 and 1.20 against a baseline of 1.00. The anomaly score carries the signal; slope and acceleration convert unusual into unusually bad. Neither half works without the other.</w:t>
      </w:r>
    </w:p>
    <w:p>
      <w:r>
        <w:br w:type="page"/>
      </w:r>
    </w:p>
    <w:p>
      <w:pPr>
        <w:pStyle w:val="Heading1"/>
        <w:spacing w:after="160" w:before="360"/>
      </w:pPr>
      <w:r>
        <w:t xml:space="preserve">7. Tests</w:t>
      </w:r>
    </w:p>
    <w:p>
      <w:pPr>
        <w:spacing w:after="130" w:line="300"/>
      </w:pPr>
      <w:r>
        <w:t xml:space="preserve">86 passing. The ones specific to this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4E79" w:val="clear"/>
            <w:tcMar>
              <w:top w:type="dxa" w:w="90"/>
              <w:left w:type="dxa" w:w="130"/>
              <w:bottom w:type="dxa" w:w="90"/>
              <w:right w:type="dxa" w:w="130"/>
            </w:tcMar>
          </w:tcPr>
          <w:p>
            <w:r>
              <w:rPr>
                <w:b/>
                <w:bCs/>
                <w:color w:val="FFFFFF"/>
                <w:sz w:val="19"/>
                <w:szCs w:val="19"/>
              </w:rPr>
              <w:t xml:space="preserve">Test</w:t>
            </w:r>
          </w:p>
        </w:tc>
        <w:tc>
          <w:tcPr>
            <w:tcW w:type="dxa" w:w="5600"/>
            <w:shd w:fill="1F4E79" w:val="clear"/>
            <w:tcMar>
              <w:top w:type="dxa" w:w="90"/>
              <w:left w:type="dxa" w:w="130"/>
              <w:bottom w:type="dxa" w:w="90"/>
              <w:right w:type="dxa" w:w="130"/>
            </w:tcMar>
          </w:tcPr>
          <w:p>
            <w:r>
              <w:rPr>
                <w:b/>
                <w:bCs/>
                <w:color w:val="FFFFFF"/>
                <w:sz w:val="19"/>
                <w:szCs w:val="19"/>
              </w:rPr>
              <w:t xml:space="preserve">Proves</w:t>
            </w:r>
          </w:p>
        </w:tc>
      </w:tr>
      <w:tr>
        <w:tc>
          <w:tcPr>
            <w:tcW w:type="dxa" w:w="3400"/>
            <w:shd w:fill="F5F8FB" w:val="clear"/>
            <w:tcMar>
              <w:top w:type="dxa" w:w="80"/>
              <w:left w:type="dxa" w:w="130"/>
              <w:bottom w:type="dxa" w:w="80"/>
              <w:right w:type="dxa" w:w="130"/>
            </w:tcMar>
          </w:tcPr>
          <w:p>
            <w:r>
              <w:rPr>
                <w:sz w:val="19"/>
                <w:szCs w:val="19"/>
              </w:rPr>
              <w:t xml:space="preserve">Intensity is a training percentile</w:t>
            </w:r>
          </w:p>
        </w:tc>
        <w:tc>
          <w:tcPr>
            <w:tcW w:type="dxa" w:w="5600"/>
            <w:shd w:fill="F5F8FB" w:val="clear"/>
            <w:tcMar>
              <w:top w:type="dxa" w:w="80"/>
              <w:left w:type="dxa" w:w="130"/>
              <w:bottom w:type="dxa" w:w="80"/>
              <w:right w:type="dxa" w:w="130"/>
            </w:tcMar>
          </w:tcPr>
          <w:p>
            <w:r>
              <w:rPr>
                <w:sz w:val="19"/>
                <w:szCs w:val="19"/>
              </w:rPr>
              <w:t xml:space="preserve">On its own training data, intensity is uniform on [0,1]</w:t>
            </w:r>
          </w:p>
        </w:tc>
      </w:tr>
      <w:tr>
        <w:tc>
          <w:tcPr>
            <w:tcW w:type="dxa" w:w="3400"/>
            <w:shd w:fill="FFFFFF" w:val="clear"/>
            <w:tcMar>
              <w:top w:type="dxa" w:w="80"/>
              <w:left w:type="dxa" w:w="130"/>
              <w:bottom w:type="dxa" w:w="80"/>
              <w:right w:type="dxa" w:w="130"/>
            </w:tcMar>
          </w:tcPr>
          <w:p>
            <w:r>
              <w:rPr>
                <w:sz w:val="19"/>
                <w:szCs w:val="19"/>
              </w:rPr>
              <w:t xml:space="preserve">Threshold means the same under every fit</w:t>
            </w:r>
          </w:p>
        </w:tc>
        <w:tc>
          <w:tcPr>
            <w:tcW w:type="dxa" w:w="5600"/>
            <w:shd w:fill="FFFFFF" w:val="clear"/>
            <w:tcMar>
              <w:top w:type="dxa" w:w="80"/>
              <w:left w:type="dxa" w:w="130"/>
              <w:bottom w:type="dxa" w:w="80"/>
              <w:right w:type="dxa" w:w="130"/>
            </w:tcMar>
          </w:tcPr>
          <w:p>
            <w:r>
              <w:rPr>
                <w:sz w:val="19"/>
                <w:szCs w:val="19"/>
              </w:rPr>
              <w:t xml:space="preserve">Different settings each select ~1% at 0.99 — the property Phase 7 depends on</w:t>
            </w:r>
          </w:p>
        </w:tc>
      </w:tr>
      <w:tr>
        <w:tc>
          <w:tcPr>
            <w:tcW w:type="dxa" w:w="3400"/>
            <w:shd w:fill="F5F8FB" w:val="clear"/>
            <w:tcMar>
              <w:top w:type="dxa" w:w="80"/>
              <w:left w:type="dxa" w:w="130"/>
              <w:bottom w:type="dxa" w:w="80"/>
              <w:right w:type="dxa" w:w="130"/>
            </w:tcMar>
          </w:tcPr>
          <w:p>
            <w:r>
              <w:rPr>
                <w:sz w:val="19"/>
                <w:szCs w:val="19"/>
              </w:rPr>
              <w:t xml:space="preserve">Outliers score higher</w:t>
            </w:r>
          </w:p>
        </w:tc>
        <w:tc>
          <w:tcPr>
            <w:tcW w:type="dxa" w:w="5600"/>
            <w:shd w:fill="F5F8FB" w:val="clear"/>
            <w:tcMar>
              <w:top w:type="dxa" w:w="80"/>
              <w:left w:type="dxa" w:w="130"/>
              <w:bottom w:type="dxa" w:w="80"/>
              <w:right w:type="dxa" w:w="130"/>
            </w:tcMar>
          </w:tcPr>
          <w:p>
            <w:r>
              <w:rPr>
                <w:sz w:val="19"/>
                <w:szCs w:val="19"/>
              </w:rPr>
              <w:t xml:space="preserve">Shifted rows score well above the bulk</w:t>
            </w:r>
          </w:p>
        </w:tc>
      </w:tr>
      <w:tr>
        <w:tc>
          <w:tcPr>
            <w:tcW w:type="dxa" w:w="3400"/>
            <w:shd w:fill="FFFFFF" w:val="clear"/>
            <w:tcMar>
              <w:top w:type="dxa" w:w="80"/>
              <w:left w:type="dxa" w:w="130"/>
              <w:bottom w:type="dxa" w:w="80"/>
              <w:right w:type="dxa" w:w="130"/>
            </w:tcMar>
          </w:tcPr>
          <w:p>
            <w:r>
              <w:rPr>
                <w:sz w:val="19"/>
                <w:szCs w:val="19"/>
              </w:rPr>
              <w:t xml:space="preserve">Incomplete rows score missing</w:t>
            </w:r>
          </w:p>
        </w:tc>
        <w:tc>
          <w:tcPr>
            <w:tcW w:type="dxa" w:w="5600"/>
            <w:shd w:fill="FFFFFF" w:val="clear"/>
            <w:tcMar>
              <w:top w:type="dxa" w:w="80"/>
              <w:left w:type="dxa" w:w="130"/>
              <w:bottom w:type="dxa" w:w="80"/>
              <w:right w:type="dxa" w:w="130"/>
            </w:tcMar>
          </w:tcPr>
          <w:p>
            <w:r>
              <w:rPr>
                <w:sz w:val="19"/>
                <w:szCs w:val="19"/>
              </w:rPr>
              <w:t xml:space="preserve">Never imputed; the index is preserved</w:t>
            </w:r>
          </w:p>
        </w:tc>
      </w:tr>
      <w:tr>
        <w:tc>
          <w:tcPr>
            <w:tcW w:type="dxa" w:w="3400"/>
            <w:shd w:fill="F5F8FB" w:val="clear"/>
            <w:tcMar>
              <w:top w:type="dxa" w:w="80"/>
              <w:left w:type="dxa" w:w="130"/>
              <w:bottom w:type="dxa" w:w="80"/>
              <w:right w:type="dxa" w:w="130"/>
            </w:tcMar>
          </w:tcPr>
          <w:p>
            <w:r>
              <w:rPr>
                <w:sz w:val="19"/>
                <w:szCs w:val="19"/>
              </w:rPr>
              <w:t xml:space="preserve">Save/load round trip</w:t>
            </w:r>
          </w:p>
        </w:tc>
        <w:tc>
          <w:tcPr>
            <w:tcW w:type="dxa" w:w="5600"/>
            <w:shd w:fill="F5F8FB" w:val="clear"/>
            <w:tcMar>
              <w:top w:type="dxa" w:w="80"/>
              <w:left w:type="dxa" w:w="130"/>
              <w:bottom w:type="dxa" w:w="80"/>
              <w:right w:type="dxa" w:w="130"/>
            </w:tcMar>
          </w:tcPr>
          <w:p>
            <w:r>
              <w:rPr>
                <w:sz w:val="19"/>
                <w:szCs w:val="19"/>
              </w:rPr>
              <w:t xml:space="preserve">Reloaded detector reproduces intensity exactly</w:t>
            </w:r>
          </w:p>
        </w:tc>
      </w:tr>
      <w:tr>
        <w:tc>
          <w:tcPr>
            <w:tcW w:type="dxa" w:w="3400"/>
            <w:shd w:fill="FFFFFF" w:val="clear"/>
            <w:tcMar>
              <w:top w:type="dxa" w:w="80"/>
              <w:left w:type="dxa" w:w="130"/>
              <w:bottom w:type="dxa" w:w="80"/>
              <w:right w:type="dxa" w:w="130"/>
            </w:tcMar>
          </w:tcPr>
          <w:p>
            <w:r>
              <w:rPr>
                <w:sz w:val="19"/>
                <w:szCs w:val="19"/>
              </w:rPr>
              <w:t xml:space="preserve">Determinism</w:t>
            </w:r>
          </w:p>
        </w:tc>
        <w:tc>
          <w:tcPr>
            <w:tcW w:type="dxa" w:w="5600"/>
            <w:shd w:fill="FFFFFF" w:val="clear"/>
            <w:tcMar>
              <w:top w:type="dxa" w:w="80"/>
              <w:left w:type="dxa" w:w="130"/>
              <w:bottom w:type="dxa" w:w="80"/>
              <w:right w:type="dxa" w:w="130"/>
            </w:tcMar>
          </w:tcPr>
          <w:p>
            <w:r>
              <w:rPr>
                <w:sz w:val="19"/>
                <w:szCs w:val="19"/>
              </w:rPr>
              <w:t xml:space="preserve">Same seed gives identical scores</w:t>
            </w:r>
          </w:p>
        </w:tc>
      </w:tr>
      <w:tr>
        <w:tc>
          <w:tcPr>
            <w:tcW w:type="dxa" w:w="3400"/>
            <w:shd w:fill="F5F8FB" w:val="clear"/>
            <w:tcMar>
              <w:top w:type="dxa" w:w="80"/>
              <w:left w:type="dxa" w:w="130"/>
              <w:bottom w:type="dxa" w:w="80"/>
              <w:right w:type="dxa" w:w="130"/>
            </w:tcMar>
          </w:tcPr>
          <w:p>
            <w:r>
              <w:rPr>
                <w:sz w:val="19"/>
                <w:szCs w:val="19"/>
              </w:rPr>
              <w:t xml:space="preserve">Purge selects by date</w:t>
            </w:r>
          </w:p>
        </w:tc>
        <w:tc>
          <w:tcPr>
            <w:tcW w:type="dxa" w:w="5600"/>
            <w:shd w:fill="F5F8FB" w:val="clear"/>
            <w:tcMar>
              <w:top w:type="dxa" w:w="80"/>
              <w:left w:type="dxa" w:w="130"/>
              <w:bottom w:type="dxa" w:w="80"/>
              <w:right w:type="dxa" w:w="130"/>
            </w:tcMar>
          </w:tcPr>
          <w:p>
            <w:r>
              <w:rPr>
                <w:sz w:val="19"/>
                <w:szCs w:val="19"/>
              </w:rPr>
              <w:t xml:space="preserve">Crises are a property of a day, not of a stock</w:t>
            </w:r>
          </w:p>
        </w:tc>
      </w:tr>
    </w:tbl>
    <w:p>
      <w:pPr>
        <w:spacing w:after="130" w:line="300"/>
      </w:pPr>
      <w:r>
        <w:t xml:space="preserve">The purge-by-date test deserves a note. Purging individual high-volatility ROWS would silently exclude permanently volatile names such as ADANIENT from training altogether, so the model would never learn what normal looks like for them. A crisis is a property of a </w:t>
      </w:r>
      <w:r>
        <w:rPr>
          <w:i/>
          <w:iCs/>
        </w:rPr>
        <w:t xml:space="preserve">day</w:t>
      </w:r>
      <w:r>
        <w:t xml:space="preserve">, not of a stock, and the implementation reflects that.</w:t>
      </w:r>
    </w:p>
    <w:p>
      <w:pPr>
        <w:pStyle w:val="Heading1"/>
        <w:spacing w:after="160" w:before="360"/>
      </w:pPr>
      <w:r>
        <w:t xml:space="preserve">8. Known limitations</w:t>
      </w:r>
    </w:p>
    <w:p>
      <w:pPr>
        <w:pStyle w:val="ListParagraph"/>
        <w:numPr>
          <w:ilvl w:val="0"/>
          <w:numId w:val="2"/>
        </w:numPr>
        <w:spacing w:after="80" w:line="290"/>
      </w:pPr>
      <w:r>
        <w:t xml:space="preserve">The sample is smaller than it looks. 125 signals sounds substantial, but one market event hits many correlated stocks on the same day, so the effective number of independent episodes is far lower.</w:t>
      </w:r>
    </w:p>
    <w:p>
      <w:pPr>
        <w:pStyle w:val="ListParagraph"/>
        <w:numPr>
          <w:ilvl w:val="0"/>
          <w:numId w:val="2"/>
        </w:numPr>
        <w:spacing w:after="80" w:line="290"/>
      </w:pPr>
      <w:r>
        <w:t xml:space="preserve">Lift is measured against a coincident label. P(crash) here means the probability a crash follows within five days. It is genuinely forward-looking, but it is not the same as lead time, which Phase 4 measures.</w:t>
      </w:r>
    </w:p>
    <w:p>
      <w:pPr>
        <w:pStyle w:val="ListParagraph"/>
        <w:numPr>
          <w:ilvl w:val="0"/>
          <w:numId w:val="2"/>
        </w:numPr>
        <w:spacing w:after="80" w:line="290"/>
      </w:pPr>
      <w:r>
        <w:t xml:space="preserve">Ranked across all days the detector reaches an area under the curve of only 0.53. Much of that is unfair to a direction-blind model being scored on a crash-only label, but it is not nothing.</w:t>
      </w:r>
    </w:p>
    <w:p>
      <w:pPr>
        <w:pStyle w:val="ListParagraph"/>
        <w:numPr>
          <w:ilvl w:val="0"/>
          <w:numId w:val="2"/>
        </w:numPr>
        <w:spacing w:after="80" w:line="290"/>
      </w:pPr>
      <w:r>
        <w:t xml:space="preserve">Thresholds of 0.99, 0.95 and 0.90 are conventional round numbers. They have not been optimised, and optimising them against the hold-out would be a form of look-ahead.</w:t>
      </w:r>
    </w:p>
    <w:p>
      <w:pPr>
        <w:pStyle w:val="ListParagraph"/>
        <w:numPr>
          <w:ilvl w:val="0"/>
          <w:numId w:val="2"/>
        </w:numPr>
        <w:spacing w:after="80" w:line="290"/>
      </w:pPr>
      <w:r>
        <w:t xml:space="preserve">A single training window is used. Whether the detector degrades as the market drifts away from 2016-2020 is exactly what Phase 7 exists to measure.</w:t>
      </w:r>
    </w:p>
    <w:p>
      <w:pPr>
        <w:pStyle w:val="Heading1"/>
        <w:spacing w:after="160" w:before="360"/>
      </w:pPr>
      <w:r>
        <w:t xml:space="preserve">9. Handoff to Phase 4</w:t>
      </w:r>
    </w:p>
    <w:p>
      <w:pPr>
        <w:spacing w:after="130" w:line="300"/>
      </w:pPr>
      <w:r>
        <w:t xml:space="preserve">Phase 4 inherits an intensity series for every symbol-day, a settled crash definition based on absolute magnitude, and a signal rule combining intensity with trend phase.</w:t>
      </w:r>
    </w:p>
    <w:p>
      <w:pPr>
        <w:spacing w:after="130" w:line="300"/>
      </w:pPr>
      <w:r>
        <w:t xml:space="preserve">Its job is the question this project actually turns on: not whether the signal fires on crash days, but how many days BEFORE the crash it fires.</w:t>
      </w:r>
    </w:p>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Why Phase 4 comes before the backtest</w:t>
            </w:r>
          </w:p>
          <w:p>
            <w:pPr>
              <w:spacing w:after="70" w:line="300"/>
            </w:pPr>
            <w:r>
              <w:t xml:space="preserve">Everything measured so far says the signal fires when crashes are near. None of it says how early.</w:t>
            </w:r>
          </w:p>
          <w:p>
            <w:pPr>
              <w:spacing w:after="70" w:line="300"/>
            </w:pPr>
            <w:r>
              <w:t xml:space="preserve">If the answer is zero days, the strategy is a fast-reaction system rather than a predictive one — still useful, but a different claim, a different paper, and a different set of expectations.</w:t>
            </w:r>
          </w:p>
          <w:p>
            <w:pPr>
              <w:spacing w:after="0" w:line="300"/>
            </w:pPr>
            <w:r>
              <w:t xml:space="preserve">Learning that from a lead-time histogram now costs an afternoon. Learning it from an equity curve in Phase 8 would cost weeks of work built on a premise that does not hold.</w:t>
            </w:r>
          </w:p>
        </w:tc>
      </w:tr>
    </w:tbl>
    <w:sectPr>
      <w:headerReference w:type="default" r:id="rId7"/>
      <w:footerReference w:type="default" r:id="rId8"/>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pBdr>
      <w:jc w:val="right"/>
    </w:pPr>
    <w:r>
      <w:rPr>
        <w:color w:val="595959"/>
        <w:sz w:val="17"/>
        <w:szCs w:val="17"/>
      </w:rPr>
      <w:t xml:space="preserve">QBEAST · Phase 3 — Isolation Forest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5F8A"/>
      <w:sz w:val="25"/>
      <w:szCs w:val="25"/>
    </w:rPr>
  </w:style>
  <w:style w:type="paragraph" w:styleId="Heading3">
    <w:name w:val="Heading 3"/>
    <w:basedOn w:val="Normal"/>
    <w:next w:val="Normal"/>
    <w:qFormat/>
    <w:rPr>
      <w:rFonts w:ascii="Calibri" w:cs="Calibri" w:eastAsia="Calibri" w:hAnsi="Calibri"/>
      <w:b/>
      <w:bCs/>
      <w:color w:val="59595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QBEAST Phase 3 — Isolation Forest and Anomaly Intensity</dc:title>
  <dc:creator>QBEAST</dc:creator>
  <dc:description>QBEAST crash detection system — phase documentation</dc:description>
  <cp:lastModifiedBy>Un-named</cp:lastModifiedBy>
  <cp:revision>1</cp:revision>
  <dcterms:created xsi:type="dcterms:W3CDTF">2026-07-26T13:37:32.975Z</dcterms:created>
  <dcterms:modified xsi:type="dcterms:W3CDTF">2026-07-26T13:37:32.975Z</dcterms:modified>
</cp:coreProperties>
</file>

<file path=docProps/custom.xml><?xml version="1.0" encoding="utf-8"?>
<Properties xmlns="http://schemas.openxmlformats.org/officeDocument/2006/custom-properties" xmlns:vt="http://schemas.openxmlformats.org/officeDocument/2006/docPropsVTypes"/>
</file>