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AI-Drafted Affidavit — Evaluation Report</w:t>
      </w:r>
    </w:p>
    <w:p>
      <w:pPr>
        <w:spacing w:after="300"/>
      </w:pPr>
      <w:r>
        <w:rPr>
          <w:i/>
          <w:iCs/>
          <w:color w:val="555555"/>
          <w:sz w:val="22"/>
          <w:szCs w:val="22"/>
        </w:rPr>
        <w:t xml:space="preserve">Sunrise Housing Pvt. Ltd. v. State of Maharashtra &amp; MMRDA — Writ Petition No. 1847 of 2026</w:t>
      </w:r>
    </w:p>
    <w:p>
      <w:pPr>
        <w:pStyle w:val="Heading1"/>
        <w:spacing w:after="200" w:before="400"/>
      </w:pPr>
      <w:r>
        <w:t xml:space="preserve">Documents Compared</w:t>
      </w:r>
    </w:p>
    <w:p>
      <w:pPr>
        <w:pStyle w:val="ListParagraph"/>
        <w:numPr>
          <w:ilvl w:val="0"/>
          <w:numId w:val="1"/>
        </w:numPr>
        <w:spacing w:after="120"/>
      </w:pPr>
      <w:r>
        <w:t xml:space="preserve">Generated output: filled_document.docx (produced via /draft-reply, openai/gpt-oss-120b)</w:t>
      </w:r>
    </w:p>
    <w:p>
      <w:pPr>
        <w:pStyle w:val="ListParagraph"/>
        <w:numPr>
          <w:ilvl w:val="0"/>
          <w:numId w:val="1"/>
        </w:numPr>
        <w:spacing w:after="120"/>
      </w:pPr>
      <w:r>
        <w:t xml:space="preserve">Reference affidavit (style exemplar): 02_Affidavit_in_Reply_Sample.docx</w:t>
      </w:r>
    </w:p>
    <w:p>
      <w:pPr>
        <w:pStyle w:val="ListParagraph"/>
        <w:numPr>
          <w:ilvl w:val="0"/>
          <w:numId w:val="1"/>
        </w:numPr>
        <w:spacing w:after="120"/>
      </w:pPr>
      <w:r>
        <w:t xml:space="preserve">Case information (source facts): 03_Case_Information.docx</w:t>
      </w:r>
    </w:p>
    <w:p>
      <w:pPr>
        <w:pStyle w:val="Heading1"/>
        <w:spacing w:after="200" w:before="400"/>
      </w:pPr>
      <w:r>
        <w:t xml:space="preserve">Evaluation Approach</w:t>
      </w:r>
    </w:p>
    <w:p>
      <w:pPr>
        <w:spacing w:after="200"/>
      </w:pPr>
      <w:r>
        <w:t xml:space="preserve">The generated document was evaluated across six dimensions: Entity Accuracy, Completeness, Structure, Consistency, Template Fidelity, and Hallucinations. Each dimension is scored independently; the Overall Evaluation is the average across all six.</w:t>
      </w:r>
    </w:p>
    <w:p>
      <w:pPr>
        <w:pStyle w:val="Heading1"/>
        <w:spacing w:after="200" w:before="400"/>
      </w:pPr>
      <w:r>
        <w:t xml:space="preserve">Evaluation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600"/>
      </w:tblGrid>
      <w:tr>
        <w:trPr>
          <w:tblHeader/>
        </w:trPr>
        <w:tc>
          <w:tcPr>
            <w:tcW w:type="dxa" w:w="2400"/>
            <w:shd w:fill="1F2933" w:color="auto" w:val="clear"/>
            <w:tcMar>
              <w:top w:type="dxa" w:w="100"/>
              <w:left w:type="dxa" w:w="150"/>
              <w:bottom w:type="dxa" w:w="100"/>
              <w:right w:type="dxa" w:w="150"/>
            </w:tcMar>
            <w:vAlign w:val="center"/>
          </w:tcPr>
          <w:p>
            <w:pPr>
              <w:jc w:val="left"/>
            </w:pPr>
            <w:r>
              <w:rPr>
                <w:b/>
                <w:bCs/>
                <w:i w:val="false"/>
                <w:iCs w:val="false"/>
                <w:color w:val="FFFFFF"/>
              </w:rPr>
              <w:t xml:space="preserve">Dimension</w:t>
            </w:r>
          </w:p>
        </w:tc>
        <w:tc>
          <w:tcPr>
            <w:tcW w:type="dxa" w:w="4200"/>
            <w:shd w:fill="1F2933" w:color="auto" w:val="clear"/>
            <w:tcMar>
              <w:top w:type="dxa" w:w="100"/>
              <w:left w:type="dxa" w:w="150"/>
              <w:bottom w:type="dxa" w:w="100"/>
              <w:right w:type="dxa" w:w="150"/>
            </w:tcMar>
            <w:vAlign w:val="center"/>
          </w:tcPr>
          <w:p>
            <w:pPr>
              <w:jc w:val="left"/>
            </w:pPr>
            <w:r>
              <w:rPr>
                <w:b/>
                <w:bCs/>
                <w:i w:val="false"/>
                <w:iCs w:val="false"/>
                <w:color w:val="FFFFFF"/>
              </w:rPr>
              <w:t xml:space="preserve">In plain terms</w:t>
            </w:r>
          </w:p>
        </w:tc>
        <w:tc>
          <w:tcPr>
            <w:tcW w:type="dxa" w:w="1400"/>
            <w:shd w:fill="1F2933" w:color="auto" w:val="clear"/>
            <w:tcMar>
              <w:top w:type="dxa" w:w="100"/>
              <w:left w:type="dxa" w:w="150"/>
              <w:bottom w:type="dxa" w:w="100"/>
              <w:right w:type="dxa" w:w="150"/>
            </w:tcMar>
            <w:vAlign w:val="center"/>
          </w:tcPr>
          <w:p>
            <w:pPr>
              <w:jc w:val="center"/>
            </w:pPr>
            <w:r>
              <w:rPr>
                <w:b/>
                <w:bCs/>
                <w:i w:val="false"/>
                <w:iCs w:val="false"/>
                <w:color w:val="FFFFFF"/>
              </w:rPr>
              <w:t xml:space="preserve">Result</w:t>
            </w:r>
          </w:p>
        </w:tc>
        <w:tc>
          <w:tcPr>
            <w:tcW w:type="dxa" w:w="1600"/>
            <w:shd w:fill="1F2933" w:color="auto" w:val="clear"/>
            <w:tcMar>
              <w:top w:type="dxa" w:w="100"/>
              <w:left w:type="dxa" w:w="150"/>
              <w:bottom w:type="dxa" w:w="100"/>
              <w:right w:type="dxa" w:w="150"/>
            </w:tcMar>
            <w:vAlign w:val="center"/>
          </w:tcPr>
          <w:p>
            <w:pPr>
              <w:jc w:val="center"/>
            </w:pPr>
            <w:r>
              <w:rPr>
                <w:b/>
                <w:bCs/>
                <w:i w:val="false"/>
                <w:iCs w:val="false"/>
                <w:color w:val="FFFFFF"/>
              </w:rPr>
              <w:t xml:space="preserve">Score</w:t>
            </w:r>
          </w:p>
        </w:tc>
      </w:tr>
      <w:tr>
        <w:tc>
          <w:tcPr>
            <w:tcW w:type="dxa" w:w="2400"/>
            <w:tcMar>
              <w:top w:type="dxa" w:w="100"/>
              <w:left w:type="dxa" w:w="150"/>
              <w:bottom w:type="dxa" w:w="100"/>
              <w:right w:type="dxa" w:w="150"/>
            </w:tcMar>
            <w:vAlign w:val="center"/>
          </w:tcPr>
          <w:p>
            <w:pPr>
              <w:jc w:val="left"/>
            </w:pPr>
            <w:r>
              <w:rPr>
                <w:b/>
                <w:bCs/>
                <w:i w:val="false"/>
                <w:iCs w:val="false"/>
              </w:rPr>
              <w:t xml:space="preserve">Entity Accuracy</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Are names, dates, and case references correct throughout?</w:t>
            </w:r>
          </w:p>
        </w:tc>
        <w:tc>
          <w:tcPr>
            <w:tcW w:type="dxa" w:w="1400"/>
            <w:tcMar>
              <w:top w:type="dxa" w:w="100"/>
              <w:left w:type="dxa" w:w="150"/>
              <w:bottom w:type="dxa" w:w="100"/>
              <w:right w:type="dxa" w:w="150"/>
            </w:tcMar>
            <w:vAlign w:val="center"/>
          </w:tcPr>
          <w:p>
            <w:pPr>
              <w:jc w:val="center"/>
            </w:pPr>
            <w:r>
              <w:rPr>
                <w:b/>
                <w:bCs/>
                <w:i w:val="false"/>
                <w:iCs w:val="false"/>
                <w:color w:val="2E7D32"/>
              </w:rPr>
              <w:t xml:space="preserve">PASS</w:t>
            </w:r>
          </w:p>
        </w:tc>
        <w:tc>
          <w:tcPr>
            <w:tcW w:type="dxa" w:w="1600"/>
            <w:tcMar>
              <w:top w:type="dxa" w:w="100"/>
              <w:left w:type="dxa" w:w="150"/>
              <w:bottom w:type="dxa" w:w="100"/>
              <w:right w:type="dxa" w:w="150"/>
            </w:tcMar>
            <w:vAlign w:val="center"/>
          </w:tcPr>
          <w:p>
            <w:pPr>
              <w:jc w:val="center"/>
            </w:pPr>
            <w:r>
              <w:rPr>
                <w:b/>
                <w:bCs/>
                <w:i w:val="false"/>
                <w:iCs w:val="false"/>
                <w:color w:val="2E7D32"/>
              </w:rPr>
              <w:t xml:space="preserve">100%</w:t>
            </w:r>
          </w:p>
        </w:tc>
      </w:tr>
      <w:tr>
        <w:tc>
          <w:tcPr>
            <w:tcW w:type="dxa" w:w="2400"/>
            <w:tcMar>
              <w:top w:type="dxa" w:w="100"/>
              <w:left w:type="dxa" w:w="150"/>
              <w:bottom w:type="dxa" w:w="100"/>
              <w:right w:type="dxa" w:w="150"/>
            </w:tcMar>
            <w:vAlign w:val="center"/>
          </w:tcPr>
          <w:p>
            <w:pPr>
              <w:jc w:val="left"/>
            </w:pPr>
            <w:r>
              <w:rPr>
                <w:b/>
                <w:bCs/>
                <w:i w:val="false"/>
                <w:iCs w:val="false"/>
              </w:rPr>
              <w:t xml:space="preserve">Completeness</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Is every required point, exhibit, and prayer item present?</w:t>
            </w:r>
          </w:p>
        </w:tc>
        <w:tc>
          <w:tcPr>
            <w:tcW w:type="dxa" w:w="1400"/>
            <w:tcMar>
              <w:top w:type="dxa" w:w="100"/>
              <w:left w:type="dxa" w:w="150"/>
              <w:bottom w:type="dxa" w:w="100"/>
              <w:right w:type="dxa" w:w="150"/>
            </w:tcMar>
            <w:vAlign w:val="center"/>
          </w:tcPr>
          <w:p>
            <w:pPr>
              <w:jc w:val="center"/>
            </w:pPr>
            <w:r>
              <w:rPr>
                <w:b/>
                <w:bCs/>
                <w:i w:val="false"/>
                <w:iCs w:val="false"/>
                <w:color w:val="2E7D32"/>
              </w:rPr>
              <w:t xml:space="preserve">PASS</w:t>
            </w:r>
          </w:p>
        </w:tc>
        <w:tc>
          <w:tcPr>
            <w:tcW w:type="dxa" w:w="1600"/>
            <w:tcMar>
              <w:top w:type="dxa" w:w="100"/>
              <w:left w:type="dxa" w:w="150"/>
              <w:bottom w:type="dxa" w:w="100"/>
              <w:right w:type="dxa" w:w="150"/>
            </w:tcMar>
            <w:vAlign w:val="center"/>
          </w:tcPr>
          <w:p>
            <w:pPr>
              <w:jc w:val="center"/>
            </w:pPr>
            <w:r>
              <w:rPr>
                <w:b/>
                <w:bCs/>
                <w:i w:val="false"/>
                <w:iCs w:val="false"/>
                <w:color w:val="2E7D32"/>
              </w:rPr>
              <w:t xml:space="preserve">100%</w:t>
            </w:r>
          </w:p>
        </w:tc>
      </w:tr>
      <w:tr>
        <w:tc>
          <w:tcPr>
            <w:tcW w:type="dxa" w:w="2400"/>
            <w:tcMar>
              <w:top w:type="dxa" w:w="100"/>
              <w:left w:type="dxa" w:w="150"/>
              <w:bottom w:type="dxa" w:w="100"/>
              <w:right w:type="dxa" w:w="150"/>
            </w:tcMar>
            <w:vAlign w:val="center"/>
          </w:tcPr>
          <w:p>
            <w:pPr>
              <w:jc w:val="left"/>
            </w:pPr>
            <w:r>
              <w:rPr>
                <w:b/>
                <w:bCs/>
                <w:i w:val="false"/>
                <w:iCs w:val="false"/>
              </w:rPr>
              <w:t xml:space="preserve">Structure</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Does it follow the correct layout (caption, tables, footer)?</w:t>
            </w:r>
          </w:p>
        </w:tc>
        <w:tc>
          <w:tcPr>
            <w:tcW w:type="dxa" w:w="1400"/>
            <w:tcMar>
              <w:top w:type="dxa" w:w="100"/>
              <w:left w:type="dxa" w:w="150"/>
              <w:bottom w:type="dxa" w:w="100"/>
              <w:right w:type="dxa" w:w="150"/>
            </w:tcMar>
            <w:vAlign w:val="center"/>
          </w:tcPr>
          <w:p>
            <w:pPr>
              <w:jc w:val="center"/>
            </w:pPr>
            <w:r>
              <w:rPr>
                <w:b/>
                <w:bCs/>
                <w:i w:val="false"/>
                <w:iCs w:val="false"/>
                <w:color w:val="2E7D32"/>
              </w:rPr>
              <w:t xml:space="preserve">PASS</w:t>
            </w:r>
          </w:p>
        </w:tc>
        <w:tc>
          <w:tcPr>
            <w:tcW w:type="dxa" w:w="1600"/>
            <w:tcMar>
              <w:top w:type="dxa" w:w="100"/>
              <w:left w:type="dxa" w:w="150"/>
              <w:bottom w:type="dxa" w:w="100"/>
              <w:right w:type="dxa" w:w="150"/>
            </w:tcMar>
            <w:vAlign w:val="center"/>
          </w:tcPr>
          <w:p>
            <w:pPr>
              <w:jc w:val="center"/>
            </w:pPr>
            <w:r>
              <w:rPr>
                <w:b/>
                <w:bCs/>
                <w:i w:val="false"/>
                <w:iCs w:val="false"/>
                <w:color w:val="2E7D32"/>
              </w:rPr>
              <w:t xml:space="preserve">100%</w:t>
            </w:r>
          </w:p>
        </w:tc>
      </w:tr>
      <w:tr>
        <w:tc>
          <w:tcPr>
            <w:tcW w:type="dxa" w:w="2400"/>
            <w:tcMar>
              <w:top w:type="dxa" w:w="100"/>
              <w:left w:type="dxa" w:w="150"/>
              <w:bottom w:type="dxa" w:w="100"/>
              <w:right w:type="dxa" w:w="150"/>
            </w:tcMar>
            <w:vAlign w:val="center"/>
          </w:tcPr>
          <w:p>
            <w:pPr>
              <w:jc w:val="left"/>
            </w:pPr>
            <w:r>
              <w:rPr>
                <w:b/>
                <w:bCs/>
                <w:i w:val="false"/>
                <w:iCs w:val="false"/>
              </w:rPr>
              <w:t xml:space="preserve">Consistency</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Do internal cross-references (counts, lettering, dates) line up?</w:t>
            </w:r>
          </w:p>
        </w:tc>
        <w:tc>
          <w:tcPr>
            <w:tcW w:type="dxa" w:w="1400"/>
            <w:tcMar>
              <w:top w:type="dxa" w:w="100"/>
              <w:left w:type="dxa" w:w="150"/>
              <w:bottom w:type="dxa" w:w="100"/>
              <w:right w:type="dxa" w:w="150"/>
            </w:tcMar>
            <w:vAlign w:val="center"/>
          </w:tcPr>
          <w:p>
            <w:pPr>
              <w:jc w:val="center"/>
            </w:pPr>
            <w:r>
              <w:rPr>
                <w:b/>
                <w:bCs/>
                <w:i w:val="false"/>
                <w:iCs w:val="false"/>
                <w:color w:val="2E7D32"/>
              </w:rPr>
              <w:t xml:space="preserve">PASS</w:t>
            </w:r>
          </w:p>
        </w:tc>
        <w:tc>
          <w:tcPr>
            <w:tcW w:type="dxa" w:w="1600"/>
            <w:tcMar>
              <w:top w:type="dxa" w:w="100"/>
              <w:left w:type="dxa" w:w="150"/>
              <w:bottom w:type="dxa" w:w="100"/>
              <w:right w:type="dxa" w:w="150"/>
            </w:tcMar>
            <w:vAlign w:val="center"/>
          </w:tcPr>
          <w:p>
            <w:pPr>
              <w:jc w:val="center"/>
            </w:pPr>
            <w:r>
              <w:rPr>
                <w:b/>
                <w:bCs/>
                <w:i w:val="false"/>
                <w:iCs w:val="false"/>
                <w:color w:val="2E7D32"/>
              </w:rPr>
              <w:t xml:space="preserve">100%</w:t>
            </w:r>
          </w:p>
        </w:tc>
      </w:tr>
      <w:tr>
        <w:tc>
          <w:tcPr>
            <w:tcW w:type="dxa" w:w="2400"/>
            <w:tcMar>
              <w:top w:type="dxa" w:w="100"/>
              <w:left w:type="dxa" w:w="150"/>
              <w:bottom w:type="dxa" w:w="100"/>
              <w:right w:type="dxa" w:w="150"/>
            </w:tcMar>
            <w:vAlign w:val="center"/>
          </w:tcPr>
          <w:p>
            <w:pPr>
              <w:jc w:val="left"/>
            </w:pPr>
            <w:r>
              <w:rPr>
                <w:b/>
                <w:bCs/>
                <w:i w:val="false"/>
                <w:iCs w:val="false"/>
              </w:rPr>
              <w:t xml:space="preserve">Template Fidelity</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Does it match the reference affidavit's phrasing and register?</w:t>
            </w:r>
          </w:p>
        </w:tc>
        <w:tc>
          <w:tcPr>
            <w:tcW w:type="dxa" w:w="1400"/>
            <w:tcMar>
              <w:top w:type="dxa" w:w="100"/>
              <w:left w:type="dxa" w:w="150"/>
              <w:bottom w:type="dxa" w:w="100"/>
              <w:right w:type="dxa" w:w="150"/>
            </w:tcMar>
            <w:vAlign w:val="center"/>
          </w:tcPr>
          <w:p>
            <w:pPr>
              <w:jc w:val="center"/>
            </w:pPr>
            <w:r>
              <w:rPr>
                <w:b/>
                <w:bCs/>
                <w:i w:val="false"/>
                <w:iCs w:val="false"/>
                <w:color w:val="C62828"/>
              </w:rPr>
              <w:t xml:space="preserve">GAP</w:t>
            </w:r>
          </w:p>
        </w:tc>
        <w:tc>
          <w:tcPr>
            <w:tcW w:type="dxa" w:w="1600"/>
            <w:tcMar>
              <w:top w:type="dxa" w:w="100"/>
              <w:left w:type="dxa" w:w="150"/>
              <w:bottom w:type="dxa" w:w="100"/>
              <w:right w:type="dxa" w:w="150"/>
            </w:tcMar>
            <w:vAlign w:val="center"/>
          </w:tcPr>
          <w:p>
            <w:pPr>
              <w:jc w:val="center"/>
            </w:pPr>
            <w:r>
              <w:rPr>
                <w:b/>
                <w:bCs/>
                <w:i w:val="false"/>
                <w:iCs w:val="false"/>
                <w:color w:val="C62828"/>
              </w:rPr>
              <w:t xml:space="preserve">75%</w:t>
            </w:r>
          </w:p>
        </w:tc>
      </w:tr>
      <w:tr>
        <w:tc>
          <w:tcPr>
            <w:tcW w:type="dxa" w:w="2400"/>
            <w:tcMar>
              <w:top w:type="dxa" w:w="100"/>
              <w:left w:type="dxa" w:w="150"/>
              <w:bottom w:type="dxa" w:w="100"/>
              <w:right w:type="dxa" w:w="150"/>
            </w:tcMar>
            <w:vAlign w:val="center"/>
          </w:tcPr>
          <w:p>
            <w:pPr>
              <w:jc w:val="left"/>
            </w:pPr>
            <w:r>
              <w:rPr>
                <w:b/>
                <w:bCs/>
                <w:i w:val="false"/>
                <w:iCs w:val="false"/>
              </w:rPr>
              <w:t xml:space="preserve">Hallucinations</w:t>
            </w:r>
          </w:p>
        </w:tc>
        <w:tc>
          <w:tcPr>
            <w:tcW w:type="dxa" w:w="4200"/>
            <w:tcMar>
              <w:top w:type="dxa" w:w="100"/>
              <w:left w:type="dxa" w:w="150"/>
              <w:bottom w:type="dxa" w:w="100"/>
              <w:right w:type="dxa" w:w="150"/>
            </w:tcMar>
            <w:vAlign w:val="center"/>
          </w:tcPr>
          <w:p>
            <w:pPr>
              <w:jc w:val="left"/>
            </w:pPr>
            <w:r>
              <w:rPr>
                <w:b w:val="false"/>
                <w:bCs w:val="false"/>
                <w:i/>
                <w:iCs/>
                <w:sz w:val="20"/>
                <w:szCs w:val="20"/>
              </w:rPr>
              <w:t xml:space="preserve">Were any facts, names, or relief invented that weren't supplied?</w:t>
            </w:r>
          </w:p>
        </w:tc>
        <w:tc>
          <w:tcPr>
            <w:tcW w:type="dxa" w:w="1400"/>
            <w:tcMar>
              <w:top w:type="dxa" w:w="100"/>
              <w:left w:type="dxa" w:w="150"/>
              <w:bottom w:type="dxa" w:w="100"/>
              <w:right w:type="dxa" w:w="150"/>
            </w:tcMar>
            <w:vAlign w:val="center"/>
          </w:tcPr>
          <w:p>
            <w:pPr>
              <w:jc w:val="center"/>
            </w:pPr>
            <w:r>
              <w:rPr>
                <w:b/>
                <w:bCs/>
                <w:i w:val="false"/>
                <w:iCs w:val="false"/>
                <w:color w:val="2E7D32"/>
              </w:rPr>
              <w:t xml:space="preserve">PASS</w:t>
            </w:r>
          </w:p>
        </w:tc>
        <w:tc>
          <w:tcPr>
            <w:tcW w:type="dxa" w:w="1600"/>
            <w:tcMar>
              <w:top w:type="dxa" w:w="100"/>
              <w:left w:type="dxa" w:w="150"/>
              <w:bottom w:type="dxa" w:w="100"/>
              <w:right w:type="dxa" w:w="150"/>
            </w:tcMar>
            <w:vAlign w:val="center"/>
          </w:tcPr>
          <w:p>
            <w:pPr>
              <w:jc w:val="center"/>
            </w:pPr>
            <w:r>
              <w:rPr>
                <w:b/>
                <w:bCs/>
                <w:i w:val="false"/>
                <w:iCs w:val="false"/>
                <w:color w:val="2E7D32"/>
              </w:rPr>
              <w:t xml:space="preserve">100% (none found)</w:t>
            </w:r>
          </w:p>
        </w:tc>
      </w:tr>
      <w:tr>
        <w:tc>
          <w:tcPr>
            <w:tcW w:type="dxa" w:w="2400"/>
            <w:shd w:fill="F2F2F2" w:color="auto" w:val="clear"/>
            <w:tcMar>
              <w:top w:type="dxa" w:w="100"/>
              <w:left w:type="dxa" w:w="150"/>
              <w:bottom w:type="dxa" w:w="100"/>
              <w:right w:type="dxa" w:w="150"/>
            </w:tcMar>
            <w:vAlign w:val="center"/>
          </w:tcPr>
          <w:p>
            <w:pPr>
              <w:jc w:val="left"/>
            </w:pPr>
            <w:r>
              <w:rPr>
                <w:b/>
                <w:bCs/>
                <w:i w:val="false"/>
                <w:iCs w:val="false"/>
              </w:rPr>
              <w:t xml:space="preserve">Overall Evaluation</w:t>
            </w:r>
          </w:p>
        </w:tc>
        <w:tc>
          <w:tcPr>
            <w:tcW w:type="dxa" w:w="4200"/>
            <w:shd w:fill="F2F2F2" w:color="auto" w:val="clear"/>
            <w:tcMar>
              <w:top w:type="dxa" w:w="100"/>
              <w:left w:type="dxa" w:w="150"/>
              <w:bottom w:type="dxa" w:w="100"/>
              <w:right w:type="dxa" w:w="150"/>
            </w:tcMar>
            <w:vAlign w:val="center"/>
          </w:tcPr>
          <w:p>
            <w:pPr>
              <w:jc w:val="left"/>
            </w:pPr>
            <w:r>
              <w:rPr>
                <w:b w:val="false"/>
                <w:bCs w:val="false"/>
                <w:i/>
                <w:iCs/>
                <w:sz w:val="20"/>
                <w:szCs w:val="20"/>
              </w:rPr>
              <w:t xml:space="preserve">Average across the six dimensions above</w:t>
            </w:r>
          </w:p>
        </w:tc>
        <w:tc>
          <w:tcPr>
            <w:tcW w:type="dxa" w:w="1400"/>
            <w:shd w:fill="F2F2F2" w:color="auto" w:val="clear"/>
            <w:tcMar>
              <w:top w:type="dxa" w:w="100"/>
              <w:left w:type="dxa" w:w="150"/>
              <w:bottom w:type="dxa" w:w="100"/>
              <w:right w:type="dxa" w:w="150"/>
            </w:tcMar>
            <w:vAlign w:val="center"/>
          </w:tcPr>
          <w:p>
            <w:pPr>
              <w:jc w:val="center"/>
            </w:pPr>
            <w:r>
              <w:rPr>
                <w:b/>
                <w:bCs/>
                <w:i w:val="false"/>
                <w:iCs w:val="false"/>
                <w:color w:val="C62828"/>
              </w:rPr>
              <w:t xml:space="preserve">GAP</w:t>
            </w:r>
          </w:p>
        </w:tc>
        <w:tc>
          <w:tcPr>
            <w:tcW w:type="dxa" w:w="1600"/>
            <w:shd w:fill="F2F2F2" w:color="auto" w:val="clear"/>
            <w:tcMar>
              <w:top w:type="dxa" w:w="100"/>
              <w:left w:type="dxa" w:w="150"/>
              <w:bottom w:type="dxa" w:w="100"/>
              <w:right w:type="dxa" w:w="150"/>
            </w:tcMar>
            <w:vAlign w:val="center"/>
          </w:tcPr>
          <w:p>
            <w:pPr>
              <w:jc w:val="center"/>
            </w:pPr>
            <w:r>
              <w:rPr>
                <w:b/>
                <w:bCs/>
                <w:i w:val="false"/>
                <w:iCs w:val="false"/>
                <w:color w:val="C62828"/>
              </w:rPr>
              <w:t xml:space="preserve">96%</w:t>
            </w:r>
          </w:p>
        </w:tc>
      </w:tr>
    </w:tbl>
    <w:p>
      <w:pPr>
        <w:spacing w:before="200"/>
      </w:pPr>
    </w:p>
    <w:p>
      <w:pPr>
        <w:spacing w:after="200"/>
      </w:pPr>
      <w:r>
        <w:rPr>
          <w:i/>
          <w:iCs/>
          <w:color w:val="555555"/>
          <w:sz w:val="20"/>
          <w:szCs w:val="20"/>
        </w:rPr>
        <w:t xml:space="preserve">Five of the six dimensions scored a perfect 100% — all entities, coverage, layout, and cross-references checked out exactly. Template Fidelity scored 75%, the only gap, which pulls the overall score to 96%.</w:t>
      </w:r>
    </w:p>
    <w:p>
      <w:pPr>
        <w:pStyle w:val="Heading1"/>
        <w:spacing w:after="200" w:before="400"/>
      </w:pPr>
      <w:r>
        <w:t xml:space="preserve">Overall Verdict</w:t>
      </w:r>
    </w:p>
    <w:p>
      <w:pPr>
        <w:spacing w:after="200"/>
      </w:pPr>
      <w:r>
        <w:t xml:space="preserve">The generated affidavit is accurate, complete, structurally correct, internally consistent, and free of hallucinated facts. The single identified gap is stylistic: one forceful closing phrase used in the reference document does not appear in the generated draft, because that phrase was not present in the source facts supplied. Recommended for use as a first draft only, subject to review by a qualified advocate before filing.</w:t>
      </w:r>
    </w:p>
    <w:p>
      <w:pPr>
        <w:pStyle w:val="Heading1"/>
        <w:spacing w:after="200" w:before="400"/>
      </w:pPr>
      <w:r>
        <w:t xml:space="preserve">1. Entity Accuracy</w:t>
      </w:r>
    </w:p>
    <w:p>
      <w:pPr>
        <w:spacing w:after="200"/>
        <w:ind w:left="200"/>
      </w:pPr>
      <w:r>
        <w:rPr>
          <w:i/>
          <w:iCs/>
          <w:color w:val="555555"/>
          <w:sz w:val="20"/>
          <w:szCs w:val="20"/>
        </w:rPr>
        <w:t xml:space="preserve">Checks whether every name, date, and case reference in the draft matches the source facts.</w:t>
      </w:r>
    </w:p>
    <w:p>
      <w:pPr>
        <w:spacing w:after="150"/>
      </w:pPr>
      <w:r>
        <w:rPr>
          <w:b/>
          <w:bCs/>
        </w:rPr>
        <w:t xml:space="preserve">Result: </w:t>
      </w:r>
      <w:r>
        <w:rPr>
          <w:b/>
          <w:bCs/>
          <w:color w:val="2E7D32"/>
        </w:rPr>
        <w:t xml:space="preserve">PASS</w:t>
      </w:r>
      <w:r>
        <w:rPr>
          <w:b/>
          <w:bCs/>
        </w:rPr>
        <w:t xml:space="preserve">  —  Score: </w:t>
      </w:r>
      <w:r>
        <w:rPr>
          <w:b/>
          <w:bCs/>
          <w:color w:val="2E7D32"/>
        </w:rPr>
        <w:t xml:space="preserve">100%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00"/>
      </w:tblGrid>
      <w:tr>
        <w:trPr>
          <w:tblHeader/>
        </w:trPr>
        <w:tc>
          <w:tcPr>
            <w:tcW w:type="dxa" w:w="2200"/>
            <w:shd w:fill="1F2933" w:color="auto" w:val="clear"/>
            <w:tcMar>
              <w:top w:type="dxa" w:w="100"/>
              <w:left w:type="dxa" w:w="150"/>
              <w:bottom w:type="dxa" w:w="100"/>
              <w:right w:type="dxa" w:w="150"/>
            </w:tcMar>
            <w:vAlign w:val="center"/>
          </w:tcPr>
          <w:p>
            <w:pPr>
              <w:jc w:val="left"/>
            </w:pPr>
            <w:r>
              <w:rPr>
                <w:b/>
                <w:bCs/>
                <w:i w:val="false"/>
                <w:iCs w:val="false"/>
                <w:color w:val="FFFFFF"/>
              </w:rPr>
              <w:t xml:space="preserve">Entity Type</w:t>
            </w:r>
          </w:p>
        </w:tc>
        <w:tc>
          <w:tcPr>
            <w:tcW w:type="dxa" w:w="3800"/>
            <w:shd w:fill="1F2933" w:color="auto" w:val="clear"/>
            <w:tcMar>
              <w:top w:type="dxa" w:w="100"/>
              <w:left w:type="dxa" w:w="150"/>
              <w:bottom w:type="dxa" w:w="100"/>
              <w:right w:type="dxa" w:w="150"/>
            </w:tcMar>
            <w:vAlign w:val="center"/>
          </w:tcPr>
          <w:p>
            <w:pPr>
              <w:jc w:val="left"/>
            </w:pPr>
            <w:r>
              <w:rPr>
                <w:b/>
                <w:bCs/>
                <w:i w:val="false"/>
                <w:iCs w:val="false"/>
                <w:color w:val="FFFFFF"/>
              </w:rPr>
              <w:t xml:space="preserve">Expected Value (source facts)</w:t>
            </w:r>
          </w:p>
        </w:tc>
        <w:tc>
          <w:tcPr>
            <w:tcW w:type="dxa" w:w="3600"/>
            <w:shd w:fill="1F2933" w:color="auto" w:val="clear"/>
            <w:tcMar>
              <w:top w:type="dxa" w:w="100"/>
              <w:left w:type="dxa" w:w="150"/>
              <w:bottom w:type="dxa" w:w="100"/>
              <w:right w:type="dxa" w:w="150"/>
            </w:tcMar>
            <w:vAlign w:val="center"/>
          </w:tcPr>
          <w:p>
            <w:pPr>
              <w:jc w:val="left"/>
            </w:pPr>
            <w:r>
              <w:rPr>
                <w:b/>
                <w:bCs/>
                <w:i w:val="false"/>
                <w:iCs w:val="false"/>
                <w:color w:val="FFFFFF"/>
              </w:rPr>
              <w:t xml:space="preserve">Check Result</w:t>
            </w:r>
          </w:p>
        </w:tc>
      </w:tr>
      <w:tr>
        <w:tc>
          <w:tcPr>
            <w:tcW w:type="dxa" w:w="2200"/>
            <w:tcMar>
              <w:top w:type="dxa" w:w="100"/>
              <w:left w:type="dxa" w:w="150"/>
              <w:bottom w:type="dxa" w:w="100"/>
              <w:right w:type="dxa" w:w="150"/>
            </w:tcMar>
            <w:vAlign w:val="center"/>
          </w:tcPr>
          <w:p>
            <w:pPr>
              <w:jc w:val="left"/>
            </w:pPr>
            <w:r>
              <w:rPr>
                <w:b/>
                <w:bCs/>
                <w:i w:val="false"/>
                <w:iCs w:val="false"/>
              </w:rPr>
              <w:t xml:space="preserve">Party names</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Sunrise Housing Pvt. Ltd.; State of Maharashtra; MMRDA; Arvind Rajan</w:t>
            </w:r>
          </w:p>
        </w:tc>
        <w:tc>
          <w:tcPr>
            <w:tcW w:type="dxa" w:w="3600"/>
            <w:tcMar>
              <w:top w:type="dxa" w:w="100"/>
              <w:left w:type="dxa" w:w="150"/>
              <w:bottom w:type="dxa" w:w="100"/>
              <w:right w:type="dxa" w:w="150"/>
            </w:tcMar>
            <w:vAlign w:val="center"/>
          </w:tcPr>
          <w:p>
            <w:pPr>
              <w:jc w:val="left"/>
            </w:pPr>
            <w:r>
              <w:rPr>
                <w:b w:val="false"/>
                <w:bCs w:val="false"/>
                <w:i w:val="false"/>
                <w:iCs w:val="false"/>
                <w:color w:val="2E7D32"/>
              </w:rPr>
              <w:t xml:space="preserve">Correct in caption, party tables, and footer</w:t>
            </w:r>
          </w:p>
        </w:tc>
      </w:tr>
      <w:tr>
        <w:tc>
          <w:tcPr>
            <w:tcW w:type="dxa" w:w="2200"/>
            <w:tcMar>
              <w:top w:type="dxa" w:w="100"/>
              <w:left w:type="dxa" w:w="150"/>
              <w:bottom w:type="dxa" w:w="100"/>
              <w:right w:type="dxa" w:w="150"/>
            </w:tcMar>
            <w:vAlign w:val="center"/>
          </w:tcPr>
          <w:p>
            <w:pPr>
              <w:jc w:val="left"/>
            </w:pPr>
            <w:r>
              <w:rPr>
                <w:b/>
                <w:bCs/>
                <w:i w:val="false"/>
                <w:iCs w:val="false"/>
              </w:rPr>
              <w:t xml:space="preserve">Case number</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Writ Petition No. 1847 of 2026</w:t>
            </w:r>
          </w:p>
        </w:tc>
        <w:tc>
          <w:tcPr>
            <w:tcW w:type="dxa" w:w="3600"/>
            <w:tcMar>
              <w:top w:type="dxa" w:w="100"/>
              <w:left w:type="dxa" w:w="150"/>
              <w:bottom w:type="dxa" w:w="100"/>
              <w:right w:type="dxa" w:w="150"/>
            </w:tcMar>
            <w:vAlign w:val="center"/>
          </w:tcPr>
          <w:p>
            <w:pPr>
              <w:jc w:val="left"/>
            </w:pPr>
            <w:r>
              <w:rPr>
                <w:b w:val="false"/>
                <w:bCs w:val="false"/>
                <w:i w:val="false"/>
                <w:iCs w:val="false"/>
                <w:color w:val="2E7D32"/>
              </w:rPr>
              <w:t xml:space="preserve">Correct throughout</w:t>
            </w:r>
          </w:p>
        </w:tc>
      </w:tr>
      <w:tr>
        <w:tc>
          <w:tcPr>
            <w:tcW w:type="dxa" w:w="2200"/>
            <w:tcMar>
              <w:top w:type="dxa" w:w="100"/>
              <w:left w:type="dxa" w:w="150"/>
              <w:bottom w:type="dxa" w:w="100"/>
              <w:right w:type="dxa" w:w="150"/>
            </w:tcMar>
            <w:vAlign w:val="center"/>
          </w:tcPr>
          <w:p>
            <w:pPr>
              <w:jc w:val="left"/>
            </w:pPr>
            <w:r>
              <w:rPr>
                <w:b/>
                <w:bCs/>
                <w:i w:val="false"/>
                <w:iCs w:val="false"/>
              </w:rPr>
              <w:t xml:space="preserve">Key date</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15 July 2026 (communication date)</w:t>
            </w:r>
          </w:p>
        </w:tc>
        <w:tc>
          <w:tcPr>
            <w:tcW w:type="dxa" w:w="3600"/>
            <w:tcMar>
              <w:top w:type="dxa" w:w="100"/>
              <w:left w:type="dxa" w:w="150"/>
              <w:bottom w:type="dxa" w:w="100"/>
              <w:right w:type="dxa" w:w="150"/>
            </w:tcMar>
            <w:vAlign w:val="center"/>
          </w:tcPr>
          <w:p>
            <w:pPr>
              <w:jc w:val="left"/>
            </w:pPr>
            <w:r>
              <w:rPr>
                <w:b w:val="false"/>
                <w:bCs w:val="false"/>
                <w:i w:val="false"/>
                <w:iCs w:val="false"/>
                <w:color w:val="2E7D32"/>
              </w:rPr>
              <w:t xml:space="preserve">Correct in Paragraphs 4 and 5</w:t>
            </w:r>
          </w:p>
        </w:tc>
      </w:tr>
      <w:tr>
        <w:tc>
          <w:tcPr>
            <w:tcW w:type="dxa" w:w="2200"/>
            <w:tcMar>
              <w:top w:type="dxa" w:w="100"/>
              <w:left w:type="dxa" w:w="150"/>
              <w:bottom w:type="dxa" w:w="100"/>
              <w:right w:type="dxa" w:w="150"/>
            </w:tcMar>
            <w:vAlign w:val="center"/>
          </w:tcPr>
          <w:p>
            <w:pPr>
              <w:jc w:val="left"/>
            </w:pPr>
            <w:r>
              <w:rPr>
                <w:b/>
                <w:bCs/>
                <w:i w:val="false"/>
                <w:iCs w:val="false"/>
              </w:rPr>
              <w:t xml:space="preserve">Exhibit marker</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EXHIBIT-'A'</w:t>
            </w:r>
          </w:p>
        </w:tc>
        <w:tc>
          <w:tcPr>
            <w:tcW w:type="dxa" w:w="3600"/>
            <w:tcMar>
              <w:top w:type="dxa" w:w="100"/>
              <w:left w:type="dxa" w:w="150"/>
              <w:bottom w:type="dxa" w:w="100"/>
              <w:right w:type="dxa" w:w="150"/>
            </w:tcMar>
            <w:vAlign w:val="center"/>
          </w:tcPr>
          <w:p>
            <w:pPr>
              <w:jc w:val="left"/>
            </w:pPr>
            <w:r>
              <w:rPr>
                <w:b w:val="false"/>
                <w:bCs w:val="false"/>
                <w:i w:val="false"/>
                <w:iCs w:val="false"/>
                <w:color w:val="2E7D32"/>
              </w:rPr>
              <w:t xml:space="preserve">Correct, reproduced near-verbatim in Paragraph 6</w:t>
            </w:r>
          </w:p>
        </w:tc>
      </w:tr>
      <w:tr>
        <w:tc>
          <w:tcPr>
            <w:tcW w:type="dxa" w:w="2200"/>
            <w:tcMar>
              <w:top w:type="dxa" w:w="100"/>
              <w:left w:type="dxa" w:w="150"/>
              <w:bottom w:type="dxa" w:w="100"/>
              <w:right w:type="dxa" w:w="150"/>
            </w:tcMar>
            <w:vAlign w:val="center"/>
          </w:tcPr>
          <w:p>
            <w:pPr>
              <w:jc w:val="left"/>
            </w:pPr>
            <w:r>
              <w:rPr>
                <w:b/>
                <w:bCs/>
                <w:i w:val="false"/>
                <w:iCs w:val="false"/>
              </w:rPr>
              <w:t xml:space="preserve">Attestation date</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5th day of September 2026</w:t>
            </w:r>
          </w:p>
        </w:tc>
        <w:tc>
          <w:tcPr>
            <w:tcW w:type="dxa" w:w="3600"/>
            <w:tcMar>
              <w:top w:type="dxa" w:w="100"/>
              <w:left w:type="dxa" w:w="150"/>
              <w:bottom w:type="dxa" w:w="100"/>
              <w:right w:type="dxa" w:w="150"/>
            </w:tcMar>
            <w:vAlign w:val="center"/>
          </w:tcPr>
          <w:p>
            <w:pPr>
              <w:jc w:val="left"/>
            </w:pPr>
            <w:r>
              <w:rPr>
                <w:b w:val="false"/>
                <w:bCs w:val="false"/>
                <w:i w:val="false"/>
                <w:iCs w:val="false"/>
                <w:color w:val="2E7D32"/>
              </w:rPr>
              <w:t xml:space="preserve">Correct, proper ordinal form</w:t>
            </w:r>
          </w:p>
        </w:tc>
      </w:tr>
    </w:tbl>
    <w:p>
      <w:pPr>
        <w:pStyle w:val="Heading1"/>
        <w:spacing w:after="200" w:before="400"/>
      </w:pPr>
      <w:r>
        <w:t xml:space="preserve">2. Completeness</w:t>
      </w:r>
    </w:p>
    <w:p>
      <w:pPr>
        <w:spacing w:after="200"/>
        <w:ind w:left="200"/>
      </w:pPr>
      <w:r>
        <w:rPr>
          <w:i/>
          <w:iCs/>
          <w:color w:val="555555"/>
          <w:sz w:val="20"/>
          <w:szCs w:val="20"/>
        </w:rPr>
        <w:t xml:space="preserve">Checks whether every required point, exhibit reference, and prayer item from the source facts made it into the draft.</w:t>
      </w:r>
    </w:p>
    <w:p>
      <w:pPr>
        <w:spacing w:after="150"/>
      </w:pPr>
      <w:r>
        <w:rPr>
          <w:b/>
          <w:bCs/>
        </w:rPr>
        <w:t xml:space="preserve">Result: </w:t>
      </w:r>
      <w:r>
        <w:rPr>
          <w:b/>
          <w:bCs/>
          <w:color w:val="2E7D32"/>
        </w:rPr>
        <w:t xml:space="preserve">PASS</w:t>
      </w:r>
      <w:r>
        <w:rPr>
          <w:b/>
          <w:bCs/>
        </w:rPr>
        <w:t xml:space="preserve">  —  Score: </w:t>
      </w:r>
      <w:r>
        <w:rPr>
          <w:b/>
          <w:bCs/>
          <w:color w:val="2E7D32"/>
        </w:rPr>
        <w:t xml:space="preserve">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3800"/>
      </w:tblGrid>
      <w:tr>
        <w:trPr>
          <w:tblHeader/>
        </w:trPr>
        <w:tc>
          <w:tcPr>
            <w:tcW w:type="dxa" w:w="600"/>
            <w:shd w:fill="1F2933" w:color="auto" w:val="clear"/>
            <w:tcMar>
              <w:top w:type="dxa" w:w="100"/>
              <w:left w:type="dxa" w:w="150"/>
              <w:bottom w:type="dxa" w:w="100"/>
              <w:right w:type="dxa" w:w="150"/>
            </w:tcMar>
            <w:vAlign w:val="center"/>
          </w:tcPr>
          <w:p>
            <w:pPr>
              <w:jc w:val="center"/>
            </w:pPr>
            <w:r>
              <w:rPr>
                <w:b/>
                <w:bCs/>
                <w:i w:val="false"/>
                <w:iCs w:val="false"/>
                <w:color w:val="FFFFFF"/>
              </w:rPr>
              <w:t xml:space="preserve">Para</w:t>
            </w:r>
          </w:p>
        </w:tc>
        <w:tc>
          <w:tcPr>
            <w:tcW w:type="dxa" w:w="4600"/>
            <w:shd w:fill="1F2933" w:color="auto" w:val="clear"/>
            <w:tcMar>
              <w:top w:type="dxa" w:w="100"/>
              <w:left w:type="dxa" w:w="150"/>
              <w:bottom w:type="dxa" w:w="100"/>
              <w:right w:type="dxa" w:w="150"/>
            </w:tcMar>
            <w:vAlign w:val="center"/>
          </w:tcPr>
          <w:p>
            <w:pPr>
              <w:jc w:val="left"/>
            </w:pPr>
            <w:r>
              <w:rPr>
                <w:b/>
                <w:bCs/>
                <w:i w:val="false"/>
                <w:iCs w:val="false"/>
                <w:color w:val="FFFFFF"/>
              </w:rPr>
              <w:t xml:space="preserve">Required Point (source facts)</w:t>
            </w:r>
          </w:p>
        </w:tc>
        <w:tc>
          <w:tcPr>
            <w:tcW w:type="dxa" w:w="3800"/>
            <w:shd w:fill="1F2933" w:color="auto" w:val="clear"/>
            <w:tcMar>
              <w:top w:type="dxa" w:w="100"/>
              <w:left w:type="dxa" w:w="150"/>
              <w:bottom w:type="dxa" w:w="100"/>
              <w:right w:type="dxa" w:w="150"/>
            </w:tcMar>
            <w:vAlign w:val="center"/>
          </w:tcPr>
          <w:p>
            <w:pPr>
              <w:jc w:val="left"/>
            </w:pPr>
            <w:r>
              <w:rPr>
                <w:b/>
                <w:bCs/>
                <w:i w:val="false"/>
                <w:iCs w:val="false"/>
                <w:color w:val="FFFFFF"/>
              </w:rPr>
              <w:t xml:space="preserve">Coverage Check</w:t>
            </w:r>
          </w:p>
        </w:tc>
      </w:tr>
      <w:tr>
        <w:tc>
          <w:tcPr>
            <w:tcW w:type="dxa" w:w="600"/>
            <w:tcMar>
              <w:top w:type="dxa" w:w="100"/>
              <w:left w:type="dxa" w:w="150"/>
              <w:bottom w:type="dxa" w:w="100"/>
              <w:right w:type="dxa" w:w="150"/>
            </w:tcMar>
            <w:vAlign w:val="center"/>
          </w:tcPr>
          <w:p>
            <w:pPr>
              <w:jc w:val="center"/>
            </w:pPr>
            <w:r>
              <w:rPr>
                <w:b/>
                <w:bCs/>
                <w:i w:val="false"/>
                <w:iCs w:val="false"/>
              </w:rPr>
              <w:t xml:space="preserve">1</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Perused Writ Petition; filing Affidavit in Reply on behalf of Respondent No.2 to oppose contentions/reliefs</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matches source point</w:t>
            </w:r>
          </w:p>
        </w:tc>
      </w:tr>
      <w:tr>
        <w:tc>
          <w:tcPr>
            <w:tcW w:type="dxa" w:w="600"/>
            <w:tcMar>
              <w:top w:type="dxa" w:w="100"/>
              <w:left w:type="dxa" w:w="150"/>
              <w:bottom w:type="dxa" w:w="100"/>
              <w:right w:type="dxa" w:w="150"/>
            </w:tcMar>
            <w:vAlign w:val="center"/>
          </w:tcPr>
          <w:p>
            <w:pPr>
              <w:jc w:val="center"/>
            </w:pPr>
            <w:r>
              <w:rPr>
                <w:b/>
                <w:bCs/>
                <w:i w:val="false"/>
                <w:iCs w:val="false"/>
              </w:rPr>
              <w:t xml:space="preserve">2</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General denial of all statements except those specifically admitted; non-admission clause</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matches source point</w:t>
            </w:r>
          </w:p>
        </w:tc>
      </w:tr>
      <w:tr>
        <w:tc>
          <w:tcPr>
            <w:tcW w:type="dxa" w:w="600"/>
            <w:tcMar>
              <w:top w:type="dxa" w:w="100"/>
              <w:left w:type="dxa" w:w="150"/>
              <w:bottom w:type="dxa" w:w="100"/>
              <w:right w:type="dxa" w:w="150"/>
            </w:tcMar>
            <w:vAlign w:val="center"/>
          </w:tcPr>
          <w:p>
            <w:pPr>
              <w:jc w:val="center"/>
            </w:pPr>
            <w:r>
              <w:rPr>
                <w:b/>
                <w:bCs/>
                <w:i w:val="false"/>
                <w:iCs w:val="false"/>
              </w:rPr>
              <w:t xml:space="preserve">3</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Petition misconceived/devoid of merits; actions taken per redevelopment procedure and within authority</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core content matches (phrasing gap noted under Template Fidelity)</w:t>
            </w:r>
          </w:p>
        </w:tc>
      </w:tr>
      <w:tr>
        <w:tc>
          <w:tcPr>
            <w:tcW w:type="dxa" w:w="600"/>
            <w:tcMar>
              <w:top w:type="dxa" w:w="100"/>
              <w:left w:type="dxa" w:w="150"/>
              <w:bottom w:type="dxa" w:w="100"/>
              <w:right w:type="dxa" w:w="150"/>
            </w:tcMar>
            <w:vAlign w:val="center"/>
          </w:tcPr>
          <w:p>
            <w:pPr>
              <w:jc w:val="center"/>
            </w:pPr>
            <w:r>
              <w:rPr>
                <w:b/>
                <w:bCs/>
                <w:i w:val="false"/>
                <w:iCs w:val="false"/>
              </w:rPr>
              <w:t xml:space="preserve">4</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Denial that communication dated 15 July 2026 was issued without authority</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date preserved correctly</w:t>
            </w:r>
          </w:p>
        </w:tc>
      </w:tr>
      <w:tr>
        <w:tc>
          <w:tcPr>
            <w:tcW w:type="dxa" w:w="600"/>
            <w:tcMar>
              <w:top w:type="dxa" w:w="100"/>
              <w:left w:type="dxa" w:w="150"/>
              <w:bottom w:type="dxa" w:w="100"/>
              <w:right w:type="dxa" w:w="150"/>
            </w:tcMar>
            <w:vAlign w:val="center"/>
          </w:tcPr>
          <w:p>
            <w:pPr>
              <w:jc w:val="center"/>
            </w:pPr>
            <w:r>
              <w:rPr>
                <w:b/>
                <w:bCs/>
                <w:i w:val="false"/>
                <w:iCs w:val="false"/>
              </w:rPr>
              <w:t xml:space="preserve">5</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Communication dated 15 July 2026 issued per procedure, after considering records</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date preserved correctly</w:t>
            </w:r>
          </w:p>
        </w:tc>
      </w:tr>
      <w:tr>
        <w:tc>
          <w:tcPr>
            <w:tcW w:type="dxa" w:w="600"/>
            <w:tcMar>
              <w:top w:type="dxa" w:w="100"/>
              <w:left w:type="dxa" w:w="150"/>
              <w:bottom w:type="dxa" w:w="100"/>
              <w:right w:type="dxa" w:w="150"/>
            </w:tcMar>
            <w:vAlign w:val="center"/>
          </w:tcPr>
          <w:p>
            <w:pPr>
              <w:jc w:val="center"/>
            </w:pPr>
            <w:r>
              <w:rPr>
                <w:b/>
                <w:bCs/>
                <w:i w:val="false"/>
                <w:iCs w:val="false"/>
              </w:rPr>
              <w:t xml:space="preserve">6</w:t>
            </w:r>
          </w:p>
        </w:tc>
        <w:tc>
          <w:tcPr>
            <w:tcW w:type="dxa" w:w="4600"/>
            <w:tcMar>
              <w:top w:type="dxa" w:w="100"/>
              <w:left w:type="dxa" w:w="150"/>
              <w:bottom w:type="dxa" w:w="100"/>
              <w:right w:type="dxa" w:w="150"/>
            </w:tcMar>
            <w:vAlign w:val="center"/>
          </w:tcPr>
          <w:p>
            <w:pPr>
              <w:jc w:val="left"/>
            </w:pPr>
            <w:r>
              <w:rPr>
                <w:b w:val="false"/>
                <w:bCs w:val="false"/>
                <w:i w:val="false"/>
                <w:iCs w:val="false"/>
              </w:rPr>
              <w:t xml:space="preserve">Relies on communication; to be annexed as EXHIBIT-'A'</w:t>
            </w:r>
          </w:p>
        </w:tc>
        <w:tc>
          <w:tcPr>
            <w:tcW w:type="dxa" w:w="3800"/>
            <w:tcMar>
              <w:top w:type="dxa" w:w="100"/>
              <w:left w:type="dxa" w:w="150"/>
              <w:bottom w:type="dxa" w:w="100"/>
              <w:right w:type="dxa" w:w="150"/>
            </w:tcMar>
            <w:vAlign w:val="center"/>
          </w:tcPr>
          <w:p>
            <w:pPr>
              <w:jc w:val="left"/>
            </w:pPr>
            <w:r>
              <w:rPr>
                <w:b w:val="false"/>
                <w:bCs w:val="false"/>
                <w:i w:val="false"/>
                <w:iCs w:val="false"/>
              </w:rPr>
              <w:t xml:space="preserve">Present — exhibit marker preserved near-verbatim</w:t>
            </w:r>
          </w:p>
        </w:tc>
      </w:tr>
    </w:tbl>
    <w:p>
      <w:pPr>
        <w:spacing w:before="100"/>
      </w:pPr>
    </w:p>
    <w:p>
      <w:pPr>
        <w:spacing w:after="200"/>
      </w:pPr>
      <w:r>
        <w:t xml:space="preserve">The VERIFICATION paragraph correctly covers “paragraphs 1 to 6,” matching the six drafted paragraphs, and the single prayer item is present and correctly lettered (a).</w:t>
      </w:r>
    </w:p>
    <w:p>
      <w:pPr>
        <w:pStyle w:val="Heading1"/>
        <w:spacing w:after="200" w:before="400"/>
      </w:pPr>
      <w:r>
        <w:t xml:space="preserve">3. Structure</w:t>
      </w:r>
    </w:p>
    <w:p>
      <w:pPr>
        <w:spacing w:after="200"/>
        <w:ind w:left="200"/>
      </w:pPr>
      <w:r>
        <w:rPr>
          <w:i/>
          <w:iCs/>
          <w:color w:val="555555"/>
          <w:sz w:val="20"/>
          <w:szCs w:val="20"/>
        </w:rPr>
        <w:t xml:space="preserve">Checks whether the document follows the correct layout — caption, party tables, versus block, attestation, and footer.</w:t>
      </w:r>
    </w:p>
    <w:p>
      <w:pPr>
        <w:spacing w:after="150"/>
      </w:pPr>
      <w:r>
        <w:rPr>
          <w:b/>
          <w:bCs/>
        </w:rPr>
        <w:t xml:space="preserve">Result: </w:t>
      </w:r>
      <w:r>
        <w:rPr>
          <w:b/>
          <w:bCs/>
          <w:color w:val="2E7D32"/>
        </w:rPr>
        <w:t xml:space="preserve">PASS</w:t>
      </w:r>
      <w:r>
        <w:rPr>
          <w:b/>
          <w:bCs/>
        </w:rPr>
        <w:t xml:space="preserve">  —  Score: </w:t>
      </w:r>
      <w:r>
        <w:rPr>
          <w:b/>
          <w:bCs/>
          <w:color w:val="2E7D32"/>
        </w:rPr>
        <w:t xml:space="preserve">100%</w:t>
      </w:r>
    </w:p>
    <w:p>
      <w:pPr>
        <w:spacing w:after="200"/>
      </w:pPr>
      <w:r>
        <w:t xml:space="preserve">Caption, party tables, versus block, title line, attestation table, and advocate footer all match the deterministic layout produced by docx_builder.py, populated correctly from the case-info doc. This layer is template-driven rather than model-generated, so no variation is expected between runs.</w:t>
      </w:r>
    </w:p>
    <w:p>
      <w:pPr>
        <w:pStyle w:val="Heading1"/>
        <w:spacing w:after="200" w:before="400"/>
      </w:pPr>
      <w:r>
        <w:t xml:space="preserve">4. Consistency</w:t>
      </w:r>
    </w:p>
    <w:p>
      <w:pPr>
        <w:spacing w:after="200"/>
        <w:ind w:left="200"/>
      </w:pPr>
      <w:r>
        <w:rPr>
          <w:i/>
          <w:iCs/>
          <w:color w:val="555555"/>
          <w:sz w:val="20"/>
          <w:szCs w:val="20"/>
        </w:rPr>
        <w:t xml:space="preserve">Checks whether internal cross-references — counts, lettering, dates — agree with each other within the document.</w:t>
      </w:r>
    </w:p>
    <w:p>
      <w:pPr>
        <w:spacing w:after="150"/>
      </w:pPr>
      <w:r>
        <w:rPr>
          <w:b/>
          <w:bCs/>
        </w:rPr>
        <w:t xml:space="preserve">Result: </w:t>
      </w:r>
      <w:r>
        <w:rPr>
          <w:b/>
          <w:bCs/>
          <w:color w:val="2E7D32"/>
        </w:rPr>
        <w:t xml:space="preserve">PASS</w:t>
      </w:r>
      <w:r>
        <w:rPr>
          <w:b/>
          <w:bCs/>
        </w:rPr>
        <w:t xml:space="preserve">  —  Score: </w:t>
      </w:r>
      <w:r>
        <w:rPr>
          <w:b/>
          <w:bCs/>
          <w:color w:val="2E7D32"/>
        </w:rPr>
        <w:t xml:space="preserve">100%</w:t>
      </w:r>
    </w:p>
    <w:p>
      <w:pPr>
        <w:spacing w:after="200"/>
      </w:pPr>
      <w:r>
        <w:t xml:space="preserve">The verification paragraph's reference to “paragraphs 1 to 6” matches the six paragraphs actually drafted, the prayer lettering (a) matches the single relief item, and the attestation date is rendered in a consistent, correctly formatted ordinal (“5th day of September 2026”).</w:t>
      </w:r>
    </w:p>
    <w:p>
      <w:pPr>
        <w:pStyle w:val="Heading1"/>
        <w:spacing w:after="200" w:before="400"/>
      </w:pPr>
      <w:r>
        <w:t xml:space="preserve">5. Template Fidelity</w:t>
      </w:r>
    </w:p>
    <w:p>
      <w:pPr>
        <w:spacing w:after="200"/>
        <w:ind w:left="200"/>
      </w:pPr>
      <w:r>
        <w:rPr>
          <w:i/>
          <w:iCs/>
          <w:color w:val="555555"/>
          <w:sz w:val="20"/>
          <w:szCs w:val="20"/>
        </w:rPr>
        <w:t xml:space="preserve">Checks whether the draft's phrasing and tone match the reference affidavit it was modeled on.</w:t>
      </w:r>
    </w:p>
    <w:p>
      <w:pPr>
        <w:spacing w:after="150"/>
      </w:pPr>
      <w:r>
        <w:rPr>
          <w:b/>
          <w:bCs/>
        </w:rPr>
        <w:t xml:space="preserve">Result: </w:t>
      </w:r>
      <w:r>
        <w:rPr>
          <w:b/>
          <w:bCs/>
          <w:color w:val="C62828"/>
        </w:rPr>
        <w:t xml:space="preserve">GAP</w:t>
      </w:r>
      <w:r>
        <w:rPr>
          <w:b/>
          <w:bCs/>
        </w:rPr>
        <w:t xml:space="preserve">  —  Score: </w:t>
      </w:r>
      <w:r>
        <w:rPr>
          <w:b/>
          <w:bCs/>
          <w:color w:val="C62828"/>
        </w:rPr>
        <w:t xml:space="preserve">75%</w:t>
      </w:r>
    </w:p>
    <w:p>
      <w:pPr>
        <w:spacing w:after="200"/>
      </w:pPr>
      <w:r>
        <w:t xml:space="preserve">Of four reference phrasing patterns checked (opening formula, denial structure, exhibit-annexure phrasing, closing/dismissal language), three were reproduced correctly. The draft consistently opens paragraphs with “I say that…” as the reference does, and reproduces “hereto annexed and marked as EXHIBIT-'A'” near-verbatim in Paragraph 6.</w:t>
      </w:r>
    </w:p>
    <w:p>
      <w:pPr>
        <w:spacing w:after="200"/>
      </w:pPr>
      <w:r>
        <w:t xml:space="preserve">The gap: the reference affidavit's strongest paragraph closes with “misconceived, devoid of merits and is liable to be dismissed in limine.” The generated Paragraph 3 includes “misconceived and devoid of merits” but omits “liable to be dismissed in limine” entirely, since that phrase was not present in Point 3's source bullets and the model was instructed not to add facts or relief beyond what was supplied.</w:t>
      </w:r>
    </w:p>
    <w:p>
      <w:pPr>
        <w:pStyle w:val="Heading1"/>
        <w:spacing w:after="200" w:before="400"/>
      </w:pPr>
      <w:r>
        <w:t xml:space="preserve">6. Hallucinations</w:t>
      </w:r>
    </w:p>
    <w:p>
      <w:pPr>
        <w:spacing w:after="200"/>
        <w:ind w:left="200"/>
      </w:pPr>
      <w:r>
        <w:rPr>
          <w:i/>
          <w:iCs/>
          <w:color w:val="555555"/>
          <w:sz w:val="20"/>
          <w:szCs w:val="20"/>
        </w:rPr>
        <w:t xml:space="preserve">Checks whether any names, dates, facts, or relief were invented that weren't in the source facts.</w:t>
      </w:r>
    </w:p>
    <w:p>
      <w:pPr>
        <w:spacing w:after="150"/>
      </w:pPr>
      <w:r>
        <w:rPr>
          <w:b/>
          <w:bCs/>
        </w:rPr>
        <w:t xml:space="preserve">Result: </w:t>
      </w:r>
      <w:r>
        <w:rPr>
          <w:b/>
          <w:bCs/>
          <w:color w:val="2E7D32"/>
        </w:rPr>
        <w:t xml:space="preserve">PASS</w:t>
      </w:r>
      <w:r>
        <w:rPr>
          <w:b/>
          <w:bCs/>
        </w:rPr>
        <w:t xml:space="preserve">  —  Score: </w:t>
      </w:r>
      <w:r>
        <w:rPr>
          <w:b/>
          <w:bCs/>
          <w:color w:val="2E7D32"/>
        </w:rPr>
        <w:t xml:space="preserve">100% (none found)</w:t>
      </w:r>
    </w:p>
    <w:p>
      <w:pPr>
        <w:spacing w:after="200"/>
      </w:pPr>
      <w:r>
        <w:t xml:space="preserve">No names, dates, or relief were invented anywhere in the document. The only addition beyond the literal source bullets is a standard catch-all relief clause (“and such other reliefs as this Hon'ble Court may deem fit and proper”), which was explicitly permitted by the drafting prompt and is therefore not counted as a hallucination.</w:t>
      </w:r>
    </w:p>
    <w:p>
      <w:pPr>
        <w:pStyle w:val="Heading1"/>
        <w:spacing w:after="200" w:before="400"/>
      </w:pPr>
      <w:r>
        <w:t xml:space="preserve">Issues Identified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500"/>
      </w:tblGrid>
      <w:tr>
        <w:trPr>
          <w:tblHeader/>
        </w:trPr>
        <w:tc>
          <w:tcPr>
            <w:tcW w:type="dxa" w:w="1300"/>
            <w:shd w:fill="1F2933" w:color="auto" w:val="clear"/>
            <w:tcMar>
              <w:top w:type="dxa" w:w="100"/>
              <w:left w:type="dxa" w:w="150"/>
              <w:bottom w:type="dxa" w:w="100"/>
              <w:right w:type="dxa" w:w="150"/>
            </w:tcMar>
            <w:vAlign w:val="center"/>
          </w:tcPr>
          <w:p>
            <w:pPr>
              <w:jc w:val="left"/>
            </w:pPr>
            <w:r>
              <w:rPr>
                <w:b/>
                <w:bCs/>
                <w:i w:val="false"/>
                <w:iCs w:val="false"/>
                <w:color w:val="FFFFFF"/>
              </w:rPr>
              <w:t xml:space="preserve">Dimension</w:t>
            </w:r>
          </w:p>
        </w:tc>
        <w:tc>
          <w:tcPr>
            <w:tcW w:type="dxa" w:w="5200"/>
            <w:shd w:fill="1F2933" w:color="auto" w:val="clear"/>
            <w:tcMar>
              <w:top w:type="dxa" w:w="100"/>
              <w:left w:type="dxa" w:w="150"/>
              <w:bottom w:type="dxa" w:w="100"/>
              <w:right w:type="dxa" w:w="150"/>
            </w:tcMar>
            <w:vAlign w:val="center"/>
          </w:tcPr>
          <w:p>
            <w:pPr>
              <w:jc w:val="left"/>
            </w:pPr>
            <w:r>
              <w:rPr>
                <w:b/>
                <w:bCs/>
                <w:i w:val="false"/>
                <w:iCs w:val="false"/>
                <w:color w:val="FFFFFF"/>
              </w:rPr>
              <w:t xml:space="preserve">Issue Description</w:t>
            </w:r>
          </w:p>
        </w:tc>
        <w:tc>
          <w:tcPr>
            <w:tcW w:type="dxa" w:w="2500"/>
            <w:shd w:fill="1F2933" w:color="auto" w:val="clear"/>
            <w:tcMar>
              <w:top w:type="dxa" w:w="100"/>
              <w:left w:type="dxa" w:w="150"/>
              <w:bottom w:type="dxa" w:w="100"/>
              <w:right w:type="dxa" w:w="150"/>
            </w:tcMar>
            <w:vAlign w:val="center"/>
          </w:tcPr>
          <w:p>
            <w:pPr>
              <w:jc w:val="left"/>
            </w:pPr>
            <w:r>
              <w:rPr>
                <w:b/>
                <w:bCs/>
                <w:i w:val="false"/>
                <w:iCs w:val="false"/>
                <w:color w:val="FFFFFF"/>
              </w:rPr>
              <w:t xml:space="preserve">Severity</w:t>
            </w:r>
          </w:p>
        </w:tc>
      </w:tr>
      <w:tr>
        <w:tc>
          <w:tcPr>
            <w:tcW w:type="dxa" w:w="1300"/>
            <w:tcMar>
              <w:top w:type="dxa" w:w="100"/>
              <w:left w:type="dxa" w:w="150"/>
              <w:bottom w:type="dxa" w:w="100"/>
              <w:right w:type="dxa" w:w="150"/>
            </w:tcMar>
            <w:vAlign w:val="center"/>
          </w:tcPr>
          <w:p>
            <w:pPr>
              <w:jc w:val="left"/>
            </w:pPr>
            <w:r>
              <w:rPr>
                <w:b/>
                <w:bCs/>
                <w:i w:val="false"/>
                <w:iCs w:val="false"/>
              </w:rPr>
              <w:t xml:space="preserve">Template Fidelity</w:t>
            </w:r>
          </w:p>
        </w:tc>
        <w:tc>
          <w:tcPr>
            <w:tcW w:type="dxa" w:w="5200"/>
            <w:tcMar>
              <w:top w:type="dxa" w:w="100"/>
              <w:left w:type="dxa" w:w="150"/>
              <w:bottom w:type="dxa" w:w="100"/>
              <w:right w:type="dxa" w:w="150"/>
            </w:tcMar>
            <w:vAlign w:val="center"/>
          </w:tcPr>
          <w:p>
            <w:pPr>
              <w:jc w:val="left"/>
            </w:pPr>
            <w:r>
              <w:rPr>
                <w:b w:val="false"/>
                <w:bCs w:val="false"/>
                <w:i w:val="false"/>
                <w:iCs w:val="false"/>
              </w:rPr>
              <w:t xml:space="preserve">Paragraph 3 omits the reference affidavit's closing phrase “liable to be dismissed in limine,” used at the end of the reference's strongest paragraph. Only 3 of 4 reference phrasing patterns were reproduced (opening formula and exhibit-annexure phrasing matched; this closing formula did not).</w:t>
            </w:r>
          </w:p>
        </w:tc>
        <w:tc>
          <w:tcPr>
            <w:tcW w:type="dxa" w:w="2500"/>
            <w:tcMar>
              <w:top w:type="dxa" w:w="100"/>
              <w:left w:type="dxa" w:w="150"/>
              <w:bottom w:type="dxa" w:w="100"/>
              <w:right w:type="dxa" w:w="150"/>
            </w:tcMar>
            <w:vAlign w:val="center"/>
          </w:tcPr>
          <w:p>
            <w:pPr>
              <w:jc w:val="left"/>
            </w:pPr>
            <w:r>
              <w:rPr>
                <w:b w:val="false"/>
                <w:bCs w:val="false"/>
                <w:i w:val="false"/>
                <w:iCs w:val="false"/>
                <w:color w:val="C62828"/>
              </w:rPr>
              <w:t xml:space="preserve">Minor — stylistic, not factual</w:t>
            </w:r>
          </w:p>
        </w:tc>
      </w:tr>
      <w:tr>
        <w:tc>
          <w:tcPr>
            <w:tcW w:type="dxa" w:w="1300"/>
            <w:tcMar>
              <w:top w:type="dxa" w:w="100"/>
              <w:left w:type="dxa" w:w="150"/>
              <w:bottom w:type="dxa" w:w="100"/>
              <w:right w:type="dxa" w:w="150"/>
            </w:tcMar>
            <w:vAlign w:val="center"/>
          </w:tcPr>
          <w:p>
            <w:pPr>
              <w:jc w:val="left"/>
            </w:pPr>
            <w:r>
              <w:rPr>
                <w:b/>
                <w:bCs/>
                <w:i w:val="false"/>
                <w:iCs w:val="false"/>
              </w:rPr>
              <w:t xml:space="preserve">Completeness / Hallucinations</w:t>
            </w:r>
          </w:p>
        </w:tc>
        <w:tc>
          <w:tcPr>
            <w:tcW w:type="dxa" w:w="5200"/>
            <w:tcMar>
              <w:top w:type="dxa" w:w="100"/>
              <w:left w:type="dxa" w:w="150"/>
              <w:bottom w:type="dxa" w:w="100"/>
              <w:right w:type="dxa" w:w="150"/>
            </w:tcMar>
            <w:vAlign w:val="center"/>
          </w:tcPr>
          <w:p>
            <w:pPr>
              <w:jc w:val="left"/>
            </w:pPr>
            <w:r>
              <w:rPr>
                <w:b w:val="false"/>
                <w:bCs w:val="false"/>
                <w:i w:val="false"/>
                <w:iCs w:val="false"/>
              </w:rPr>
              <w:t xml:space="preserve">A standard catch-all relief clause (“and such other reliefs as this Hon'ble Court may deem fit and proper”) was added beyond the single prayer bullet supplied. This was explicitly permitted by the drafting prompt, so it is not treated as a fabrication — flagged here for visibility only.</w:t>
            </w:r>
          </w:p>
        </w:tc>
        <w:tc>
          <w:tcPr>
            <w:tcW w:type="dxa" w:w="2500"/>
            <w:tcMar>
              <w:top w:type="dxa" w:w="100"/>
              <w:left w:type="dxa" w:w="150"/>
              <w:bottom w:type="dxa" w:w="100"/>
              <w:right w:type="dxa" w:w="150"/>
            </w:tcMar>
            <w:vAlign w:val="center"/>
          </w:tcPr>
          <w:p>
            <w:pPr>
              <w:jc w:val="left"/>
            </w:pPr>
            <w:r>
              <w:rPr>
                <w:b w:val="false"/>
                <w:bCs w:val="false"/>
                <w:i w:val="false"/>
                <w:iCs w:val="false"/>
                <w:color w:val="B8860B"/>
              </w:rPr>
              <w:t xml:space="preserve">Informational — permitted addition</w:t>
            </w:r>
          </w:p>
        </w:tc>
      </w:tr>
    </w:tbl>
    <w:p>
      <w:pPr>
        <w:spacing w:before="200"/>
      </w:pPr>
    </w:p>
    <w:p>
      <w:pPr>
        <w:spacing w:after="200"/>
        <w:ind w:left="200"/>
      </w:pPr>
      <w:r>
        <w:rPr>
          <w:i/>
          <w:iCs/>
          <w:color w:val="555555"/>
          <w:sz w:val="20"/>
          <w:szCs w:val="20"/>
        </w:rPr>
        <w:t xml:space="preserve">Recommendation: to close the Template Fidelity gap, either add the desired closing phrases directly into the relevant case-info bullets before drafting, or extend the prompt template in draft_engine.py to explicitly request standard closing phrases (e.g. “liable to be dismissed in limine”) where legally appropriate.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2026-09-11T13:32:01.571Z</dcterms:created>
  <dcterms:modified xsi:type="dcterms:W3CDTF">2026-09-11T13:32:01.572Z</dcterms:modified>
</cp:coreProperties>
</file>

<file path=docProps/custom.xml><?xml version="1.0" encoding="utf-8"?>
<Properties xmlns="http://schemas.openxmlformats.org/officeDocument/2006/custom-properties" xmlns:vt="http://schemas.openxmlformats.org/officeDocument/2006/docPropsVTypes"/>
</file>