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3022996"/>
        <w:docPartObj>
          <w:docPartGallery w:val="Cover Pages"/>
          <w:docPartUnique/>
        </w:docPartObj>
      </w:sdtPr>
      <w:sdtEndPr>
        <w:rPr>
          <w:rFonts w:cstheme="minorHAnsi"/>
          <w:b/>
          <w:bCs/>
          <w:noProof/>
          <w:color w:val="474747"/>
        </w:rPr>
      </w:sdtEndPr>
      <w:sdtContent>
        <w:p w14:paraId="2259FF76" w14:textId="0BCA841E" w:rsidR="00B27F29" w:rsidRDefault="00B27F29">
          <w:r>
            <w:rPr>
              <w:noProof/>
            </w:rPr>
            <mc:AlternateContent>
              <mc:Choice Requires="wpg">
                <w:drawing>
                  <wp:anchor distT="0" distB="0" distL="114300" distR="114300" simplePos="0" relativeHeight="251662336" behindDoc="0" locked="0" layoutInCell="1" allowOverlap="1" wp14:anchorId="71AA0843" wp14:editId="664217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EA57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39D1C27C" w14:textId="06A0D466" w:rsidR="00B27F29" w:rsidRDefault="00C747E2">
          <w:pPr>
            <w:rPr>
              <w:rFonts w:cstheme="minorHAnsi"/>
              <w:b/>
              <w:bCs/>
              <w:noProof/>
              <w:color w:val="474747"/>
            </w:rPr>
          </w:pPr>
          <w:r>
            <w:rPr>
              <w:noProof/>
            </w:rPr>
            <mc:AlternateContent>
              <mc:Choice Requires="wps">
                <w:drawing>
                  <wp:anchor distT="0" distB="0" distL="114300" distR="114300" simplePos="0" relativeHeight="251660288" behindDoc="0" locked="0" layoutInCell="1" allowOverlap="1" wp14:anchorId="1BA6D8C8" wp14:editId="71295F1F">
                    <wp:simplePos x="0" y="0"/>
                    <wp:positionH relativeFrom="page">
                      <wp:posOffset>545465</wp:posOffset>
                    </wp:positionH>
                    <wp:positionV relativeFrom="page">
                      <wp:posOffset>4954905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4C447A" w14:textId="1214DD26" w:rsidR="00B27F29" w:rsidRDefault="00B27F29">
                                    <w:pPr>
                                      <w:pStyle w:val="NoSpacing"/>
                                      <w:jc w:val="right"/>
                                      <w:rPr>
                                        <w:color w:val="595959" w:themeColor="text1" w:themeTint="A6"/>
                                        <w:sz w:val="28"/>
                                        <w:szCs w:val="28"/>
                                      </w:rPr>
                                    </w:pPr>
                                    <w:r>
                                      <w:rPr>
                                        <w:color w:val="595959" w:themeColor="text1" w:themeTint="A6"/>
                                        <w:sz w:val="28"/>
                                        <w:szCs w:val="28"/>
                                      </w:rPr>
                                      <w:t>Sourabh Mina</w:t>
                                    </w:r>
                                  </w:p>
                                </w:sdtContent>
                              </w:sdt>
                              <w:p w14:paraId="4BEBB976" w14:textId="65AB1A9E" w:rsidR="00B27F2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747E2">
                                      <w:rPr>
                                        <w:color w:val="595959" w:themeColor="text1" w:themeTint="A6"/>
                                        <w:sz w:val="18"/>
                                        <w:szCs w:val="18"/>
                                      </w:rPr>
                                      <w:t>Sourabh2002wow@gmail.com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A6D8C8" id="_x0000_t202" coordsize="21600,21600" o:spt="202" path="m,l,21600r21600,l21600,xe">
                    <v:stroke joinstyle="miter"/>
                    <v:path gradientshapeok="t" o:connecttype="rect"/>
                  </v:shapetype>
                  <v:shape id="Text Box 152" o:spid="_x0000_s1026" type="#_x0000_t202" style="position:absolute;margin-left:42.95pt;margin-top:390.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4C447A" w14:textId="1214DD26" w:rsidR="00B27F29" w:rsidRDefault="00B27F29">
                              <w:pPr>
                                <w:pStyle w:val="NoSpacing"/>
                                <w:jc w:val="right"/>
                                <w:rPr>
                                  <w:color w:val="595959" w:themeColor="text1" w:themeTint="A6"/>
                                  <w:sz w:val="28"/>
                                  <w:szCs w:val="28"/>
                                </w:rPr>
                              </w:pPr>
                              <w:r>
                                <w:rPr>
                                  <w:color w:val="595959" w:themeColor="text1" w:themeTint="A6"/>
                                  <w:sz w:val="28"/>
                                  <w:szCs w:val="28"/>
                                </w:rPr>
                                <w:t>Sourabh Mina</w:t>
                              </w:r>
                            </w:p>
                          </w:sdtContent>
                        </w:sdt>
                        <w:p w14:paraId="4BEBB976" w14:textId="65AB1A9E" w:rsidR="00B27F2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747E2">
                                <w:rPr>
                                  <w:color w:val="595959" w:themeColor="text1" w:themeTint="A6"/>
                                  <w:sz w:val="18"/>
                                  <w:szCs w:val="18"/>
                                </w:rPr>
                                <w:t>Sourabh2002wow@gmail.com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C104CD2" wp14:editId="39BA0AD8">
                    <wp:simplePos x="0" y="0"/>
                    <wp:positionH relativeFrom="page">
                      <wp:posOffset>254635</wp:posOffset>
                    </wp:positionH>
                    <wp:positionV relativeFrom="page">
                      <wp:posOffset>4112895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774BF" w14:textId="188DECA3" w:rsidR="00B27F29" w:rsidRPr="00C747E2" w:rsidRDefault="00B27F29">
                                <w:pPr>
                                  <w:pStyle w:val="NoSpacing"/>
                                  <w:jc w:val="right"/>
                                  <w:rPr>
                                    <w:color w:val="595959" w:themeColor="text1" w:themeTint="A6"/>
                                    <w:sz w:val="24"/>
                                    <w:szCs w:val="24"/>
                                  </w:rPr>
                                </w:pPr>
                                <w:proofErr w:type="spellStart"/>
                                <w:r w:rsidRPr="00C747E2">
                                  <w:rPr>
                                    <w:color w:val="4472C4" w:themeColor="accent1"/>
                                    <w:sz w:val="36"/>
                                    <w:szCs w:val="36"/>
                                  </w:rPr>
                                  <w:t>Finlatics</w:t>
                                </w:r>
                                <w:proofErr w:type="spellEnd"/>
                                <w:r w:rsidRPr="00C747E2">
                                  <w:rPr>
                                    <w:color w:val="4472C4" w:themeColor="accent1"/>
                                    <w:sz w:val="36"/>
                                    <w:szCs w:val="36"/>
                                  </w:rPr>
                                  <w:t xml:space="preserve"> Detailed Research report</w:t>
                                </w:r>
                                <w:sdt>
                                  <w:sdtPr>
                                    <w:rPr>
                                      <w:color w:val="595959" w:themeColor="text1" w:themeTint="A6"/>
                                      <w:sz w:val="24"/>
                                      <w:szCs w:val="24"/>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Pr="00C747E2">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104CD2" id="Text Box 153" o:spid="_x0000_s1027" type="#_x0000_t202" style="position:absolute;margin-left:20.05pt;margin-top:323.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" filled="f" stroked="f" strokeweight=".5pt">
                    <v:textbox style="mso-fit-shape-to-text:t" inset="126pt,0,54pt,0">
                      <w:txbxContent>
                        <w:p w14:paraId="11B774BF" w14:textId="188DECA3" w:rsidR="00B27F29" w:rsidRPr="00C747E2" w:rsidRDefault="00B27F29">
                          <w:pPr>
                            <w:pStyle w:val="NoSpacing"/>
                            <w:jc w:val="right"/>
                            <w:rPr>
                              <w:color w:val="595959" w:themeColor="text1" w:themeTint="A6"/>
                              <w:sz w:val="24"/>
                              <w:szCs w:val="24"/>
                            </w:rPr>
                          </w:pPr>
                          <w:proofErr w:type="spellStart"/>
                          <w:r w:rsidRPr="00C747E2">
                            <w:rPr>
                              <w:color w:val="4472C4" w:themeColor="accent1"/>
                              <w:sz w:val="36"/>
                              <w:szCs w:val="36"/>
                            </w:rPr>
                            <w:t>Finlatics</w:t>
                          </w:r>
                          <w:proofErr w:type="spellEnd"/>
                          <w:r w:rsidRPr="00C747E2">
                            <w:rPr>
                              <w:color w:val="4472C4" w:themeColor="accent1"/>
                              <w:sz w:val="36"/>
                              <w:szCs w:val="36"/>
                            </w:rPr>
                            <w:t xml:space="preserve"> Detailed Research report</w:t>
                          </w:r>
                          <w:sdt>
                            <w:sdtPr>
                              <w:rPr>
                                <w:color w:val="595959" w:themeColor="text1" w:themeTint="A6"/>
                                <w:sz w:val="24"/>
                                <w:szCs w:val="24"/>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Pr="00C747E2">
                                <w:rPr>
                                  <w:color w:val="595959" w:themeColor="text1" w:themeTint="A6"/>
                                  <w:sz w:val="24"/>
                                  <w:szCs w:val="24"/>
                                </w:rPr>
                                <w:t xml:space="preserve">     </w:t>
                              </w:r>
                            </w:sdtContent>
                          </w:sdt>
                        </w:p>
                      </w:txbxContent>
                    </v:textbox>
                    <w10:wrap type="square" anchorx="page" anchory="page"/>
                  </v:shape>
                </w:pict>
              </mc:Fallback>
            </mc:AlternateContent>
          </w:r>
          <w:r w:rsidR="00B27F29">
            <w:rPr>
              <w:noProof/>
            </w:rPr>
            <mc:AlternateContent>
              <mc:Choice Requires="wps">
                <w:drawing>
                  <wp:anchor distT="0" distB="0" distL="114300" distR="114300" simplePos="0" relativeHeight="251659264" behindDoc="0" locked="0" layoutInCell="1" allowOverlap="1" wp14:anchorId="174A0B1B" wp14:editId="5D5B843D">
                    <wp:simplePos x="0" y="0"/>
                    <wp:positionH relativeFrom="page">
                      <wp:posOffset>234950</wp:posOffset>
                    </wp:positionH>
                    <wp:positionV relativeFrom="page">
                      <wp:posOffset>1891030</wp:posOffset>
                    </wp:positionV>
                    <wp:extent cx="7315200" cy="13601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360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73BCB" w14:textId="17BB80A7" w:rsidR="00B27F29" w:rsidRPr="00C747E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7F29" w:rsidRPr="00C747E2">
                                      <w:rPr>
                                        <w:caps/>
                                        <w:color w:val="4472C4" w:themeColor="accent1"/>
                                        <w:sz w:val="72"/>
                                        <w:szCs w:val="72"/>
                                      </w:rPr>
                                      <w:t>Research Insights</w:t>
                                    </w:r>
                                  </w:sdtContent>
                                </w:sdt>
                              </w:p>
                              <w:sdt>
                                <w:sdtPr>
                                  <w:rPr>
                                    <w:rFonts w:ascii="Roboto" w:eastAsia="Times New Roman" w:hAnsi="Roboto" w:cs="Times New Roman"/>
                                    <w:color w:val="373535"/>
                                    <w:sz w:val="24"/>
                                    <w:szCs w:val="24"/>
                                    <w:lang w:eastAsia="en-IN" w:bidi="hi-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1DC717" w14:textId="1C0780D4" w:rsidR="00B27F29" w:rsidRDefault="00480E19">
                                    <w:pPr>
                                      <w:jc w:val="right"/>
                                      <w:rPr>
                                        <w:smallCaps/>
                                        <w:color w:val="404040" w:themeColor="text1" w:themeTint="BF"/>
                                        <w:sz w:val="36"/>
                                        <w:szCs w:val="36"/>
                                      </w:rPr>
                                    </w:pPr>
                                    <w:r>
                                      <w:rPr>
                                        <w:rFonts w:ascii="Roboto" w:eastAsia="Times New Roman" w:hAnsi="Roboto" w:cs="Times New Roman"/>
                                        <w:color w:val="373535"/>
                                        <w:sz w:val="24"/>
                                        <w:szCs w:val="24"/>
                                        <w:lang w:eastAsia="en-IN" w:bidi="hi-IN"/>
                                      </w:rPr>
                                      <w:t>TCS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74A0B1B" id="Text Box 154" o:spid="_x0000_s1028" type="#_x0000_t202" style="position:absolute;margin-left:18.5pt;margin-top:148.9pt;width:8in;height:107.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" filled="f" stroked="f" strokeweight=".5pt">
                    <v:textbox inset="126pt,0,54pt,0">
                      <w:txbxContent>
                        <w:p w14:paraId="7FD73BCB" w14:textId="17BB80A7" w:rsidR="00B27F29" w:rsidRPr="00C747E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7F29" w:rsidRPr="00C747E2">
                                <w:rPr>
                                  <w:caps/>
                                  <w:color w:val="4472C4" w:themeColor="accent1"/>
                                  <w:sz w:val="72"/>
                                  <w:szCs w:val="72"/>
                                </w:rPr>
                                <w:t>Research Insights</w:t>
                              </w:r>
                            </w:sdtContent>
                          </w:sdt>
                        </w:p>
                        <w:sdt>
                          <w:sdtPr>
                            <w:rPr>
                              <w:rFonts w:ascii="Roboto" w:eastAsia="Times New Roman" w:hAnsi="Roboto" w:cs="Times New Roman"/>
                              <w:color w:val="373535"/>
                              <w:sz w:val="24"/>
                              <w:szCs w:val="24"/>
                              <w:lang w:eastAsia="en-IN" w:bidi="hi-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1DC717" w14:textId="1C0780D4" w:rsidR="00B27F29" w:rsidRDefault="00480E19">
                              <w:pPr>
                                <w:jc w:val="right"/>
                                <w:rPr>
                                  <w:smallCaps/>
                                  <w:color w:val="404040" w:themeColor="text1" w:themeTint="BF"/>
                                  <w:sz w:val="36"/>
                                  <w:szCs w:val="36"/>
                                </w:rPr>
                              </w:pPr>
                              <w:r>
                                <w:rPr>
                                  <w:rFonts w:ascii="Roboto" w:eastAsia="Times New Roman" w:hAnsi="Roboto" w:cs="Times New Roman"/>
                                  <w:color w:val="373535"/>
                                  <w:sz w:val="24"/>
                                  <w:szCs w:val="24"/>
                                  <w:lang w:eastAsia="en-IN" w:bidi="hi-IN"/>
                                </w:rPr>
                                <w:t>TCS</w:t>
                              </w:r>
                            </w:p>
                          </w:sdtContent>
                        </w:sdt>
                      </w:txbxContent>
                    </v:textbox>
                    <w10:wrap type="square" anchorx="page" anchory="page"/>
                  </v:shape>
                </w:pict>
              </mc:Fallback>
            </mc:AlternateContent>
          </w:r>
          <w:r w:rsidR="00B27F29">
            <w:rPr>
              <w:rFonts w:cstheme="minorHAnsi"/>
              <w:b/>
              <w:bCs/>
              <w:noProof/>
              <w:color w:val="474747"/>
            </w:rPr>
            <w:br w:type="page"/>
          </w:r>
        </w:p>
      </w:sdtContent>
    </w:sdt>
    <w:p w14:paraId="1C17B779" w14:textId="67A1BBE8" w:rsidR="00623915" w:rsidRPr="004E4AB3" w:rsidRDefault="00623915">
      <w:pPr>
        <w:rPr>
          <w:rStyle w:val="t"/>
          <w:b/>
          <w:bCs/>
          <w:color w:val="FF0000"/>
          <w:sz w:val="32"/>
          <w:szCs w:val="32"/>
          <w:u w:val="single"/>
          <w:bdr w:val="none" w:sz="0" w:space="0" w:color="auto" w:frame="1"/>
          <w:shd w:val="clear" w:color="auto" w:fill="FFFFFF"/>
        </w:rPr>
      </w:pPr>
      <w:r w:rsidRPr="004E4AB3">
        <w:rPr>
          <w:rStyle w:val="t"/>
          <w:b/>
          <w:bCs/>
          <w:color w:val="FF0000"/>
          <w:spacing w:val="-2"/>
          <w:sz w:val="32"/>
          <w:szCs w:val="32"/>
          <w:u w:val="single"/>
          <w:bdr w:val="none" w:sz="0" w:space="0" w:color="auto" w:frame="1"/>
          <w:shd w:val="clear" w:color="auto" w:fill="FFFFFF"/>
        </w:rPr>
        <w:lastRenderedPageBreak/>
        <w:t>GENERAL OVERVIEW</w:t>
      </w:r>
      <w:r w:rsidRPr="004E4AB3">
        <w:rPr>
          <w:rStyle w:val="t"/>
          <w:b/>
          <w:bCs/>
          <w:color w:val="FF0000"/>
          <w:sz w:val="32"/>
          <w:szCs w:val="32"/>
          <w:u w:val="single"/>
          <w:bdr w:val="none" w:sz="0" w:space="0" w:color="auto" w:frame="1"/>
          <w:shd w:val="clear" w:color="auto" w:fill="FFFFFF"/>
        </w:rPr>
        <w:t xml:space="preserve">: </w:t>
      </w:r>
    </w:p>
    <w:p w14:paraId="5AC965E8" w14:textId="0E9517CF" w:rsidR="00623915" w:rsidRDefault="00623915">
      <w:pPr>
        <w:rPr>
          <w:rStyle w:val="t"/>
          <w:rFonts w:ascii="Calibri_r_2" w:hAnsi="Calibri_r_2"/>
          <w:color w:val="FFFFFF"/>
          <w:sz w:val="24"/>
          <w:szCs w:val="24"/>
          <w:bdr w:val="none" w:sz="0" w:space="0" w:color="auto" w:frame="1"/>
          <w:shd w:val="clear" w:color="auto" w:fill="FFFFFF"/>
        </w:rPr>
      </w:pPr>
      <w:r w:rsidRPr="00623915">
        <w:rPr>
          <w:rStyle w:val="t"/>
          <w:rFonts w:ascii="Calibri-Bold_t_2" w:hAnsi="Calibri-Bold_t_2"/>
          <w:color w:val="FFFFFF"/>
          <w:spacing w:val="-2"/>
          <w:sz w:val="24"/>
          <w:szCs w:val="24"/>
          <w:bdr w:val="none" w:sz="0" w:space="0" w:color="auto" w:frame="1"/>
          <w:shd w:val="clear" w:color="auto" w:fill="FFFFFF"/>
        </w:rPr>
        <w:t xml:space="preserve">20,000.00 40,000.00 60,000.00 80,000.00 100,000.00 120,000.00 140,000.00 </w:t>
      </w:r>
      <w:r w:rsidRPr="00623915">
        <w:rPr>
          <w:rStyle w:val="t"/>
          <w:rFonts w:ascii="Calibri_r_2" w:hAnsi="Calibri_r_2"/>
          <w:color w:val="FFFFFF"/>
          <w:sz w:val="24"/>
          <w:szCs w:val="24"/>
          <w:bdr w:val="none" w:sz="0" w:space="0" w:color="auto" w:frame="1"/>
          <w:shd w:val="clear" w:color="auto" w:fill="FFFFFF"/>
        </w:rPr>
        <w:t xml:space="preserve">2020 2019 </w:t>
      </w:r>
      <w:r w:rsidRPr="004E4AB3">
        <w:rPr>
          <w:rStyle w:val="t"/>
          <w:b/>
          <w:bCs/>
          <w:color w:val="FF0000"/>
          <w:spacing w:val="-2"/>
          <w:sz w:val="32"/>
          <w:szCs w:val="32"/>
          <w:u w:val="single"/>
          <w:bdr w:val="none" w:sz="0" w:space="0" w:color="auto" w:frame="1"/>
          <w:shd w:val="clear" w:color="auto" w:fill="FFFFFF"/>
        </w:rPr>
        <w:t>SHAREHOLDING PATTERN OF TATA CONSULTANCY SERVICES LIMITED</w:t>
      </w:r>
      <w:r w:rsidRPr="0049020A">
        <w:rPr>
          <w:rStyle w:val="t"/>
          <w:rFonts w:ascii="Calibri_r_2" w:hAnsi="Calibri_r_2"/>
          <w:color w:val="FF0000"/>
          <w:sz w:val="28"/>
          <w:szCs w:val="32"/>
          <w:bdr w:val="none" w:sz="0" w:space="0" w:color="auto" w:frame="1"/>
          <w:shd w:val="clear" w:color="auto" w:fill="FFFFFF"/>
        </w:rPr>
        <w:t xml:space="preserve"> </w:t>
      </w:r>
      <w:r w:rsidRPr="00623915">
        <w:rPr>
          <w:rStyle w:val="t"/>
          <w:rFonts w:ascii="Calibri_r_2" w:hAnsi="Calibri_r_2"/>
          <w:color w:val="FFFFFF"/>
          <w:sz w:val="24"/>
          <w:szCs w:val="24"/>
          <w:bdr w:val="none" w:sz="0" w:space="0" w:color="auto" w:frame="1"/>
          <w:shd w:val="clear" w:color="auto" w:fill="FFFFFF"/>
        </w:rPr>
        <w:t>2018 2017</w:t>
      </w:r>
      <w:r w:rsidRPr="00623915">
        <w:rPr>
          <w:rStyle w:val="t"/>
          <w:rFonts w:ascii="Calibri_r_2" w:hAnsi="Calibri_r_2"/>
          <w:color w:val="FFFFFF"/>
          <w:spacing w:val="2"/>
          <w:sz w:val="24"/>
          <w:szCs w:val="24"/>
          <w:bdr w:val="none" w:sz="0" w:space="0" w:color="auto" w:frame="1"/>
          <w:shd w:val="clear" w:color="auto" w:fill="FFFFFF"/>
        </w:rPr>
        <w:t xml:space="preserve">-Institutions </w:t>
      </w:r>
      <w:r w:rsidRPr="00623915">
        <w:rPr>
          <w:rStyle w:val="t"/>
          <w:rFonts w:ascii="Calibri_r_2" w:hAnsi="Calibri_r_2"/>
          <w:color w:val="FFFFFF"/>
          <w:sz w:val="24"/>
          <w:szCs w:val="24"/>
          <w:bdr w:val="none" w:sz="0" w:space="0" w:color="auto" w:frame="1"/>
          <w:shd w:val="clear" w:color="auto" w:fill="FFFFFF"/>
        </w:rPr>
        <w:t xml:space="preserve">Mutual Funds/UTI Govt. FII </w:t>
      </w:r>
    </w:p>
    <w:p w14:paraId="566DCF15" w14:textId="42D75AF6" w:rsidR="00623915" w:rsidRPr="00A91BFA" w:rsidRDefault="00623915">
      <w:pPr>
        <w:rPr>
          <w:rStyle w:val="t"/>
          <w:b/>
          <w:bCs/>
          <w:color w:val="00B050"/>
          <w:spacing w:val="-2"/>
          <w:sz w:val="24"/>
          <w:szCs w:val="24"/>
          <w:bdr w:val="none" w:sz="0" w:space="0" w:color="auto" w:frame="1"/>
          <w:shd w:val="clear" w:color="auto" w:fill="FFFFFF"/>
        </w:rPr>
      </w:pPr>
      <w:r w:rsidRPr="00A91BFA">
        <w:rPr>
          <w:rStyle w:val="t"/>
          <w:b/>
          <w:bCs/>
          <w:color w:val="00B050"/>
          <w:spacing w:val="-2"/>
          <w:sz w:val="24"/>
          <w:szCs w:val="24"/>
          <w:u w:val="single"/>
          <w:bdr w:val="none" w:sz="0" w:space="0" w:color="auto" w:frame="1"/>
          <w:shd w:val="clear" w:color="auto" w:fill="FFFFFF"/>
        </w:rPr>
        <w:t xml:space="preserve">Description </w:t>
      </w:r>
      <w:r w:rsidRPr="00A91BFA">
        <w:rPr>
          <w:rStyle w:val="t"/>
          <w:b/>
          <w:bCs/>
          <w:color w:val="00B050"/>
          <w:sz w:val="24"/>
          <w:szCs w:val="24"/>
          <w:u w:val="single"/>
          <w:bdr w:val="none" w:sz="0" w:space="0" w:color="auto" w:frame="1"/>
          <w:shd w:val="clear" w:color="auto" w:fill="FFFFFF"/>
        </w:rPr>
        <w:t xml:space="preserve">Percent of </w:t>
      </w:r>
      <w:r w:rsidRPr="00A91BFA">
        <w:rPr>
          <w:rStyle w:val="t"/>
          <w:b/>
          <w:bCs/>
          <w:color w:val="00B050"/>
          <w:spacing w:val="-2"/>
          <w:sz w:val="24"/>
          <w:szCs w:val="24"/>
          <w:u w:val="single"/>
          <w:bdr w:val="none" w:sz="0" w:space="0" w:color="auto" w:frame="1"/>
          <w:shd w:val="clear" w:color="auto" w:fill="FFFFFF"/>
        </w:rPr>
        <w:t>Share</w:t>
      </w:r>
      <w:r w:rsidRPr="00A91BFA">
        <w:rPr>
          <w:rStyle w:val="t"/>
          <w:b/>
          <w:bCs/>
          <w:color w:val="00B050"/>
          <w:spacing w:val="-2"/>
          <w:sz w:val="24"/>
          <w:szCs w:val="24"/>
          <w:bdr w:val="none" w:sz="0" w:space="0" w:color="auto" w:frame="1"/>
          <w:shd w:val="clear" w:color="auto" w:fill="FFFFFF"/>
        </w:rPr>
        <w:t xml:space="preserve"> (%)</w:t>
      </w:r>
    </w:p>
    <w:p w14:paraId="1985C706" w14:textId="4C7E9F89" w:rsidR="00623915" w:rsidRDefault="00623915">
      <w:pPr>
        <w:rPr>
          <w:rStyle w:val="t"/>
          <w:color w:val="C00000"/>
          <w:spacing w:val="-2"/>
          <w:sz w:val="24"/>
          <w:szCs w:val="24"/>
          <w:bdr w:val="none" w:sz="0" w:space="0" w:color="auto" w:frame="1"/>
          <w:shd w:val="clear" w:color="auto" w:fill="FFFFFF"/>
        </w:rPr>
      </w:pPr>
      <w:r w:rsidRPr="00623915">
        <w:rPr>
          <w:rStyle w:val="t"/>
          <w:color w:val="C00000"/>
          <w:spacing w:val="-2"/>
          <w:sz w:val="24"/>
          <w:szCs w:val="24"/>
          <w:bdr w:val="none" w:sz="0" w:space="0" w:color="auto" w:frame="1"/>
          <w:shd w:val="clear" w:color="auto" w:fill="FFFFFF"/>
        </w:rPr>
        <w:t xml:space="preserve"> </w:t>
      </w:r>
      <w:r>
        <w:rPr>
          <w:noProof/>
          <w:color w:val="000000"/>
          <w:spacing w:val="-2"/>
          <w:sz w:val="24"/>
          <w:szCs w:val="24"/>
          <w:bdr w:val="none" w:sz="0" w:space="0" w:color="auto" w:frame="1"/>
          <w:shd w:val="clear" w:color="auto" w:fill="FFFFFF"/>
        </w:rPr>
        <w:drawing>
          <wp:inline distT="0" distB="0" distL="0" distR="0" wp14:anchorId="0D4F2C5C" wp14:editId="29ADB9C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354EBD" w14:textId="75F38374" w:rsidR="007A6953" w:rsidRDefault="00A91BFA" w:rsidP="00A91BFA">
      <w:pPr>
        <w:rPr>
          <w:rStyle w:val="t"/>
          <w:color w:val="000000"/>
          <w:spacing w:val="-2"/>
          <w:sz w:val="24"/>
          <w:szCs w:val="24"/>
          <w:bdr w:val="none" w:sz="0" w:space="0" w:color="auto" w:frame="1"/>
          <w:shd w:val="clear" w:color="auto" w:fill="FFFFFF"/>
        </w:rPr>
      </w:pPr>
      <w:r w:rsidRPr="00623915">
        <w:rPr>
          <w:rStyle w:val="t"/>
          <w:color w:val="000000"/>
          <w:spacing w:val="-2"/>
          <w:sz w:val="24"/>
          <w:szCs w:val="24"/>
          <w:bdr w:val="none" w:sz="0" w:space="0" w:color="auto" w:frame="1"/>
          <w:shd w:val="clear" w:color="auto" w:fill="FFFFFF"/>
        </w:rPr>
        <w:t xml:space="preserve">Promoters (India): </w:t>
      </w:r>
      <w:r w:rsidRPr="00623915">
        <w:rPr>
          <w:rStyle w:val="t"/>
          <w:color w:val="000000"/>
          <w:sz w:val="24"/>
          <w:szCs w:val="24"/>
          <w:bdr w:val="none" w:sz="0" w:space="0" w:color="auto" w:frame="1"/>
          <w:shd w:val="clear" w:color="auto" w:fill="FFFFFF"/>
        </w:rPr>
        <w:t>72.05</w:t>
      </w:r>
      <w:r w:rsidR="007A6953">
        <w:rPr>
          <w:rStyle w:val="t"/>
          <w:color w:val="000000"/>
          <w:sz w:val="24"/>
          <w:szCs w:val="24"/>
          <w:bdr w:val="none" w:sz="0" w:space="0" w:color="auto" w:frame="1"/>
          <w:shd w:val="clear" w:color="auto" w:fill="FFFFFF"/>
        </w:rPr>
        <w:tab/>
      </w:r>
      <w:r w:rsidRPr="00623915">
        <w:rPr>
          <w:rStyle w:val="t"/>
          <w:color w:val="000000"/>
          <w:spacing w:val="-2"/>
          <w:sz w:val="24"/>
          <w:szCs w:val="24"/>
          <w:bdr w:val="none" w:sz="0" w:space="0" w:color="auto" w:frame="1"/>
          <w:shd w:val="clear" w:color="auto" w:fill="FFFFFF"/>
        </w:rPr>
        <w:t>FI/Banks/Insurance: 4.97</w:t>
      </w:r>
      <w:r w:rsidR="007A6953">
        <w:rPr>
          <w:rStyle w:val="t"/>
          <w:color w:val="000000"/>
          <w:spacing w:val="-2"/>
          <w:sz w:val="24"/>
          <w:szCs w:val="24"/>
          <w:bdr w:val="none" w:sz="0" w:space="0" w:color="auto" w:frame="1"/>
          <w:shd w:val="clear" w:color="auto" w:fill="FFFFFF"/>
        </w:rPr>
        <w:tab/>
      </w:r>
      <w:r w:rsidRPr="00623915">
        <w:rPr>
          <w:rStyle w:val="t"/>
          <w:color w:val="000000"/>
          <w:spacing w:val="-2"/>
          <w:sz w:val="24"/>
          <w:szCs w:val="24"/>
          <w:bdr w:val="none" w:sz="0" w:space="0" w:color="auto" w:frame="1"/>
          <w:shd w:val="clear" w:color="auto" w:fill="FFFFFF"/>
        </w:rPr>
        <w:t xml:space="preserve"> Non-Institutions: 4.03 </w:t>
      </w:r>
    </w:p>
    <w:p w14:paraId="6AF75CED" w14:textId="759715FA" w:rsidR="0049020A" w:rsidRDefault="00A91BFA">
      <w:pPr>
        <w:rPr>
          <w:rStyle w:val="t"/>
          <w:color w:val="000000"/>
          <w:spacing w:val="3"/>
          <w:sz w:val="24"/>
          <w:szCs w:val="24"/>
          <w:bdr w:val="none" w:sz="0" w:space="0" w:color="auto" w:frame="1"/>
          <w:shd w:val="clear" w:color="auto" w:fill="FFFFFF"/>
        </w:rPr>
      </w:pPr>
      <w:r w:rsidRPr="00623915">
        <w:rPr>
          <w:rStyle w:val="t"/>
          <w:color w:val="000000"/>
          <w:spacing w:val="-2"/>
          <w:sz w:val="24"/>
          <w:szCs w:val="24"/>
          <w:bdr w:val="none" w:sz="0" w:space="0" w:color="auto" w:frame="1"/>
          <w:shd w:val="clear" w:color="auto" w:fill="FFFFFF"/>
        </w:rPr>
        <w:t xml:space="preserve"> Mutual Funds/UTI: 2.84</w:t>
      </w:r>
      <w:proofErr w:type="gramStart"/>
      <w:r w:rsidR="007A6953">
        <w:rPr>
          <w:rStyle w:val="t"/>
          <w:color w:val="000000"/>
          <w:spacing w:val="-2"/>
          <w:sz w:val="24"/>
          <w:szCs w:val="24"/>
          <w:bdr w:val="none" w:sz="0" w:space="0" w:color="auto" w:frame="1"/>
          <w:shd w:val="clear" w:color="auto" w:fill="FFFFFF"/>
        </w:rPr>
        <w:tab/>
      </w:r>
      <w:r w:rsidRPr="00623915">
        <w:rPr>
          <w:rStyle w:val="t"/>
          <w:color w:val="000000"/>
          <w:spacing w:val="-2"/>
          <w:sz w:val="24"/>
          <w:szCs w:val="24"/>
          <w:bdr w:val="none" w:sz="0" w:space="0" w:color="auto" w:frame="1"/>
          <w:shd w:val="clear" w:color="auto" w:fill="FFFFFF"/>
        </w:rPr>
        <w:t xml:space="preserve">  Govt.</w:t>
      </w:r>
      <w:proofErr w:type="gramEnd"/>
      <w:r w:rsidRPr="00623915">
        <w:rPr>
          <w:rStyle w:val="t"/>
          <w:color w:val="000000"/>
          <w:spacing w:val="-2"/>
          <w:sz w:val="24"/>
          <w:szCs w:val="24"/>
          <w:bdr w:val="none" w:sz="0" w:space="0" w:color="auto" w:frame="1"/>
          <w:shd w:val="clear" w:color="auto" w:fill="FFFFFF"/>
        </w:rPr>
        <w:t>: 0.07</w:t>
      </w:r>
      <w:r w:rsidR="00623915">
        <w:rPr>
          <w:rStyle w:val="t"/>
          <w:color w:val="000000"/>
          <w:spacing w:val="3"/>
          <w:sz w:val="24"/>
          <w:szCs w:val="24"/>
          <w:bdr w:val="none" w:sz="0" w:space="0" w:color="auto" w:frame="1"/>
          <w:shd w:val="clear" w:color="auto" w:fill="FFFFFF"/>
        </w:rPr>
        <w:t xml:space="preserve"> </w:t>
      </w:r>
    </w:p>
    <w:p w14:paraId="0A7FAEFF" w14:textId="5025E914" w:rsidR="004354D2" w:rsidRPr="004354D2" w:rsidRDefault="00623915" w:rsidP="004354D2">
      <w:pPr>
        <w:pStyle w:val="Heading4"/>
        <w:shd w:val="clear" w:color="auto" w:fill="FFFFFF"/>
        <w:spacing w:before="0"/>
        <w:jc w:val="center"/>
        <w:rPr>
          <w:rFonts w:ascii="Roboto" w:hAnsi="Roboto"/>
          <w:i w:val="0"/>
          <w:iCs w:val="0"/>
          <w:color w:val="373535"/>
        </w:rPr>
      </w:pPr>
      <w:r w:rsidRPr="004354D2">
        <w:rPr>
          <w:rStyle w:val="t"/>
          <w:i w:val="0"/>
          <w:iCs w:val="0"/>
          <w:color w:val="000000"/>
          <w:spacing w:val="-2"/>
          <w:sz w:val="24"/>
          <w:szCs w:val="24"/>
          <w:bdr w:val="none" w:sz="0" w:space="0" w:color="auto" w:frame="1"/>
          <w:shd w:val="clear" w:color="auto" w:fill="FFFFFF"/>
        </w:rPr>
        <w:t xml:space="preserve">On the basis of the above information, it is very clear that </w:t>
      </w:r>
      <w:r w:rsidR="00480E19">
        <w:rPr>
          <w:rFonts w:ascii="Roboto" w:hAnsi="Roboto"/>
          <w:b/>
          <w:bCs/>
          <w:i w:val="0"/>
          <w:iCs w:val="0"/>
          <w:color w:val="373535"/>
        </w:rPr>
        <w:t>TCS</w:t>
      </w:r>
    </w:p>
    <w:p w14:paraId="41C8E0BE" w14:textId="7A4A5EC1" w:rsidR="00623915" w:rsidRDefault="00623915">
      <w:pPr>
        <w:rPr>
          <w:rStyle w:val="t"/>
          <w:color w:val="000000"/>
          <w:spacing w:val="-2"/>
          <w:sz w:val="24"/>
          <w:szCs w:val="24"/>
          <w:bdr w:val="none" w:sz="0" w:space="0" w:color="auto" w:frame="1"/>
          <w:shd w:val="clear" w:color="auto" w:fill="FFFFFF"/>
        </w:rPr>
      </w:pPr>
      <w:r w:rsidRPr="00623915">
        <w:rPr>
          <w:rStyle w:val="t"/>
          <w:color w:val="000000"/>
          <w:spacing w:val="-2"/>
          <w:sz w:val="24"/>
          <w:szCs w:val="24"/>
          <w:bdr w:val="none" w:sz="0" w:space="0" w:color="auto" w:frame="1"/>
          <w:shd w:val="clear" w:color="auto" w:fill="FFFFFF"/>
        </w:rPr>
        <w:t xml:space="preserve">is a </w:t>
      </w:r>
      <w:r w:rsidRPr="0049020A">
        <w:rPr>
          <w:rStyle w:val="t"/>
          <w:b/>
          <w:bCs/>
          <w:color w:val="000000"/>
          <w:spacing w:val="-2"/>
          <w:sz w:val="24"/>
          <w:szCs w:val="24"/>
          <w:bdr w:val="none" w:sz="0" w:space="0" w:color="auto" w:frame="1"/>
          <w:shd w:val="clear" w:color="auto" w:fill="FFFFFF"/>
        </w:rPr>
        <w:t xml:space="preserve">family operated </w:t>
      </w:r>
      <w:r w:rsidRPr="0049020A">
        <w:rPr>
          <w:rStyle w:val="t"/>
          <w:b/>
          <w:bCs/>
          <w:color w:val="000000"/>
          <w:sz w:val="24"/>
          <w:szCs w:val="24"/>
          <w:bdr w:val="none" w:sz="0" w:space="0" w:color="auto" w:frame="1"/>
          <w:shd w:val="clear" w:color="auto" w:fill="FFFFFF"/>
        </w:rPr>
        <w:t>business</w:t>
      </w:r>
      <w:r w:rsidRPr="00623915">
        <w:rPr>
          <w:rStyle w:val="t"/>
          <w:color w:val="000000"/>
          <w:sz w:val="24"/>
          <w:szCs w:val="24"/>
          <w:bdr w:val="none" w:sz="0" w:space="0" w:color="auto" w:frame="1"/>
          <w:shd w:val="clear" w:color="auto" w:fill="FFFFFF"/>
        </w:rPr>
        <w:t xml:space="preserve"> rather than professionally operated as it holds 72.05% of their capital by its </w:t>
      </w:r>
      <w:r w:rsidRPr="0049020A">
        <w:rPr>
          <w:rStyle w:val="t"/>
          <w:b/>
          <w:bCs/>
          <w:color w:val="000000"/>
          <w:sz w:val="24"/>
          <w:szCs w:val="24"/>
          <w:bdr w:val="none" w:sz="0" w:space="0" w:color="auto" w:frame="1"/>
          <w:shd w:val="clear" w:color="auto" w:fill="FFFFFF"/>
        </w:rPr>
        <w:t xml:space="preserve">Parent </w:t>
      </w:r>
      <w:proofErr w:type="gramStart"/>
      <w:r w:rsidRPr="0049020A">
        <w:rPr>
          <w:rStyle w:val="t"/>
          <w:b/>
          <w:bCs/>
          <w:color w:val="000000"/>
          <w:spacing w:val="-2"/>
          <w:sz w:val="24"/>
          <w:szCs w:val="24"/>
          <w:bdr w:val="none" w:sz="0" w:space="0" w:color="auto" w:frame="1"/>
          <w:shd w:val="clear" w:color="auto" w:fill="FFFFFF"/>
        </w:rPr>
        <w:t>company</w:t>
      </w:r>
      <w:r w:rsidRPr="00623915">
        <w:rPr>
          <w:rStyle w:val="t"/>
          <w:color w:val="000000"/>
          <w:spacing w:val="-2"/>
          <w:sz w:val="24"/>
          <w:szCs w:val="24"/>
          <w:bdr w:val="none" w:sz="0" w:space="0" w:color="auto" w:frame="1"/>
          <w:shd w:val="clear" w:color="auto" w:fill="FFFFFF"/>
        </w:rPr>
        <w:t>.</w:t>
      </w:r>
      <w:proofErr w:type="gramEnd"/>
      <w:r w:rsidR="00E15318">
        <w:rPr>
          <w:rStyle w:val="t"/>
          <w:color w:val="000000"/>
          <w:spacing w:val="-2"/>
          <w:sz w:val="24"/>
          <w:szCs w:val="24"/>
          <w:bdr w:val="none" w:sz="0" w:space="0" w:color="auto" w:frame="1"/>
          <w:shd w:val="clear" w:color="auto" w:fill="FFFFFF"/>
        </w:rPr>
        <w:t xml:space="preserve"> </w:t>
      </w:r>
    </w:p>
    <w:p w14:paraId="67A9106F" w14:textId="5BE85441" w:rsidR="00AB39BE" w:rsidRDefault="00AB39BE">
      <w:pPr>
        <w:rPr>
          <w:rStyle w:val="t"/>
          <w:color w:val="000000"/>
          <w:spacing w:val="-2"/>
          <w:sz w:val="24"/>
          <w:szCs w:val="24"/>
          <w:bdr w:val="none" w:sz="0" w:space="0" w:color="auto" w:frame="1"/>
          <w:shd w:val="clear" w:color="auto" w:fill="FFFFFF"/>
        </w:rPr>
      </w:pPr>
    </w:p>
    <w:p w14:paraId="5017F68B" w14:textId="77777777" w:rsidR="00A91BFA" w:rsidRDefault="00A91BFA">
      <w:pPr>
        <w:rPr>
          <w:rStyle w:val="t"/>
          <w:color w:val="000000"/>
          <w:spacing w:val="-2"/>
          <w:sz w:val="24"/>
          <w:szCs w:val="24"/>
          <w:bdr w:val="none" w:sz="0" w:space="0" w:color="auto" w:frame="1"/>
          <w:shd w:val="clear" w:color="auto" w:fill="FFFFFF"/>
        </w:rPr>
      </w:pPr>
    </w:p>
    <w:p w14:paraId="667617BC" w14:textId="3C249CAB" w:rsidR="00656A59" w:rsidRPr="00A91BFA" w:rsidRDefault="00A91BFA">
      <w:pPr>
        <w:rPr>
          <w:rStyle w:val="t"/>
          <w:color w:val="FF0000"/>
          <w:spacing w:val="-2"/>
          <w:sz w:val="32"/>
          <w:szCs w:val="32"/>
          <w:u w:val="single"/>
          <w:bdr w:val="none" w:sz="0" w:space="0" w:color="auto" w:frame="1"/>
          <w:shd w:val="clear" w:color="auto" w:fill="FFFFFF"/>
        </w:rPr>
      </w:pPr>
      <w:r w:rsidRPr="00A91BFA">
        <w:rPr>
          <w:rStyle w:val="t"/>
          <w:color w:val="FF0000"/>
          <w:spacing w:val="-2"/>
          <w:sz w:val="32"/>
          <w:szCs w:val="32"/>
          <w:u w:val="single"/>
          <w:bdr w:val="none" w:sz="0" w:space="0" w:color="auto" w:frame="1"/>
          <w:shd w:val="clear" w:color="auto" w:fill="FFFFFF"/>
        </w:rPr>
        <w:t>Financial Performance report over 2019-21</w:t>
      </w:r>
    </w:p>
    <w:p w14:paraId="5F2238C0" w14:textId="3EE801DB" w:rsidR="00656A59" w:rsidRDefault="00656A59">
      <w:pPr>
        <w:rPr>
          <w:rStyle w:val="t"/>
          <w:color w:val="000000"/>
          <w:spacing w:val="-2"/>
          <w:sz w:val="24"/>
          <w:szCs w:val="24"/>
          <w:bdr w:val="none" w:sz="0" w:space="0" w:color="auto" w:frame="1"/>
          <w:shd w:val="clear" w:color="auto" w:fill="FFFFFF"/>
        </w:rPr>
      </w:pPr>
    </w:p>
    <w:tbl>
      <w:tblPr>
        <w:tblW w:w="5000" w:type="pct"/>
        <w:tblCellSpacing w:w="0" w:type="dxa"/>
        <w:tblCellMar>
          <w:left w:w="0" w:type="dxa"/>
          <w:right w:w="0" w:type="dxa"/>
        </w:tblCellMar>
        <w:tblLook w:val="04A0" w:firstRow="1" w:lastRow="0" w:firstColumn="1" w:lastColumn="0" w:noHBand="0" w:noVBand="1"/>
      </w:tblPr>
      <w:tblGrid>
        <w:gridCol w:w="4526"/>
        <w:gridCol w:w="1500"/>
        <w:gridCol w:w="1500"/>
        <w:gridCol w:w="1500"/>
      </w:tblGrid>
      <w:tr w:rsidR="00656A59" w:rsidRPr="00656A59" w14:paraId="1AD83CFD"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17F148CC" w14:textId="61F787F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Particulars (</w:t>
            </w:r>
            <w:r w:rsidRPr="00A91BFA">
              <w:rPr>
                <w:rFonts w:ascii="Roboto" w:eastAsia="Times New Roman" w:hAnsi="Roboto" w:cs="Arial"/>
                <w:b/>
                <w:bCs/>
                <w:caps/>
                <w:noProof/>
                <w:color w:val="000000"/>
                <w:lang w:eastAsia="en-IN" w:bidi="hi-IN"/>
              </w:rPr>
              <w:drawing>
                <wp:inline distT="0" distB="0" distL="0" distR="0" wp14:anchorId="4C4BEDDE" wp14:editId="2C6CB8BA">
                  <wp:extent cx="825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152400"/>
                          </a:xfrm>
                          <a:prstGeom prst="rect">
                            <a:avLst/>
                          </a:prstGeom>
                          <a:noFill/>
                          <a:ln>
                            <a:noFill/>
                          </a:ln>
                        </pic:spPr>
                      </pic:pic>
                    </a:graphicData>
                  </a:graphic>
                </wp:inline>
              </w:drawing>
            </w:r>
            <w:r w:rsidRPr="00656A59">
              <w:rPr>
                <w:rFonts w:ascii="Roboto" w:eastAsia="Times New Roman" w:hAnsi="Roboto" w:cs="Arial"/>
                <w:b/>
                <w:bCs/>
                <w:caps/>
                <w:color w:val="000000"/>
                <w:lang w:eastAsia="en-IN" w:bidi="hi-IN"/>
              </w:rPr>
              <w:t> Cr)</w:t>
            </w:r>
          </w:p>
        </w:tc>
        <w:tc>
          <w:tcPr>
            <w:tcW w:w="0" w:type="auto"/>
            <w:tcBorders>
              <w:bottom w:val="single" w:sz="6" w:space="0" w:color="E2E2E2"/>
            </w:tcBorders>
            <w:tcMar>
              <w:top w:w="120" w:type="dxa"/>
              <w:left w:w="75" w:type="dxa"/>
              <w:bottom w:w="120" w:type="dxa"/>
              <w:right w:w="75" w:type="dxa"/>
            </w:tcMar>
            <w:vAlign w:val="center"/>
            <w:hideMark/>
          </w:tcPr>
          <w:p w14:paraId="1E828A36" w14:textId="77777777" w:rsidR="00656A59" w:rsidRPr="00656A59" w:rsidRDefault="00656A59" w:rsidP="00656A59">
            <w:pPr>
              <w:spacing w:after="0" w:line="240" w:lineRule="auto"/>
              <w:jc w:val="right"/>
              <w:rPr>
                <w:rFonts w:ascii="Arial" w:eastAsia="Times New Roman" w:hAnsi="Arial" w:cs="Arial"/>
                <w:b/>
                <w:bCs/>
                <w:caps/>
                <w:color w:val="000000"/>
                <w:sz w:val="21"/>
                <w:szCs w:val="21"/>
                <w:lang w:eastAsia="en-IN" w:bidi="hi-IN"/>
              </w:rPr>
            </w:pPr>
            <w:r w:rsidRPr="00656A59">
              <w:rPr>
                <w:rFonts w:ascii="Arial" w:eastAsia="Times New Roman" w:hAnsi="Arial" w:cs="Arial"/>
                <w:b/>
                <w:bCs/>
                <w:caps/>
                <w:color w:val="000000"/>
                <w:sz w:val="21"/>
                <w:szCs w:val="21"/>
                <w:lang w:eastAsia="en-IN" w:bidi="hi-IN"/>
              </w:rPr>
              <w:t>2021</w:t>
            </w:r>
          </w:p>
        </w:tc>
        <w:tc>
          <w:tcPr>
            <w:tcW w:w="0" w:type="auto"/>
            <w:tcBorders>
              <w:bottom w:val="single" w:sz="6" w:space="0" w:color="E2E2E2"/>
            </w:tcBorders>
            <w:tcMar>
              <w:top w:w="120" w:type="dxa"/>
              <w:left w:w="75" w:type="dxa"/>
              <w:bottom w:w="120" w:type="dxa"/>
              <w:right w:w="75" w:type="dxa"/>
            </w:tcMar>
            <w:vAlign w:val="center"/>
            <w:hideMark/>
          </w:tcPr>
          <w:p w14:paraId="10FCF3C4" w14:textId="77777777" w:rsidR="00656A59" w:rsidRPr="00656A59" w:rsidRDefault="00656A59" w:rsidP="00656A59">
            <w:pPr>
              <w:spacing w:after="0" w:line="240" w:lineRule="auto"/>
              <w:jc w:val="right"/>
              <w:rPr>
                <w:rFonts w:ascii="Arial" w:eastAsia="Times New Roman" w:hAnsi="Arial" w:cs="Arial"/>
                <w:b/>
                <w:bCs/>
                <w:caps/>
                <w:color w:val="000000"/>
                <w:sz w:val="21"/>
                <w:szCs w:val="21"/>
                <w:lang w:eastAsia="en-IN" w:bidi="hi-IN"/>
              </w:rPr>
            </w:pPr>
            <w:r w:rsidRPr="00656A59">
              <w:rPr>
                <w:rFonts w:ascii="Arial" w:eastAsia="Times New Roman" w:hAnsi="Arial" w:cs="Arial"/>
                <w:b/>
                <w:bCs/>
                <w:caps/>
                <w:color w:val="000000"/>
                <w:sz w:val="21"/>
                <w:szCs w:val="21"/>
                <w:lang w:eastAsia="en-IN" w:bidi="hi-IN"/>
              </w:rPr>
              <w:t>2020</w:t>
            </w:r>
          </w:p>
        </w:tc>
        <w:tc>
          <w:tcPr>
            <w:tcW w:w="0" w:type="auto"/>
            <w:tcBorders>
              <w:bottom w:val="single" w:sz="6" w:space="0" w:color="E2E2E2"/>
            </w:tcBorders>
            <w:tcMar>
              <w:top w:w="120" w:type="dxa"/>
              <w:left w:w="75" w:type="dxa"/>
              <w:bottom w:w="120" w:type="dxa"/>
              <w:right w:w="75" w:type="dxa"/>
            </w:tcMar>
            <w:vAlign w:val="center"/>
            <w:hideMark/>
          </w:tcPr>
          <w:p w14:paraId="532057E1" w14:textId="77777777" w:rsidR="00656A59" w:rsidRPr="00656A59" w:rsidRDefault="00656A59" w:rsidP="00656A59">
            <w:pPr>
              <w:spacing w:after="0" w:line="240" w:lineRule="auto"/>
              <w:jc w:val="right"/>
              <w:rPr>
                <w:rFonts w:ascii="Arial" w:eastAsia="Times New Roman" w:hAnsi="Arial" w:cs="Arial"/>
                <w:b/>
                <w:bCs/>
                <w:caps/>
                <w:color w:val="000000"/>
                <w:sz w:val="21"/>
                <w:szCs w:val="21"/>
                <w:lang w:eastAsia="en-IN" w:bidi="hi-IN"/>
              </w:rPr>
            </w:pPr>
            <w:r w:rsidRPr="00656A59">
              <w:rPr>
                <w:rFonts w:ascii="Arial" w:eastAsia="Times New Roman" w:hAnsi="Arial" w:cs="Arial"/>
                <w:b/>
                <w:bCs/>
                <w:caps/>
                <w:color w:val="000000"/>
                <w:sz w:val="21"/>
                <w:szCs w:val="21"/>
                <w:lang w:eastAsia="en-IN" w:bidi="hi-IN"/>
              </w:rPr>
              <w:t>2019</w:t>
            </w:r>
          </w:p>
        </w:tc>
      </w:tr>
      <w:tr w:rsidR="00656A59" w:rsidRPr="00656A59" w14:paraId="48500667"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74A87F1D"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Net Sales</w:t>
            </w:r>
          </w:p>
        </w:tc>
        <w:tc>
          <w:tcPr>
            <w:tcW w:w="0" w:type="auto"/>
            <w:tcBorders>
              <w:bottom w:val="single" w:sz="6" w:space="0" w:color="E2E2E2"/>
            </w:tcBorders>
            <w:tcMar>
              <w:top w:w="120" w:type="dxa"/>
              <w:left w:w="75" w:type="dxa"/>
              <w:bottom w:w="120" w:type="dxa"/>
              <w:right w:w="75" w:type="dxa"/>
            </w:tcMar>
            <w:vAlign w:val="center"/>
            <w:hideMark/>
          </w:tcPr>
          <w:p w14:paraId="7F216721"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135963.00</w:t>
            </w:r>
          </w:p>
        </w:tc>
        <w:tc>
          <w:tcPr>
            <w:tcW w:w="0" w:type="auto"/>
            <w:tcBorders>
              <w:bottom w:val="single" w:sz="6" w:space="0" w:color="E2E2E2"/>
            </w:tcBorders>
            <w:tcMar>
              <w:top w:w="120" w:type="dxa"/>
              <w:left w:w="75" w:type="dxa"/>
              <w:bottom w:w="120" w:type="dxa"/>
              <w:right w:w="75" w:type="dxa"/>
            </w:tcMar>
            <w:vAlign w:val="center"/>
            <w:hideMark/>
          </w:tcPr>
          <w:p w14:paraId="3F7E56E6"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131306.00</w:t>
            </w:r>
          </w:p>
        </w:tc>
        <w:tc>
          <w:tcPr>
            <w:tcW w:w="0" w:type="auto"/>
            <w:tcBorders>
              <w:bottom w:val="single" w:sz="6" w:space="0" w:color="E2E2E2"/>
            </w:tcBorders>
            <w:tcMar>
              <w:top w:w="120" w:type="dxa"/>
              <w:left w:w="75" w:type="dxa"/>
              <w:bottom w:w="120" w:type="dxa"/>
              <w:right w:w="75" w:type="dxa"/>
            </w:tcMar>
            <w:vAlign w:val="center"/>
            <w:hideMark/>
          </w:tcPr>
          <w:p w14:paraId="6CD87D69"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123170.00</w:t>
            </w:r>
          </w:p>
        </w:tc>
      </w:tr>
      <w:tr w:rsidR="00656A59" w:rsidRPr="00656A59" w14:paraId="66C482A5"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41126E91"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Operating Profit</w:t>
            </w:r>
          </w:p>
        </w:tc>
        <w:tc>
          <w:tcPr>
            <w:tcW w:w="0" w:type="auto"/>
            <w:tcBorders>
              <w:bottom w:val="single" w:sz="6" w:space="0" w:color="E2E2E2"/>
            </w:tcBorders>
            <w:tcMar>
              <w:top w:w="120" w:type="dxa"/>
              <w:left w:w="75" w:type="dxa"/>
              <w:bottom w:w="120" w:type="dxa"/>
              <w:right w:w="75" w:type="dxa"/>
            </w:tcMar>
            <w:vAlign w:val="center"/>
            <w:hideMark/>
          </w:tcPr>
          <w:p w14:paraId="7B287FA6"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44492.00</w:t>
            </w:r>
          </w:p>
        </w:tc>
        <w:tc>
          <w:tcPr>
            <w:tcW w:w="0" w:type="auto"/>
            <w:tcBorders>
              <w:bottom w:val="single" w:sz="6" w:space="0" w:color="E2E2E2"/>
            </w:tcBorders>
            <w:tcMar>
              <w:top w:w="120" w:type="dxa"/>
              <w:left w:w="75" w:type="dxa"/>
              <w:bottom w:w="120" w:type="dxa"/>
              <w:right w:w="75" w:type="dxa"/>
            </w:tcMar>
            <w:vAlign w:val="center"/>
            <w:hideMark/>
          </w:tcPr>
          <w:p w14:paraId="5BB5EE60"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45435.00</w:t>
            </w:r>
          </w:p>
        </w:tc>
        <w:tc>
          <w:tcPr>
            <w:tcW w:w="0" w:type="auto"/>
            <w:tcBorders>
              <w:bottom w:val="single" w:sz="6" w:space="0" w:color="E2E2E2"/>
            </w:tcBorders>
            <w:tcMar>
              <w:top w:w="120" w:type="dxa"/>
              <w:left w:w="75" w:type="dxa"/>
              <w:bottom w:w="120" w:type="dxa"/>
              <w:right w:w="75" w:type="dxa"/>
            </w:tcMar>
            <w:vAlign w:val="center"/>
            <w:hideMark/>
          </w:tcPr>
          <w:p w14:paraId="6D86C871"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42591.00</w:t>
            </w:r>
          </w:p>
        </w:tc>
      </w:tr>
      <w:tr w:rsidR="00656A59" w:rsidRPr="00656A59" w14:paraId="69C3D8E8"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1BD4EDDA"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Other Income</w:t>
            </w:r>
          </w:p>
        </w:tc>
        <w:tc>
          <w:tcPr>
            <w:tcW w:w="0" w:type="auto"/>
            <w:tcBorders>
              <w:bottom w:val="single" w:sz="6" w:space="0" w:color="E2E2E2"/>
            </w:tcBorders>
            <w:tcMar>
              <w:top w:w="120" w:type="dxa"/>
              <w:left w:w="75" w:type="dxa"/>
              <w:bottom w:w="120" w:type="dxa"/>
              <w:right w:w="75" w:type="dxa"/>
            </w:tcMar>
            <w:vAlign w:val="center"/>
            <w:hideMark/>
          </w:tcPr>
          <w:p w14:paraId="52B58BFA"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5400.00</w:t>
            </w:r>
          </w:p>
        </w:tc>
        <w:tc>
          <w:tcPr>
            <w:tcW w:w="0" w:type="auto"/>
            <w:tcBorders>
              <w:bottom w:val="single" w:sz="6" w:space="0" w:color="E2E2E2"/>
            </w:tcBorders>
            <w:tcMar>
              <w:top w:w="120" w:type="dxa"/>
              <w:left w:w="75" w:type="dxa"/>
              <w:bottom w:w="120" w:type="dxa"/>
              <w:right w:w="75" w:type="dxa"/>
            </w:tcMar>
            <w:vAlign w:val="center"/>
            <w:hideMark/>
          </w:tcPr>
          <w:p w14:paraId="19C7D01D"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8082.00</w:t>
            </w:r>
          </w:p>
        </w:tc>
        <w:tc>
          <w:tcPr>
            <w:tcW w:w="0" w:type="auto"/>
            <w:tcBorders>
              <w:bottom w:val="single" w:sz="6" w:space="0" w:color="E2E2E2"/>
            </w:tcBorders>
            <w:tcMar>
              <w:top w:w="120" w:type="dxa"/>
              <w:left w:w="75" w:type="dxa"/>
              <w:bottom w:w="120" w:type="dxa"/>
              <w:right w:w="75" w:type="dxa"/>
            </w:tcMar>
            <w:vAlign w:val="center"/>
            <w:hideMark/>
          </w:tcPr>
          <w:p w14:paraId="2187974B"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7627.00</w:t>
            </w:r>
          </w:p>
        </w:tc>
      </w:tr>
      <w:tr w:rsidR="00656A59" w:rsidRPr="00656A59" w14:paraId="48476ACF"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1965331F"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lastRenderedPageBreak/>
              <w:t>Interest</w:t>
            </w:r>
          </w:p>
        </w:tc>
        <w:tc>
          <w:tcPr>
            <w:tcW w:w="0" w:type="auto"/>
            <w:tcBorders>
              <w:bottom w:val="single" w:sz="6" w:space="0" w:color="E2E2E2"/>
            </w:tcBorders>
            <w:tcMar>
              <w:top w:w="120" w:type="dxa"/>
              <w:left w:w="75" w:type="dxa"/>
              <w:bottom w:w="120" w:type="dxa"/>
              <w:right w:w="75" w:type="dxa"/>
            </w:tcMar>
            <w:vAlign w:val="center"/>
            <w:hideMark/>
          </w:tcPr>
          <w:p w14:paraId="5A66E2E2"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537.00</w:t>
            </w:r>
          </w:p>
        </w:tc>
        <w:tc>
          <w:tcPr>
            <w:tcW w:w="0" w:type="auto"/>
            <w:tcBorders>
              <w:bottom w:val="single" w:sz="6" w:space="0" w:color="E2E2E2"/>
            </w:tcBorders>
            <w:tcMar>
              <w:top w:w="120" w:type="dxa"/>
              <w:left w:w="75" w:type="dxa"/>
              <w:bottom w:w="120" w:type="dxa"/>
              <w:right w:w="75" w:type="dxa"/>
            </w:tcMar>
            <w:vAlign w:val="center"/>
            <w:hideMark/>
          </w:tcPr>
          <w:p w14:paraId="381AE1E7"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743.00</w:t>
            </w:r>
          </w:p>
        </w:tc>
        <w:tc>
          <w:tcPr>
            <w:tcW w:w="0" w:type="auto"/>
            <w:tcBorders>
              <w:bottom w:val="single" w:sz="6" w:space="0" w:color="E2E2E2"/>
            </w:tcBorders>
            <w:tcMar>
              <w:top w:w="120" w:type="dxa"/>
              <w:left w:w="75" w:type="dxa"/>
              <w:bottom w:w="120" w:type="dxa"/>
              <w:right w:w="75" w:type="dxa"/>
            </w:tcMar>
            <w:vAlign w:val="center"/>
            <w:hideMark/>
          </w:tcPr>
          <w:p w14:paraId="7A5920AC"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170.00</w:t>
            </w:r>
          </w:p>
        </w:tc>
      </w:tr>
      <w:tr w:rsidR="00656A59" w:rsidRPr="00656A59" w14:paraId="136AA589"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52B4F2B9" w14:textId="23C3EF66"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 xml:space="preserve">Profit </w:t>
            </w:r>
          </w:p>
        </w:tc>
        <w:tc>
          <w:tcPr>
            <w:tcW w:w="0" w:type="auto"/>
            <w:tcBorders>
              <w:bottom w:val="single" w:sz="6" w:space="0" w:color="E2E2E2"/>
            </w:tcBorders>
            <w:tcMar>
              <w:top w:w="120" w:type="dxa"/>
              <w:left w:w="75" w:type="dxa"/>
              <w:bottom w:w="120" w:type="dxa"/>
              <w:right w:w="75" w:type="dxa"/>
            </w:tcMar>
            <w:vAlign w:val="center"/>
            <w:hideMark/>
          </w:tcPr>
          <w:p w14:paraId="02D09554"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30960.00</w:t>
            </w:r>
          </w:p>
        </w:tc>
        <w:tc>
          <w:tcPr>
            <w:tcW w:w="0" w:type="auto"/>
            <w:tcBorders>
              <w:bottom w:val="single" w:sz="6" w:space="0" w:color="E2E2E2"/>
            </w:tcBorders>
            <w:tcMar>
              <w:top w:w="120" w:type="dxa"/>
              <w:left w:w="75" w:type="dxa"/>
              <w:bottom w:w="120" w:type="dxa"/>
              <w:right w:w="75" w:type="dxa"/>
            </w:tcMar>
            <w:vAlign w:val="center"/>
            <w:hideMark/>
          </w:tcPr>
          <w:p w14:paraId="16FD5D22"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33260.00</w:t>
            </w:r>
          </w:p>
        </w:tc>
        <w:tc>
          <w:tcPr>
            <w:tcW w:w="0" w:type="auto"/>
            <w:tcBorders>
              <w:bottom w:val="single" w:sz="6" w:space="0" w:color="E2E2E2"/>
            </w:tcBorders>
            <w:tcMar>
              <w:top w:w="120" w:type="dxa"/>
              <w:left w:w="75" w:type="dxa"/>
              <w:bottom w:w="120" w:type="dxa"/>
              <w:right w:w="75" w:type="dxa"/>
            </w:tcMar>
            <w:vAlign w:val="center"/>
            <w:hideMark/>
          </w:tcPr>
          <w:p w14:paraId="10EA9BE0"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30065.00</w:t>
            </w:r>
          </w:p>
        </w:tc>
      </w:tr>
      <w:tr w:rsidR="00656A59" w:rsidRPr="00656A59" w14:paraId="35B2DF5B"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1755532F"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Net Worth</w:t>
            </w:r>
          </w:p>
        </w:tc>
        <w:tc>
          <w:tcPr>
            <w:tcW w:w="0" w:type="auto"/>
            <w:tcBorders>
              <w:bottom w:val="single" w:sz="6" w:space="0" w:color="E2E2E2"/>
            </w:tcBorders>
            <w:tcMar>
              <w:top w:w="120" w:type="dxa"/>
              <w:left w:w="75" w:type="dxa"/>
              <w:bottom w:w="120" w:type="dxa"/>
              <w:right w:w="75" w:type="dxa"/>
            </w:tcMar>
            <w:vAlign w:val="center"/>
            <w:hideMark/>
          </w:tcPr>
          <w:p w14:paraId="3F64E58D"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74794.00</w:t>
            </w:r>
          </w:p>
        </w:tc>
        <w:tc>
          <w:tcPr>
            <w:tcW w:w="0" w:type="auto"/>
            <w:tcBorders>
              <w:bottom w:val="single" w:sz="6" w:space="0" w:color="E2E2E2"/>
            </w:tcBorders>
            <w:tcMar>
              <w:top w:w="120" w:type="dxa"/>
              <w:left w:w="75" w:type="dxa"/>
              <w:bottom w:w="120" w:type="dxa"/>
              <w:right w:w="75" w:type="dxa"/>
            </w:tcMar>
            <w:vAlign w:val="center"/>
            <w:hideMark/>
          </w:tcPr>
          <w:p w14:paraId="1CC723E6"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74368.00</w:t>
            </w:r>
          </w:p>
        </w:tc>
        <w:tc>
          <w:tcPr>
            <w:tcW w:w="0" w:type="auto"/>
            <w:tcBorders>
              <w:bottom w:val="single" w:sz="6" w:space="0" w:color="E2E2E2"/>
            </w:tcBorders>
            <w:tcMar>
              <w:top w:w="120" w:type="dxa"/>
              <w:left w:w="75" w:type="dxa"/>
              <w:bottom w:w="120" w:type="dxa"/>
              <w:right w:w="75" w:type="dxa"/>
            </w:tcMar>
            <w:vAlign w:val="center"/>
            <w:hideMark/>
          </w:tcPr>
          <w:p w14:paraId="1EB8E195"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78898.00</w:t>
            </w:r>
          </w:p>
        </w:tc>
      </w:tr>
      <w:tr w:rsidR="00656A59" w:rsidRPr="00656A59" w14:paraId="66C95C99"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3195FF3E"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Net Working Capital</w:t>
            </w:r>
          </w:p>
        </w:tc>
        <w:tc>
          <w:tcPr>
            <w:tcW w:w="0" w:type="auto"/>
            <w:tcBorders>
              <w:bottom w:val="single" w:sz="6" w:space="0" w:color="E2E2E2"/>
            </w:tcBorders>
            <w:tcMar>
              <w:top w:w="120" w:type="dxa"/>
              <w:left w:w="75" w:type="dxa"/>
              <w:bottom w:w="120" w:type="dxa"/>
              <w:right w:w="75" w:type="dxa"/>
            </w:tcMar>
            <w:vAlign w:val="center"/>
            <w:hideMark/>
          </w:tcPr>
          <w:p w14:paraId="626DB142"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32842.00</w:t>
            </w:r>
          </w:p>
        </w:tc>
        <w:tc>
          <w:tcPr>
            <w:tcW w:w="0" w:type="auto"/>
            <w:tcBorders>
              <w:bottom w:val="single" w:sz="6" w:space="0" w:color="E2E2E2"/>
            </w:tcBorders>
            <w:tcMar>
              <w:top w:w="120" w:type="dxa"/>
              <w:left w:w="75" w:type="dxa"/>
              <w:bottom w:w="120" w:type="dxa"/>
              <w:right w:w="75" w:type="dxa"/>
            </w:tcMar>
            <w:vAlign w:val="center"/>
            <w:hideMark/>
          </w:tcPr>
          <w:p w14:paraId="2536129C"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35824.00</w:t>
            </w:r>
          </w:p>
        </w:tc>
        <w:tc>
          <w:tcPr>
            <w:tcW w:w="0" w:type="auto"/>
            <w:tcBorders>
              <w:bottom w:val="single" w:sz="6" w:space="0" w:color="E2E2E2"/>
            </w:tcBorders>
            <w:tcMar>
              <w:top w:w="120" w:type="dxa"/>
              <w:left w:w="75" w:type="dxa"/>
              <w:bottom w:w="120" w:type="dxa"/>
              <w:right w:w="75" w:type="dxa"/>
            </w:tcMar>
            <w:vAlign w:val="center"/>
            <w:hideMark/>
          </w:tcPr>
          <w:p w14:paraId="2674B826"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39307.00</w:t>
            </w:r>
          </w:p>
        </w:tc>
      </w:tr>
      <w:tr w:rsidR="00656A59" w:rsidRPr="00656A59" w14:paraId="1DF3C63F"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54EEA2C3"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Operating Profit Margin (%)</w:t>
            </w:r>
          </w:p>
        </w:tc>
        <w:tc>
          <w:tcPr>
            <w:tcW w:w="0" w:type="auto"/>
            <w:tcBorders>
              <w:bottom w:val="single" w:sz="6" w:space="0" w:color="E2E2E2"/>
            </w:tcBorders>
            <w:tcMar>
              <w:top w:w="120" w:type="dxa"/>
              <w:left w:w="75" w:type="dxa"/>
              <w:bottom w:w="120" w:type="dxa"/>
              <w:right w:w="75" w:type="dxa"/>
            </w:tcMar>
            <w:vAlign w:val="center"/>
            <w:hideMark/>
          </w:tcPr>
          <w:p w14:paraId="61E6F6B8"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32.72</w:t>
            </w:r>
          </w:p>
        </w:tc>
        <w:tc>
          <w:tcPr>
            <w:tcW w:w="0" w:type="auto"/>
            <w:tcBorders>
              <w:bottom w:val="single" w:sz="6" w:space="0" w:color="E2E2E2"/>
            </w:tcBorders>
            <w:tcMar>
              <w:top w:w="120" w:type="dxa"/>
              <w:left w:w="75" w:type="dxa"/>
              <w:bottom w:w="120" w:type="dxa"/>
              <w:right w:w="75" w:type="dxa"/>
            </w:tcMar>
            <w:vAlign w:val="center"/>
            <w:hideMark/>
          </w:tcPr>
          <w:p w14:paraId="7493CF8D"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34.60</w:t>
            </w:r>
          </w:p>
        </w:tc>
        <w:tc>
          <w:tcPr>
            <w:tcW w:w="0" w:type="auto"/>
            <w:tcBorders>
              <w:bottom w:val="single" w:sz="6" w:space="0" w:color="E2E2E2"/>
            </w:tcBorders>
            <w:tcMar>
              <w:top w:w="120" w:type="dxa"/>
              <w:left w:w="75" w:type="dxa"/>
              <w:bottom w:w="120" w:type="dxa"/>
              <w:right w:w="75" w:type="dxa"/>
            </w:tcMar>
            <w:vAlign w:val="center"/>
            <w:hideMark/>
          </w:tcPr>
          <w:p w14:paraId="658E44D7"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34.58</w:t>
            </w:r>
          </w:p>
        </w:tc>
      </w:tr>
      <w:tr w:rsidR="00656A59" w:rsidRPr="00656A59" w14:paraId="3B7CF9AC"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2C092612"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Net Profit Margin (%)</w:t>
            </w:r>
          </w:p>
        </w:tc>
        <w:tc>
          <w:tcPr>
            <w:tcW w:w="0" w:type="auto"/>
            <w:tcBorders>
              <w:bottom w:val="single" w:sz="6" w:space="0" w:color="E2E2E2"/>
            </w:tcBorders>
            <w:tcMar>
              <w:top w:w="120" w:type="dxa"/>
              <w:left w:w="75" w:type="dxa"/>
              <w:bottom w:w="120" w:type="dxa"/>
              <w:right w:w="75" w:type="dxa"/>
            </w:tcMar>
            <w:vAlign w:val="center"/>
            <w:hideMark/>
          </w:tcPr>
          <w:p w14:paraId="76064971"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22.77</w:t>
            </w:r>
          </w:p>
        </w:tc>
        <w:tc>
          <w:tcPr>
            <w:tcW w:w="0" w:type="auto"/>
            <w:tcBorders>
              <w:bottom w:val="single" w:sz="6" w:space="0" w:color="E2E2E2"/>
            </w:tcBorders>
            <w:tcMar>
              <w:top w:w="120" w:type="dxa"/>
              <w:left w:w="75" w:type="dxa"/>
              <w:bottom w:w="120" w:type="dxa"/>
              <w:right w:w="75" w:type="dxa"/>
            </w:tcMar>
            <w:vAlign w:val="center"/>
            <w:hideMark/>
          </w:tcPr>
          <w:p w14:paraId="6A3C6A23"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25.33</w:t>
            </w:r>
          </w:p>
        </w:tc>
        <w:tc>
          <w:tcPr>
            <w:tcW w:w="0" w:type="auto"/>
            <w:tcBorders>
              <w:bottom w:val="single" w:sz="6" w:space="0" w:color="E2E2E2"/>
            </w:tcBorders>
            <w:tcMar>
              <w:top w:w="120" w:type="dxa"/>
              <w:left w:w="75" w:type="dxa"/>
              <w:bottom w:w="120" w:type="dxa"/>
              <w:right w:w="75" w:type="dxa"/>
            </w:tcMar>
            <w:vAlign w:val="center"/>
            <w:hideMark/>
          </w:tcPr>
          <w:p w14:paraId="2AC0A4BF"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24.41</w:t>
            </w:r>
          </w:p>
        </w:tc>
      </w:tr>
      <w:tr w:rsidR="00656A59" w:rsidRPr="00656A59" w14:paraId="2D047511"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4482FD7F"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Earning Per Share (Rs)</w:t>
            </w:r>
          </w:p>
        </w:tc>
        <w:tc>
          <w:tcPr>
            <w:tcW w:w="0" w:type="auto"/>
            <w:tcBorders>
              <w:bottom w:val="single" w:sz="6" w:space="0" w:color="E2E2E2"/>
            </w:tcBorders>
            <w:tcMar>
              <w:top w:w="120" w:type="dxa"/>
              <w:left w:w="75" w:type="dxa"/>
              <w:bottom w:w="120" w:type="dxa"/>
              <w:right w:w="75" w:type="dxa"/>
            </w:tcMar>
            <w:vAlign w:val="center"/>
            <w:hideMark/>
          </w:tcPr>
          <w:p w14:paraId="7043CBF2"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83.68</w:t>
            </w:r>
          </w:p>
        </w:tc>
        <w:tc>
          <w:tcPr>
            <w:tcW w:w="0" w:type="auto"/>
            <w:tcBorders>
              <w:bottom w:val="single" w:sz="6" w:space="0" w:color="E2E2E2"/>
            </w:tcBorders>
            <w:tcMar>
              <w:top w:w="120" w:type="dxa"/>
              <w:left w:w="75" w:type="dxa"/>
              <w:bottom w:w="120" w:type="dxa"/>
              <w:right w:w="75" w:type="dxa"/>
            </w:tcMar>
            <w:vAlign w:val="center"/>
            <w:hideMark/>
          </w:tcPr>
          <w:p w14:paraId="73F408CF"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88.69</w:t>
            </w:r>
          </w:p>
        </w:tc>
        <w:tc>
          <w:tcPr>
            <w:tcW w:w="0" w:type="auto"/>
            <w:tcBorders>
              <w:bottom w:val="single" w:sz="6" w:space="0" w:color="E2E2E2"/>
            </w:tcBorders>
            <w:tcMar>
              <w:top w:w="120" w:type="dxa"/>
              <w:left w:w="75" w:type="dxa"/>
              <w:bottom w:w="120" w:type="dxa"/>
              <w:right w:w="75" w:type="dxa"/>
            </w:tcMar>
            <w:vAlign w:val="center"/>
            <w:hideMark/>
          </w:tcPr>
          <w:p w14:paraId="7402DDD0"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80.17</w:t>
            </w:r>
          </w:p>
        </w:tc>
      </w:tr>
      <w:tr w:rsidR="00656A59" w:rsidRPr="00656A59" w14:paraId="19ADE175" w14:textId="77777777" w:rsidTr="00656A59">
        <w:trPr>
          <w:tblCellSpacing w:w="0" w:type="dxa"/>
        </w:trPr>
        <w:tc>
          <w:tcPr>
            <w:tcW w:w="0" w:type="auto"/>
            <w:tcBorders>
              <w:bottom w:val="single" w:sz="6" w:space="0" w:color="E2E2E2"/>
            </w:tcBorders>
            <w:tcMar>
              <w:top w:w="120" w:type="dxa"/>
              <w:left w:w="75" w:type="dxa"/>
              <w:bottom w:w="120" w:type="dxa"/>
              <w:right w:w="75" w:type="dxa"/>
            </w:tcMar>
            <w:vAlign w:val="center"/>
            <w:hideMark/>
          </w:tcPr>
          <w:p w14:paraId="1F0BD46F" w14:textId="77777777" w:rsidR="00656A59" w:rsidRPr="00656A59" w:rsidRDefault="00656A59" w:rsidP="00656A59">
            <w:pPr>
              <w:spacing w:after="0" w:line="240" w:lineRule="auto"/>
              <w:rPr>
                <w:rFonts w:ascii="Roboto" w:eastAsia="Times New Roman" w:hAnsi="Roboto" w:cs="Arial"/>
                <w:b/>
                <w:bCs/>
                <w:caps/>
                <w:color w:val="000000"/>
                <w:lang w:eastAsia="en-IN" w:bidi="hi-IN"/>
              </w:rPr>
            </w:pPr>
            <w:r w:rsidRPr="00656A59">
              <w:rPr>
                <w:rFonts w:ascii="Roboto" w:eastAsia="Times New Roman" w:hAnsi="Roboto" w:cs="Arial"/>
                <w:b/>
                <w:bCs/>
                <w:caps/>
                <w:color w:val="000000"/>
                <w:lang w:eastAsia="en-IN" w:bidi="hi-IN"/>
              </w:rPr>
              <w:t>Dividend (%)</w:t>
            </w:r>
          </w:p>
        </w:tc>
        <w:tc>
          <w:tcPr>
            <w:tcW w:w="0" w:type="auto"/>
            <w:tcBorders>
              <w:bottom w:val="single" w:sz="6" w:space="0" w:color="E2E2E2"/>
            </w:tcBorders>
            <w:tcMar>
              <w:top w:w="120" w:type="dxa"/>
              <w:left w:w="75" w:type="dxa"/>
              <w:bottom w:w="120" w:type="dxa"/>
              <w:right w:w="75" w:type="dxa"/>
            </w:tcMar>
            <w:vAlign w:val="center"/>
            <w:hideMark/>
          </w:tcPr>
          <w:p w14:paraId="23E17633"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3800.00</w:t>
            </w:r>
          </w:p>
        </w:tc>
        <w:tc>
          <w:tcPr>
            <w:tcW w:w="0" w:type="auto"/>
            <w:tcBorders>
              <w:bottom w:val="single" w:sz="6" w:space="0" w:color="E2E2E2"/>
            </w:tcBorders>
            <w:tcMar>
              <w:top w:w="120" w:type="dxa"/>
              <w:left w:w="75" w:type="dxa"/>
              <w:bottom w:w="120" w:type="dxa"/>
              <w:right w:w="75" w:type="dxa"/>
            </w:tcMar>
            <w:vAlign w:val="center"/>
            <w:hideMark/>
          </w:tcPr>
          <w:p w14:paraId="1B804E22"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7300.00</w:t>
            </w:r>
          </w:p>
        </w:tc>
        <w:tc>
          <w:tcPr>
            <w:tcW w:w="0" w:type="auto"/>
            <w:tcBorders>
              <w:bottom w:val="single" w:sz="6" w:space="0" w:color="E2E2E2"/>
            </w:tcBorders>
            <w:tcMar>
              <w:top w:w="120" w:type="dxa"/>
              <w:left w:w="75" w:type="dxa"/>
              <w:bottom w:w="120" w:type="dxa"/>
              <w:right w:w="75" w:type="dxa"/>
            </w:tcMar>
            <w:vAlign w:val="center"/>
            <w:hideMark/>
          </w:tcPr>
          <w:p w14:paraId="24422C65" w14:textId="77777777" w:rsidR="00656A59" w:rsidRPr="00656A59" w:rsidRDefault="00656A59" w:rsidP="00656A59">
            <w:pPr>
              <w:spacing w:after="0" w:line="240" w:lineRule="auto"/>
              <w:jc w:val="right"/>
              <w:rPr>
                <w:rFonts w:ascii="Arial" w:eastAsia="Times New Roman" w:hAnsi="Arial" w:cs="Arial"/>
                <w:caps/>
                <w:color w:val="000000"/>
                <w:sz w:val="21"/>
                <w:szCs w:val="21"/>
                <w:lang w:eastAsia="en-IN" w:bidi="hi-IN"/>
              </w:rPr>
            </w:pPr>
            <w:r w:rsidRPr="00656A59">
              <w:rPr>
                <w:rFonts w:ascii="Arial" w:eastAsia="Times New Roman" w:hAnsi="Arial" w:cs="Arial"/>
                <w:caps/>
                <w:color w:val="000000"/>
                <w:sz w:val="21"/>
                <w:szCs w:val="21"/>
                <w:lang w:eastAsia="en-IN" w:bidi="hi-IN"/>
              </w:rPr>
              <w:t>3000.00</w:t>
            </w:r>
          </w:p>
        </w:tc>
      </w:tr>
    </w:tbl>
    <w:p w14:paraId="659BFBCF" w14:textId="343CF19C" w:rsidR="00656A59" w:rsidRDefault="00656A59">
      <w:pPr>
        <w:rPr>
          <w:b/>
          <w:bCs/>
          <w:color w:val="000000"/>
          <w:spacing w:val="-2"/>
          <w:sz w:val="24"/>
          <w:szCs w:val="24"/>
          <w:bdr w:val="none" w:sz="0" w:space="0" w:color="auto" w:frame="1"/>
          <w:shd w:val="clear" w:color="auto" w:fill="FFFFFF"/>
        </w:rPr>
      </w:pPr>
    </w:p>
    <w:p w14:paraId="210DB6BB" w14:textId="62124238" w:rsidR="007A6953" w:rsidRDefault="007A6953">
      <w:pPr>
        <w:rPr>
          <w:b/>
          <w:bCs/>
          <w:color w:val="000000"/>
          <w:spacing w:val="-2"/>
          <w:sz w:val="24"/>
          <w:szCs w:val="24"/>
          <w:bdr w:val="none" w:sz="0" w:space="0" w:color="auto" w:frame="1"/>
          <w:shd w:val="clear" w:color="auto" w:fill="FFFFFF"/>
        </w:rPr>
      </w:pPr>
      <w:r>
        <w:rPr>
          <w:b/>
          <w:bCs/>
          <w:noProof/>
          <w:color w:val="000000"/>
          <w:spacing w:val="-2"/>
          <w:sz w:val="24"/>
          <w:szCs w:val="24"/>
          <w:bdr w:val="none" w:sz="0" w:space="0" w:color="auto" w:frame="1"/>
          <w:shd w:val="clear" w:color="auto" w:fill="FFFFFF"/>
        </w:rPr>
        <w:drawing>
          <wp:inline distT="0" distB="0" distL="0" distR="0" wp14:anchorId="71834BBD" wp14:editId="2C0D1330">
            <wp:extent cx="6197600" cy="2317750"/>
            <wp:effectExtent l="0" t="0" r="1270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2673BF" w14:textId="17667CA8" w:rsidR="00656A59" w:rsidRDefault="00656A59">
      <w:pPr>
        <w:rPr>
          <w:b/>
          <w:bCs/>
          <w:color w:val="000000"/>
          <w:spacing w:val="-2"/>
          <w:sz w:val="24"/>
          <w:szCs w:val="24"/>
          <w:bdr w:val="none" w:sz="0" w:space="0" w:color="auto" w:frame="1"/>
          <w:shd w:val="clear" w:color="auto" w:fill="FFFFFF"/>
        </w:rPr>
      </w:pPr>
    </w:p>
    <w:p w14:paraId="51F985BF" w14:textId="509C24C5" w:rsidR="004E4AB3" w:rsidRPr="004E4AB3" w:rsidRDefault="004E4AB3" w:rsidP="00656A59">
      <w:pPr>
        <w:pStyle w:val="NormalWeb"/>
        <w:spacing w:before="0" w:beforeAutospacing="0" w:after="0" w:afterAutospacing="0"/>
        <w:textAlignment w:val="baseline"/>
        <w:rPr>
          <w:rFonts w:asciiTheme="minorHAnsi" w:hAnsiTheme="minorHAnsi" w:cstheme="minorHAnsi"/>
          <w:b/>
          <w:bCs/>
          <w:color w:val="FF0000"/>
          <w:sz w:val="32"/>
          <w:szCs w:val="32"/>
          <w:u w:val="single"/>
          <w:bdr w:val="none" w:sz="0" w:space="0" w:color="auto" w:frame="1"/>
        </w:rPr>
      </w:pPr>
      <w:r w:rsidRPr="004E4AB3">
        <w:rPr>
          <w:rFonts w:asciiTheme="minorHAnsi" w:hAnsiTheme="minorHAnsi" w:cstheme="minorHAnsi"/>
          <w:b/>
          <w:bCs/>
          <w:color w:val="FF0000"/>
          <w:sz w:val="32"/>
          <w:szCs w:val="32"/>
          <w:u w:val="single"/>
          <w:bdr w:val="none" w:sz="0" w:space="0" w:color="auto" w:frame="1"/>
        </w:rPr>
        <w:t>SWOT ANALYSIS</w:t>
      </w:r>
    </w:p>
    <w:p w14:paraId="113B6A58" w14:textId="77777777" w:rsidR="004E4AB3" w:rsidRPr="004E4AB3" w:rsidRDefault="004E4AB3" w:rsidP="00656A59">
      <w:pPr>
        <w:pStyle w:val="NormalWeb"/>
        <w:spacing w:before="0" w:beforeAutospacing="0" w:after="0" w:afterAutospacing="0"/>
        <w:textAlignment w:val="baseline"/>
        <w:rPr>
          <w:rFonts w:asciiTheme="minorHAnsi" w:hAnsiTheme="minorHAnsi" w:cstheme="minorHAnsi"/>
          <w:color w:val="FF0000"/>
          <w:sz w:val="32"/>
          <w:szCs w:val="32"/>
          <w:bdr w:val="none" w:sz="0" w:space="0" w:color="auto" w:frame="1"/>
        </w:rPr>
      </w:pPr>
    </w:p>
    <w:p w14:paraId="06D92DA1" w14:textId="0E5B4642"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 xml:space="preserve">SWOT analysis is a structured approach to evaluate a company’s strategic position by analysing its strengths, weaknesses, opportunities, and threats. It is a simple technique to analyse the outcomes of a marketing evaluation. The SWOT analysis of </w:t>
      </w:r>
      <w:r w:rsidR="00480E19">
        <w:rPr>
          <w:rFonts w:asciiTheme="minorHAnsi" w:hAnsiTheme="minorHAnsi" w:cstheme="minorHAnsi"/>
          <w:color w:val="222222"/>
          <w:bdr w:val="none" w:sz="0" w:space="0" w:color="auto" w:frame="1"/>
        </w:rPr>
        <w:t>TCS</w:t>
      </w:r>
      <w:r w:rsidRPr="00656A59">
        <w:rPr>
          <w:rFonts w:asciiTheme="minorHAnsi" w:hAnsiTheme="minorHAnsi" w:cstheme="minorHAnsi"/>
          <w:color w:val="222222"/>
          <w:bdr w:val="none" w:sz="0" w:space="0" w:color="auto" w:frame="1"/>
        </w:rPr>
        <w:t xml:space="preserve"> are as follows:</w:t>
      </w:r>
    </w:p>
    <w:p w14:paraId="54B83667" w14:textId="77777777" w:rsidR="00656A59" w:rsidRPr="00656A59" w:rsidRDefault="00656A59" w:rsidP="00656A59">
      <w:pPr>
        <w:pStyle w:val="Heading2"/>
        <w:spacing w:before="0" w:line="240" w:lineRule="atLeast"/>
        <w:textAlignment w:val="baseline"/>
        <w:rPr>
          <w:rFonts w:asciiTheme="minorHAnsi" w:hAnsiTheme="minorHAnsi" w:cstheme="minorHAnsi"/>
          <w:color w:val="222222"/>
          <w:sz w:val="24"/>
          <w:szCs w:val="24"/>
        </w:rPr>
      </w:pPr>
      <w:r w:rsidRPr="00656A59">
        <w:rPr>
          <w:rFonts w:asciiTheme="minorHAnsi" w:hAnsiTheme="minorHAnsi" w:cstheme="minorHAnsi"/>
          <w:b/>
          <w:bCs/>
          <w:color w:val="222222"/>
          <w:sz w:val="24"/>
          <w:szCs w:val="24"/>
        </w:rPr>
        <w:t> </w:t>
      </w:r>
    </w:p>
    <w:p w14:paraId="3A0C011C" w14:textId="7E40604F" w:rsidR="00656A59" w:rsidRPr="004E4AB3" w:rsidRDefault="00656A59" w:rsidP="00656A59">
      <w:pPr>
        <w:pStyle w:val="Heading3"/>
        <w:numPr>
          <w:ilvl w:val="0"/>
          <w:numId w:val="17"/>
        </w:numPr>
        <w:spacing w:before="0" w:beforeAutospacing="0" w:after="0" w:afterAutospacing="0" w:line="240" w:lineRule="atLeast"/>
        <w:textAlignment w:val="baseline"/>
        <w:rPr>
          <w:rFonts w:asciiTheme="minorHAnsi" w:hAnsiTheme="minorHAnsi" w:cstheme="minorHAnsi"/>
          <w:color w:val="222222"/>
          <w:sz w:val="32"/>
          <w:szCs w:val="32"/>
          <w:bdr w:val="none" w:sz="0" w:space="0" w:color="auto" w:frame="1"/>
        </w:rPr>
      </w:pPr>
      <w:r w:rsidRPr="004E4AB3">
        <w:rPr>
          <w:rFonts w:asciiTheme="minorHAnsi" w:hAnsiTheme="minorHAnsi" w:cstheme="minorHAnsi"/>
          <w:color w:val="222222"/>
          <w:sz w:val="32"/>
          <w:szCs w:val="32"/>
          <w:highlight w:val="yellow"/>
          <w:bdr w:val="none" w:sz="0" w:space="0" w:color="auto" w:frame="1"/>
        </w:rPr>
        <w:t xml:space="preserve">Strengths of </w:t>
      </w:r>
      <w:r w:rsidR="00480E19">
        <w:rPr>
          <w:rFonts w:asciiTheme="minorHAnsi" w:hAnsiTheme="minorHAnsi" w:cstheme="minorHAnsi"/>
          <w:color w:val="222222"/>
          <w:sz w:val="32"/>
          <w:szCs w:val="32"/>
          <w:highlight w:val="yellow"/>
          <w:bdr w:val="none" w:sz="0" w:space="0" w:color="auto" w:frame="1"/>
        </w:rPr>
        <w:t>TCS</w:t>
      </w:r>
      <w:r w:rsidR="00255892" w:rsidRPr="00255892">
        <w:rPr>
          <w:rFonts w:asciiTheme="minorHAnsi" w:hAnsiTheme="minorHAnsi" w:cstheme="minorHAnsi"/>
          <w:color w:val="222222"/>
          <w:sz w:val="32"/>
          <w:szCs w:val="32"/>
          <w:highlight w:val="yellow"/>
          <w:bdr w:val="none" w:sz="0" w:space="0" w:color="auto" w:frame="1"/>
        </w:rPr>
        <w:t xml:space="preserve"> </w:t>
      </w:r>
      <w:r w:rsidR="00255892">
        <w:rPr>
          <w:rFonts w:asciiTheme="minorHAnsi" w:hAnsiTheme="minorHAnsi" w:cstheme="minorHAnsi"/>
          <w:color w:val="222222"/>
          <w:sz w:val="32"/>
          <w:szCs w:val="32"/>
          <w:bdr w:val="none" w:sz="0" w:space="0" w:color="auto" w:frame="1"/>
        </w:rPr>
        <w:t xml:space="preserve"> </w:t>
      </w:r>
    </w:p>
    <w:p w14:paraId="6CC18058" w14:textId="77777777" w:rsidR="00656A59" w:rsidRPr="00656A59" w:rsidRDefault="00656A59" w:rsidP="00656A59">
      <w:pPr>
        <w:pStyle w:val="Heading3"/>
        <w:spacing w:before="0" w:beforeAutospacing="0" w:after="0" w:afterAutospacing="0" w:line="240" w:lineRule="atLeast"/>
        <w:ind w:left="720"/>
        <w:textAlignment w:val="baseline"/>
        <w:rPr>
          <w:rFonts w:asciiTheme="minorHAnsi" w:hAnsiTheme="minorHAnsi" w:cstheme="minorHAnsi"/>
          <w:color w:val="222222"/>
          <w:sz w:val="24"/>
          <w:szCs w:val="24"/>
        </w:rPr>
      </w:pPr>
    </w:p>
    <w:p w14:paraId="79935407" w14:textId="2D6B97F4"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 xml:space="preserve">Strengths are an organization’s distinct skills that offer it a competitive edge in gaining greater market share, attracting more customers, and maximising profitability. </w:t>
      </w:r>
      <w:r w:rsidR="00480E19">
        <w:rPr>
          <w:rFonts w:asciiTheme="minorHAnsi" w:hAnsiTheme="minorHAnsi" w:cstheme="minorHAnsi"/>
          <w:color w:val="222222"/>
          <w:bdr w:val="none" w:sz="0" w:space="0" w:color="auto" w:frame="1"/>
        </w:rPr>
        <w:t>TCS</w:t>
      </w:r>
      <w:r w:rsidRPr="00656A59">
        <w:rPr>
          <w:rFonts w:asciiTheme="minorHAnsi" w:hAnsiTheme="minorHAnsi" w:cstheme="minorHAnsi"/>
          <w:color w:val="222222"/>
          <w:bdr w:val="none" w:sz="0" w:space="0" w:color="auto" w:frame="1"/>
        </w:rPr>
        <w:t>’s strengths are listed below:</w:t>
      </w:r>
    </w:p>
    <w:p w14:paraId="240B8DFA"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6A5265FE" w14:textId="0002833F" w:rsidR="00656A59" w:rsidRPr="00656A59" w:rsidRDefault="00656A59" w:rsidP="00656A59">
      <w:pPr>
        <w:numPr>
          <w:ilvl w:val="0"/>
          <w:numId w:val="2"/>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Extensive Global Reach</w:t>
      </w:r>
      <w:r w:rsidRPr="004E4AB3">
        <w:rPr>
          <w:rFonts w:cstheme="minorHAnsi"/>
          <w:color w:val="00B050"/>
          <w:sz w:val="24"/>
          <w:szCs w:val="24"/>
        </w:rPr>
        <w:t>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’s global reach, which currently extends from North America, the United Kingdom, Africa, Europe, and the Asia-Pacific regions, reflects the company’s efforts to obtain as much coverage as possible in diverse areas.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w:t>
      </w:r>
      <w:r w:rsidRPr="00656A59">
        <w:rPr>
          <w:rFonts w:cstheme="minorHAnsi"/>
          <w:color w:val="222222"/>
          <w:sz w:val="24"/>
          <w:szCs w:val="24"/>
          <w:bdr w:val="none" w:sz="0" w:space="0" w:color="auto" w:frame="1"/>
        </w:rPr>
        <w:lastRenderedPageBreak/>
        <w:t>has a strong worldwide image thanks to its presence in a variety of geographical locations.</w:t>
      </w:r>
    </w:p>
    <w:p w14:paraId="761FA79F" w14:textId="54F4330B" w:rsidR="00656A59" w:rsidRPr="00656A59" w:rsidRDefault="00656A59" w:rsidP="00656A59">
      <w:pPr>
        <w:numPr>
          <w:ilvl w:val="0"/>
          <w:numId w:val="3"/>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Major number of Customers from various sectors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supports customers in a wide range of industries, including banking, finance, retail, telecommunications, and media &amp; entertainment. Exposure to different enterprises mitigates the hazards of over-dependence on a particular market or industry. </w:t>
      </w:r>
    </w:p>
    <w:p w14:paraId="376E839C" w14:textId="238DF04F" w:rsidR="00656A59" w:rsidRPr="00656A59" w:rsidRDefault="00656A59" w:rsidP="00656A59">
      <w:pPr>
        <w:numPr>
          <w:ilvl w:val="0"/>
          <w:numId w:val="4"/>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Strong reputed Brand Image in the market </w:t>
      </w:r>
      <w:r w:rsidRPr="00656A59">
        <w:rPr>
          <w:rFonts w:cstheme="minorHAnsi"/>
          <w:b/>
          <w:bCs/>
          <w:color w:val="222222"/>
          <w:sz w:val="24"/>
          <w:szCs w:val="24"/>
          <w:bdr w:val="none" w:sz="0" w:space="0" w:color="auto" w:frame="1"/>
        </w:rPr>
        <w:t>–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has unquestionably created its own brand, image, and reputation; it keeps its consumers satisfied and acts as a sign of excellence.</w:t>
      </w:r>
    </w:p>
    <w:p w14:paraId="25BBD376" w14:textId="63A9592B" w:rsidR="00656A59" w:rsidRPr="00656A59" w:rsidRDefault="00656A59" w:rsidP="00656A59">
      <w:pPr>
        <w:numPr>
          <w:ilvl w:val="0"/>
          <w:numId w:val="5"/>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Well established strategic alliances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has formed significant alliances with multinational companies all around the world. It collaborated with technology powerhouses such as Amazon, Adobe, Dell, Bosch, and HP, among others. Through these partnerships,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provides both technologically viable and creative commercial and tactical solutions.</w:t>
      </w:r>
    </w:p>
    <w:p w14:paraId="31AC1CE7" w14:textId="7FDCB345" w:rsidR="00656A59" w:rsidRPr="00656A59" w:rsidRDefault="00656A59" w:rsidP="00656A59">
      <w:pPr>
        <w:numPr>
          <w:ilvl w:val="0"/>
          <w:numId w:val="6"/>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Robust Service Portfolio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has a diverse service offering that includes application development and maintenance of Business Process Services (BPS), IT infrastructures, business intelligence, and more. A robust and diversified portfolio is drawn to various corporate clients.</w:t>
      </w:r>
    </w:p>
    <w:p w14:paraId="32DD84E3" w14:textId="4D2A34F3" w:rsidR="00656A59" w:rsidRPr="00656A59" w:rsidRDefault="00656A59" w:rsidP="00656A59">
      <w:pPr>
        <w:numPr>
          <w:ilvl w:val="0"/>
          <w:numId w:val="7"/>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Empowered and encouraged employees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Through effective training and learning initiatives, a highly competent workforce has been created.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invests heavily in employee training and development, resulting in a staff that is not just highly competent but also driven to achieve greater success.</w:t>
      </w:r>
    </w:p>
    <w:p w14:paraId="773FD06D" w14:textId="54C70D64" w:rsidR="00656A59" w:rsidRPr="00656A59" w:rsidRDefault="00656A59" w:rsidP="00656A59">
      <w:pPr>
        <w:numPr>
          <w:ilvl w:val="0"/>
          <w:numId w:val="7"/>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Excellent returns on capital invested </w:t>
      </w:r>
      <w:r w:rsidRPr="00656A59">
        <w:rPr>
          <w:rFonts w:cstheme="minorHAnsi"/>
          <w:b/>
          <w:bCs/>
          <w:color w:val="222222"/>
          <w:sz w:val="24"/>
          <w:szCs w:val="24"/>
          <w:bdr w:val="none" w:sz="0" w:space="0" w:color="auto" w:frame="1"/>
        </w:rPr>
        <w:t>–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has an excellent track record of executing new projects and generating good returns on capital expenditure by establishing new income streams.</w:t>
      </w:r>
    </w:p>
    <w:p w14:paraId="662BEF3D"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3E85EAED" w14:textId="4F77038A" w:rsid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bdr w:val="none" w:sz="0" w:space="0" w:color="auto" w:frame="1"/>
        </w:rPr>
      </w:pPr>
      <w:r w:rsidRPr="00656A59">
        <w:rPr>
          <w:rFonts w:asciiTheme="minorHAnsi" w:hAnsiTheme="minorHAnsi" w:cstheme="minorHAnsi"/>
          <w:color w:val="222222"/>
          <w:sz w:val="32"/>
          <w:szCs w:val="32"/>
          <w:bdr w:val="none" w:sz="0" w:space="0" w:color="auto" w:frame="1"/>
        </w:rPr>
        <w:t xml:space="preserve">2. </w:t>
      </w:r>
      <w:r w:rsidRPr="004E4AB3">
        <w:rPr>
          <w:rFonts w:asciiTheme="minorHAnsi" w:hAnsiTheme="minorHAnsi" w:cstheme="minorHAnsi"/>
          <w:color w:val="222222"/>
          <w:sz w:val="32"/>
          <w:szCs w:val="32"/>
          <w:highlight w:val="yellow"/>
          <w:bdr w:val="none" w:sz="0" w:space="0" w:color="auto" w:frame="1"/>
        </w:rPr>
        <w:t xml:space="preserve">Weaknesses of </w:t>
      </w:r>
      <w:r w:rsidR="00480E19">
        <w:rPr>
          <w:rFonts w:asciiTheme="minorHAnsi" w:hAnsiTheme="minorHAnsi" w:cstheme="minorHAnsi"/>
          <w:color w:val="222222"/>
          <w:sz w:val="32"/>
          <w:szCs w:val="32"/>
          <w:highlight w:val="yellow"/>
          <w:bdr w:val="none" w:sz="0" w:space="0" w:color="auto" w:frame="1"/>
        </w:rPr>
        <w:t>TCS</w:t>
      </w:r>
    </w:p>
    <w:p w14:paraId="56BD6D7D" w14:textId="77777777" w:rsidR="00656A59" w:rsidRP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rPr>
      </w:pPr>
    </w:p>
    <w:p w14:paraId="329251ED" w14:textId="7173ECB6"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 xml:space="preserve">Weaknesses are elements of a company or brand that need to be improved. The following are </w:t>
      </w:r>
      <w:r w:rsidR="00480E19">
        <w:rPr>
          <w:rFonts w:asciiTheme="minorHAnsi" w:hAnsiTheme="minorHAnsi" w:cstheme="minorHAnsi"/>
          <w:color w:val="222222"/>
          <w:bdr w:val="none" w:sz="0" w:space="0" w:color="auto" w:frame="1"/>
        </w:rPr>
        <w:t>TCS</w:t>
      </w:r>
      <w:r w:rsidRPr="00656A59">
        <w:rPr>
          <w:rFonts w:asciiTheme="minorHAnsi" w:hAnsiTheme="minorHAnsi" w:cstheme="minorHAnsi"/>
          <w:color w:val="222222"/>
          <w:bdr w:val="none" w:sz="0" w:space="0" w:color="auto" w:frame="1"/>
        </w:rPr>
        <w:t>’s significant flaws:</w:t>
      </w:r>
    </w:p>
    <w:p w14:paraId="325DC40B"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5236B6C2" w14:textId="2684CF95" w:rsidR="00656A59" w:rsidRPr="00656A59" w:rsidRDefault="00656A59" w:rsidP="00656A59">
      <w:pPr>
        <w:numPr>
          <w:ilvl w:val="0"/>
          <w:numId w:val="8"/>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Performance of </w:t>
      </w:r>
      <w:proofErr w:type="spellStart"/>
      <w:r w:rsidRPr="004E4AB3">
        <w:rPr>
          <w:rFonts w:cstheme="minorHAnsi"/>
          <w:b/>
          <w:bCs/>
          <w:color w:val="00B050"/>
          <w:sz w:val="24"/>
          <w:szCs w:val="24"/>
          <w:bdr w:val="none" w:sz="0" w:space="0" w:color="auto" w:frame="1"/>
        </w:rPr>
        <w:t>Diligenta</w:t>
      </w:r>
      <w:proofErr w:type="spellEnd"/>
      <w:r w:rsidRPr="004E4AB3">
        <w:rPr>
          <w:rFonts w:cstheme="minorHAnsi"/>
          <w:b/>
          <w:bCs/>
          <w:color w:val="00B050"/>
          <w:sz w:val="24"/>
          <w:szCs w:val="24"/>
          <w:bdr w:val="none" w:sz="0" w:space="0" w:color="auto" w:frame="1"/>
        </w:rPr>
        <w:t xml:space="preserve"> deteriorated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w:t>
      </w:r>
      <w:proofErr w:type="spellStart"/>
      <w:r w:rsidRPr="00656A59">
        <w:rPr>
          <w:rFonts w:cstheme="minorHAnsi"/>
          <w:color w:val="222222"/>
          <w:sz w:val="24"/>
          <w:szCs w:val="24"/>
          <w:bdr w:val="none" w:sz="0" w:space="0" w:color="auto" w:frame="1"/>
        </w:rPr>
        <w:t>Diligenta</w:t>
      </w:r>
      <w:proofErr w:type="spellEnd"/>
      <w:r w:rsidRPr="00656A59">
        <w:rPr>
          <w:rFonts w:cstheme="minorHAnsi"/>
          <w:color w:val="222222"/>
          <w:sz w:val="24"/>
          <w:szCs w:val="24"/>
          <w:bdr w:val="none" w:sz="0" w:space="0" w:color="auto" w:frame="1"/>
        </w:rPr>
        <w:t xml:space="preserve">, a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subsidiary, has consistently performed poorly.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’s bottom line is unlikely to improve rapidly as a result of the enterprise’s poor performance and hence has a negative effect.</w:t>
      </w:r>
    </w:p>
    <w:p w14:paraId="180E0560" w14:textId="5A550C66" w:rsidR="00656A59" w:rsidRPr="00656A59" w:rsidRDefault="00656A59" w:rsidP="00656A59">
      <w:pPr>
        <w:numPr>
          <w:ilvl w:val="0"/>
          <w:numId w:val="9"/>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Legal Squabbles </w:t>
      </w:r>
      <w:r w:rsidRPr="00656A59">
        <w:rPr>
          <w:rFonts w:cstheme="minorHAnsi"/>
          <w:b/>
          <w:bCs/>
          <w:color w:val="222222"/>
          <w:sz w:val="24"/>
          <w:szCs w:val="24"/>
          <w:bdr w:val="none" w:sz="0" w:space="0" w:color="auto" w:frame="1"/>
        </w:rPr>
        <w:t>–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filed a lawsuit against Epic System in 2014 for suspected abuse of private information.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was found guilty in 2016 and was charged $940 </w:t>
      </w:r>
      <w:r w:rsidRPr="00656A59">
        <w:rPr>
          <w:rFonts w:cstheme="minorHAnsi"/>
          <w:color w:val="222222"/>
          <w:sz w:val="24"/>
          <w:szCs w:val="24"/>
          <w:bdr w:val="none" w:sz="0" w:space="0" w:color="auto" w:frame="1"/>
        </w:rPr>
        <w:lastRenderedPageBreak/>
        <w:t xml:space="preserve">million in damages.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objected to and rejected the higher competence’s decision. Such incidents have a negative impact on the company’s image.</w:t>
      </w:r>
    </w:p>
    <w:p w14:paraId="6CF0DFA1" w14:textId="4F5D4319" w:rsidR="00656A59" w:rsidRPr="00656A59" w:rsidRDefault="00656A59" w:rsidP="00656A59">
      <w:pPr>
        <w:numPr>
          <w:ilvl w:val="0"/>
          <w:numId w:val="9"/>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The product segment is not relatively impressive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While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does well by delivering the greatest services, its products aren’t what one would anticipate from a company of its kind. They do require some effort.</w:t>
      </w:r>
    </w:p>
    <w:p w14:paraId="6FC026AF"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399909E0" w14:textId="120A1949" w:rsid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bdr w:val="none" w:sz="0" w:space="0" w:color="auto" w:frame="1"/>
        </w:rPr>
      </w:pPr>
      <w:r w:rsidRPr="00656A59">
        <w:rPr>
          <w:rFonts w:asciiTheme="minorHAnsi" w:hAnsiTheme="minorHAnsi" w:cstheme="minorHAnsi"/>
          <w:color w:val="222222"/>
          <w:sz w:val="32"/>
          <w:szCs w:val="32"/>
          <w:bdr w:val="none" w:sz="0" w:space="0" w:color="auto" w:frame="1"/>
        </w:rPr>
        <w:t xml:space="preserve">3. </w:t>
      </w:r>
      <w:r w:rsidRPr="004E4AB3">
        <w:rPr>
          <w:rFonts w:asciiTheme="minorHAnsi" w:hAnsiTheme="minorHAnsi" w:cstheme="minorHAnsi"/>
          <w:color w:val="222222"/>
          <w:sz w:val="32"/>
          <w:szCs w:val="32"/>
          <w:highlight w:val="yellow"/>
          <w:bdr w:val="none" w:sz="0" w:space="0" w:color="auto" w:frame="1"/>
        </w:rPr>
        <w:t xml:space="preserve">Opportunities for </w:t>
      </w:r>
      <w:r w:rsidR="00480E19">
        <w:rPr>
          <w:rFonts w:asciiTheme="minorHAnsi" w:hAnsiTheme="minorHAnsi" w:cstheme="minorHAnsi"/>
          <w:color w:val="222222"/>
          <w:sz w:val="32"/>
          <w:szCs w:val="32"/>
          <w:highlight w:val="yellow"/>
          <w:bdr w:val="none" w:sz="0" w:space="0" w:color="auto" w:frame="1"/>
        </w:rPr>
        <w:t>TCS</w:t>
      </w:r>
    </w:p>
    <w:p w14:paraId="301478B7" w14:textId="77777777" w:rsidR="00656A59" w:rsidRP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rPr>
      </w:pPr>
    </w:p>
    <w:p w14:paraId="3F1CAB6B"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Opportunities are possible areas of emphasis for a firm to focus on in order to enhance outcomes, boost sales, and, eventually, profit.</w:t>
      </w:r>
    </w:p>
    <w:p w14:paraId="49E907EE"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0BE20A0F" w14:textId="3960EBB1" w:rsidR="00656A59" w:rsidRPr="00656A59" w:rsidRDefault="00656A59" w:rsidP="00656A59">
      <w:pPr>
        <w:numPr>
          <w:ilvl w:val="0"/>
          <w:numId w:val="10"/>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Emerging Interest in Cloud Computing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xml:space="preserve"> Digital technologies and high-speed internet access have evolved. In fact, spending on cloud services will rise at a CAGR of 19% over the next five years. Society is shifting towards cloud-based solutions.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has a robust cloud-based infrastructure and is thus prepared to capitalise on the created demand.</w:t>
      </w:r>
    </w:p>
    <w:p w14:paraId="79A897B2" w14:textId="3D017EBD" w:rsidR="00656A59" w:rsidRPr="00656A59" w:rsidRDefault="00656A59" w:rsidP="00656A59">
      <w:pPr>
        <w:numPr>
          <w:ilvl w:val="0"/>
          <w:numId w:val="11"/>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M2M Solutions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Wireless and cable communications systems are both enabled by Machine to Machine (M2M) solutions. There are bright possibilities for M2M solutions in the future, and revenues are projected to be substantial.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offers a comprehensive variety of M2M services, allowing the need for M2M solutions to be met.</w:t>
      </w:r>
    </w:p>
    <w:p w14:paraId="53D074FC" w14:textId="761059D4" w:rsidR="00656A59" w:rsidRPr="00656A59" w:rsidRDefault="00656A59" w:rsidP="00656A59">
      <w:pPr>
        <w:numPr>
          <w:ilvl w:val="0"/>
          <w:numId w:val="12"/>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Transformation of the Digital Universe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Because the world is becoming more digital, business forces are altering the digital economy.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’s primary goal is to digitally transform and deliver digital solutions.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could expect more expenditure on technology for digital transformation.</w:t>
      </w:r>
    </w:p>
    <w:p w14:paraId="7F24C1FB" w14:textId="4B2767D5" w:rsidR="00656A59" w:rsidRPr="00656A59" w:rsidRDefault="00656A59" w:rsidP="00656A59">
      <w:pPr>
        <w:numPr>
          <w:ilvl w:val="0"/>
          <w:numId w:val="13"/>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Solutions for mobility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xml:space="preserve"> With a rising mobile worker population and the increased usage of sophisticated mobile devices, enterprise mobility solutions are expected to be driven by business applications. The demand for mobility solutions is latent and is expected to grow at a CAGR of 24.7 per cent through 2022. </w:t>
      </w:r>
      <w:r w:rsidR="00480E19">
        <w:rPr>
          <w:rFonts w:cstheme="minorHAnsi"/>
          <w:color w:val="222222"/>
          <w:sz w:val="24"/>
          <w:szCs w:val="24"/>
          <w:bdr w:val="none" w:sz="0" w:space="0" w:color="auto" w:frame="1"/>
        </w:rPr>
        <w:t>TCS</w:t>
      </w:r>
      <w:r w:rsidRPr="00656A59">
        <w:rPr>
          <w:rFonts w:cstheme="minorHAnsi"/>
          <w:color w:val="222222"/>
          <w:sz w:val="24"/>
          <w:szCs w:val="24"/>
          <w:bdr w:val="none" w:sz="0" w:space="0" w:color="auto" w:frame="1"/>
        </w:rPr>
        <w:t xml:space="preserve"> is well-positioned to profit from its increased emphasis on the development of enterprise mobility solutions.</w:t>
      </w:r>
    </w:p>
    <w:p w14:paraId="4032C39A"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7686C9E0" w14:textId="498123E2"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p>
    <w:p w14:paraId="2BFB9BE6"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6E989467" w14:textId="115268DD" w:rsid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bdr w:val="none" w:sz="0" w:space="0" w:color="auto" w:frame="1"/>
        </w:rPr>
      </w:pPr>
      <w:r w:rsidRPr="00656A59">
        <w:rPr>
          <w:rFonts w:asciiTheme="minorHAnsi" w:hAnsiTheme="minorHAnsi" w:cstheme="minorHAnsi"/>
          <w:color w:val="222222"/>
          <w:sz w:val="32"/>
          <w:szCs w:val="32"/>
          <w:bdr w:val="none" w:sz="0" w:space="0" w:color="auto" w:frame="1"/>
        </w:rPr>
        <w:t xml:space="preserve">4. </w:t>
      </w:r>
      <w:r w:rsidRPr="004E4AB3">
        <w:rPr>
          <w:rFonts w:asciiTheme="minorHAnsi" w:hAnsiTheme="minorHAnsi" w:cstheme="minorHAnsi"/>
          <w:color w:val="222222"/>
          <w:sz w:val="32"/>
          <w:szCs w:val="32"/>
          <w:highlight w:val="yellow"/>
          <w:bdr w:val="none" w:sz="0" w:space="0" w:color="auto" w:frame="1"/>
        </w:rPr>
        <w:t xml:space="preserve">Threats to </w:t>
      </w:r>
      <w:r w:rsidR="00480E19">
        <w:rPr>
          <w:rFonts w:asciiTheme="minorHAnsi" w:hAnsiTheme="minorHAnsi" w:cstheme="minorHAnsi"/>
          <w:color w:val="222222"/>
          <w:sz w:val="32"/>
          <w:szCs w:val="32"/>
          <w:highlight w:val="yellow"/>
          <w:bdr w:val="none" w:sz="0" w:space="0" w:color="auto" w:frame="1"/>
        </w:rPr>
        <w:t>TCS</w:t>
      </w:r>
    </w:p>
    <w:p w14:paraId="1A36F807" w14:textId="77777777" w:rsidR="00656A59" w:rsidRP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rPr>
      </w:pPr>
    </w:p>
    <w:p w14:paraId="6E82290E" w14:textId="5256083B"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 xml:space="preserve">Threats are environmental elements that might have a negative impact on a company’s success. </w:t>
      </w:r>
      <w:r w:rsidR="00480E19">
        <w:rPr>
          <w:rFonts w:asciiTheme="minorHAnsi" w:hAnsiTheme="minorHAnsi" w:cstheme="minorHAnsi"/>
          <w:color w:val="222222"/>
          <w:bdr w:val="none" w:sz="0" w:space="0" w:color="auto" w:frame="1"/>
        </w:rPr>
        <w:t>TCS</w:t>
      </w:r>
      <w:r w:rsidRPr="00656A59">
        <w:rPr>
          <w:rFonts w:asciiTheme="minorHAnsi" w:hAnsiTheme="minorHAnsi" w:cstheme="minorHAnsi"/>
          <w:color w:val="222222"/>
          <w:bdr w:val="none" w:sz="0" w:space="0" w:color="auto" w:frame="1"/>
        </w:rPr>
        <w:t>’s threats include the following:</w:t>
      </w:r>
    </w:p>
    <w:p w14:paraId="126DDED2"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lastRenderedPageBreak/>
        <w:t> </w:t>
      </w:r>
    </w:p>
    <w:p w14:paraId="1C09E4F3" w14:textId="6E9AB14F" w:rsidR="00656A59" w:rsidRPr="00656A59" w:rsidRDefault="00656A59" w:rsidP="00656A59">
      <w:pPr>
        <w:numPr>
          <w:ilvl w:val="0"/>
          <w:numId w:val="14"/>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Competition is fierce </w:t>
      </w:r>
      <w:r w:rsidRPr="00656A59">
        <w:rPr>
          <w:rFonts w:cstheme="minorHAnsi"/>
          <w:b/>
          <w:bCs/>
          <w:color w:val="222222"/>
          <w:sz w:val="24"/>
          <w:szCs w:val="24"/>
          <w:bdr w:val="none" w:sz="0" w:space="0" w:color="auto" w:frame="1"/>
        </w:rPr>
        <w:t>– </w:t>
      </w:r>
      <w:r w:rsidR="00255892">
        <w:rPr>
          <w:rFonts w:cstheme="minorHAnsi"/>
          <w:color w:val="222222"/>
          <w:sz w:val="24"/>
          <w:szCs w:val="24"/>
          <w:bdr w:val="none" w:sz="0" w:space="0" w:color="auto" w:frame="1"/>
        </w:rPr>
        <w:t>Banking</w:t>
      </w:r>
      <w:r w:rsidRPr="00656A59">
        <w:rPr>
          <w:rFonts w:cstheme="minorHAnsi"/>
          <w:color w:val="222222"/>
          <w:sz w:val="24"/>
          <w:szCs w:val="24"/>
          <w:bdr w:val="none" w:sz="0" w:space="0" w:color="auto" w:frame="1"/>
        </w:rPr>
        <w:t xml:space="preserve"> firms such as </w:t>
      </w:r>
      <w:r w:rsidR="00255892">
        <w:rPr>
          <w:rFonts w:cstheme="minorHAnsi"/>
          <w:color w:val="222222"/>
          <w:sz w:val="24"/>
          <w:szCs w:val="24"/>
          <w:bdr w:val="none" w:sz="0" w:space="0" w:color="auto" w:frame="1"/>
        </w:rPr>
        <w:t xml:space="preserve">SBI, PNB, ICICI, HDFC, Kotak Mahindra Bank </w:t>
      </w:r>
      <w:r w:rsidRPr="00656A59">
        <w:rPr>
          <w:rFonts w:cstheme="minorHAnsi"/>
          <w:color w:val="222222"/>
          <w:sz w:val="24"/>
          <w:szCs w:val="24"/>
          <w:bdr w:val="none" w:sz="0" w:space="0" w:color="auto" w:frame="1"/>
        </w:rPr>
        <w:t>and others confront fierce rivalry. As a result, the industry is experiencing price wars and has a restricted market share.</w:t>
      </w:r>
    </w:p>
    <w:p w14:paraId="42A0FCC5" w14:textId="097B2D6D" w:rsidR="00656A59" w:rsidRPr="00656A59" w:rsidRDefault="00656A59" w:rsidP="00656A59">
      <w:pPr>
        <w:numPr>
          <w:ilvl w:val="0"/>
          <w:numId w:val="15"/>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A high rate of attrition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The Indian </w:t>
      </w:r>
      <w:r w:rsidR="00255892">
        <w:rPr>
          <w:rFonts w:cstheme="minorHAnsi"/>
          <w:color w:val="222222"/>
          <w:sz w:val="24"/>
          <w:szCs w:val="24"/>
          <w:bdr w:val="none" w:sz="0" w:space="0" w:color="auto" w:frame="1"/>
        </w:rPr>
        <w:t>banking</w:t>
      </w:r>
      <w:r w:rsidRPr="00656A59">
        <w:rPr>
          <w:rFonts w:cstheme="minorHAnsi"/>
          <w:color w:val="222222"/>
          <w:sz w:val="24"/>
          <w:szCs w:val="24"/>
          <w:bdr w:val="none" w:sz="0" w:space="0" w:color="auto" w:frame="1"/>
        </w:rPr>
        <w:t xml:space="preserve"> sector has a high rate of turnover, which raises the expense of providing new workers with skills and leadership development and has a negative impact on the company’s reputation.</w:t>
      </w:r>
    </w:p>
    <w:p w14:paraId="350DD7C6" w14:textId="295E7795" w:rsidR="00656A59" w:rsidRPr="00656A59" w:rsidRDefault="00656A59" w:rsidP="00656A59">
      <w:pPr>
        <w:numPr>
          <w:ilvl w:val="0"/>
          <w:numId w:val="16"/>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The Constraints on Immigration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With immigration regulations, increasing H-1B visa fees, and changing political situations in the US, Indian </w:t>
      </w:r>
      <w:r w:rsidR="00445518">
        <w:rPr>
          <w:rFonts w:cstheme="minorHAnsi"/>
          <w:color w:val="222222"/>
          <w:sz w:val="24"/>
          <w:szCs w:val="24"/>
          <w:bdr w:val="none" w:sz="0" w:space="0" w:color="auto" w:frame="1"/>
        </w:rPr>
        <w:t>banks</w:t>
      </w:r>
      <w:r w:rsidRPr="00656A59">
        <w:rPr>
          <w:rFonts w:cstheme="minorHAnsi"/>
          <w:color w:val="222222"/>
          <w:sz w:val="24"/>
          <w:szCs w:val="24"/>
          <w:bdr w:val="none" w:sz="0" w:space="0" w:color="auto" w:frame="1"/>
        </w:rPr>
        <w:t xml:space="preserve"> are anticipated to suffer as they increase their costs and damage profitability, posing a risk to the sector.</w:t>
      </w:r>
    </w:p>
    <w:p w14:paraId="1315CA2E" w14:textId="1B7A8CDF" w:rsid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477AFDB6" w14:textId="5686767D" w:rsidR="00C0347E" w:rsidRPr="00043EC9" w:rsidRDefault="00C0347E" w:rsidP="00656A59">
      <w:pPr>
        <w:pStyle w:val="NormalWeb"/>
        <w:spacing w:before="0" w:beforeAutospacing="0" w:after="0" w:afterAutospacing="0"/>
        <w:textAlignment w:val="baseline"/>
        <w:rPr>
          <w:rFonts w:ascii="Roboto" w:hAnsi="Roboto"/>
          <w:color w:val="FF0000"/>
          <w:sz w:val="27"/>
          <w:szCs w:val="27"/>
          <w:u w:val="single"/>
          <w:shd w:val="clear" w:color="auto" w:fill="FFFFFF"/>
        </w:rPr>
      </w:pPr>
      <w:r w:rsidRPr="00043EC9">
        <w:rPr>
          <w:rFonts w:ascii="Roboto" w:hAnsi="Roboto"/>
          <w:color w:val="FF0000"/>
          <w:sz w:val="27"/>
          <w:szCs w:val="27"/>
          <w:u w:val="single"/>
          <w:shd w:val="clear" w:color="auto" w:fill="FFFFFF"/>
        </w:rPr>
        <w:t>Competitive Analysis:</w:t>
      </w:r>
    </w:p>
    <w:p w14:paraId="7F7C7498" w14:textId="10D12F90" w:rsidR="00C0347E" w:rsidRPr="00043EC9" w:rsidRDefault="00C0347E" w:rsidP="00656A59">
      <w:pPr>
        <w:pStyle w:val="NormalWeb"/>
        <w:spacing w:before="0" w:beforeAutospacing="0" w:after="0" w:afterAutospacing="0"/>
        <w:textAlignment w:val="baseline"/>
        <w:rPr>
          <w:rFonts w:asciiTheme="minorHAnsi" w:hAnsiTheme="minorHAnsi" w:cstheme="minorHAnsi"/>
          <w:color w:val="222222"/>
          <w:bdr w:val="none" w:sz="0" w:space="0" w:color="auto" w:frame="1"/>
        </w:rPr>
      </w:pPr>
      <w:r w:rsidRPr="00043EC9">
        <w:rPr>
          <w:rFonts w:asciiTheme="minorHAnsi" w:hAnsiTheme="minorHAnsi" w:cstheme="minorHAnsi"/>
          <w:color w:val="222222"/>
          <w:bdr w:val="none" w:sz="0" w:space="0" w:color="auto" w:frame="1"/>
        </w:rPr>
        <w:t>IT firms such as Infosys, Wipro, Capgemini, Deloitte, Accenture, and others confront fierce rivalry, which results in restricted market shares and price wars between the same companies.</w:t>
      </w:r>
    </w:p>
    <w:p w14:paraId="295EA343" w14:textId="1AE3A03B" w:rsidR="00C0347E" w:rsidRDefault="00C0347E" w:rsidP="00656A59">
      <w:pPr>
        <w:pStyle w:val="NormalWeb"/>
        <w:spacing w:before="0" w:beforeAutospacing="0" w:after="0" w:afterAutospacing="0"/>
        <w:textAlignment w:val="baseline"/>
        <w:rPr>
          <w:rFonts w:cstheme="minorHAnsi"/>
          <w:color w:val="222222"/>
          <w:bdr w:val="none" w:sz="0" w:space="0" w:color="auto" w:frame="1"/>
        </w:rPr>
      </w:pPr>
      <w:proofErr w:type="gramStart"/>
      <w:r w:rsidRPr="00043EC9">
        <w:rPr>
          <w:rFonts w:asciiTheme="minorHAnsi" w:hAnsiTheme="minorHAnsi" w:cstheme="minorHAnsi"/>
          <w:color w:val="222222"/>
          <w:bdr w:val="none" w:sz="0" w:space="0" w:color="auto" w:frame="1"/>
        </w:rPr>
        <w:t>Also</w:t>
      </w:r>
      <w:proofErr w:type="gramEnd"/>
      <w:r w:rsidRPr="00043EC9">
        <w:rPr>
          <w:rFonts w:asciiTheme="minorHAnsi" w:hAnsiTheme="minorHAnsi" w:cstheme="minorHAnsi"/>
          <w:color w:val="222222"/>
          <w:bdr w:val="none" w:sz="0" w:space="0" w:color="auto" w:frame="1"/>
        </w:rPr>
        <w:t xml:space="preserve"> with large MNC’s trying to expand into Indian Technological markets such as Google and Microsoft, it makes it rough competing in the same market levels resulting in inflations/deflation of share prices, brand products and availability of resources to the customers</w:t>
      </w:r>
      <w:r>
        <w:rPr>
          <w:rFonts w:cstheme="minorHAnsi"/>
          <w:color w:val="222222"/>
          <w:bdr w:val="none" w:sz="0" w:space="0" w:color="auto" w:frame="1"/>
        </w:rPr>
        <w:t>.</w:t>
      </w:r>
    </w:p>
    <w:p w14:paraId="2986CAE8" w14:textId="77777777" w:rsidR="00043EC9" w:rsidRDefault="00043EC9" w:rsidP="00656A59">
      <w:pPr>
        <w:pStyle w:val="NormalWeb"/>
        <w:spacing w:before="0" w:beforeAutospacing="0" w:after="0" w:afterAutospacing="0"/>
        <w:textAlignment w:val="baseline"/>
        <w:rPr>
          <w:rFonts w:asciiTheme="minorHAnsi" w:hAnsiTheme="minorHAnsi" w:cstheme="minorHAnsi"/>
          <w:color w:val="222222"/>
        </w:rPr>
      </w:pPr>
    </w:p>
    <w:p w14:paraId="45F9FF95" w14:textId="77777777" w:rsidR="00656A59" w:rsidRPr="00043EC9" w:rsidRDefault="00656A59" w:rsidP="00656A59">
      <w:pPr>
        <w:pStyle w:val="Heading2"/>
        <w:spacing w:before="0" w:line="240" w:lineRule="atLeast"/>
        <w:textAlignment w:val="baseline"/>
        <w:rPr>
          <w:rFonts w:asciiTheme="minorHAnsi" w:hAnsiTheme="minorHAnsi" w:cstheme="minorHAnsi"/>
          <w:b/>
          <w:bCs/>
          <w:color w:val="FF0000"/>
          <w:sz w:val="32"/>
          <w:szCs w:val="32"/>
          <w:u w:val="single"/>
        </w:rPr>
      </w:pPr>
      <w:r w:rsidRPr="00043EC9">
        <w:rPr>
          <w:rFonts w:asciiTheme="minorHAnsi" w:hAnsiTheme="minorHAnsi" w:cstheme="minorHAnsi"/>
          <w:b/>
          <w:bCs/>
          <w:color w:val="FF0000"/>
          <w:sz w:val="32"/>
          <w:szCs w:val="32"/>
          <w:u w:val="single"/>
          <w:bdr w:val="none" w:sz="0" w:space="0" w:color="auto" w:frame="1"/>
        </w:rPr>
        <w:t>Conclusion</w:t>
      </w:r>
    </w:p>
    <w:p w14:paraId="22CECBCD"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726D34B0" w14:textId="32BAF677" w:rsidR="00656A59" w:rsidRPr="00656A59" w:rsidRDefault="00480E19" w:rsidP="00656A59">
      <w:pPr>
        <w:pStyle w:val="NormalWeb"/>
        <w:spacing w:before="0" w:beforeAutospacing="0" w:after="0" w:afterAutospacing="0"/>
        <w:textAlignment w:val="baseline"/>
        <w:rPr>
          <w:rFonts w:asciiTheme="minorHAnsi" w:hAnsiTheme="minorHAnsi" w:cstheme="minorHAnsi"/>
          <w:color w:val="222222"/>
        </w:rPr>
      </w:pPr>
      <w:r>
        <w:rPr>
          <w:rFonts w:asciiTheme="minorHAnsi" w:hAnsiTheme="minorHAnsi" w:cstheme="minorHAnsi"/>
          <w:color w:val="222222"/>
          <w:bdr w:val="none" w:sz="0" w:space="0" w:color="auto" w:frame="1"/>
        </w:rPr>
        <w:t>TCS</w:t>
      </w:r>
      <w:r w:rsidR="00656A59" w:rsidRPr="00656A59">
        <w:rPr>
          <w:rFonts w:asciiTheme="minorHAnsi" w:hAnsiTheme="minorHAnsi" w:cstheme="minorHAnsi"/>
          <w:color w:val="222222"/>
          <w:bdr w:val="none" w:sz="0" w:space="0" w:color="auto" w:frame="1"/>
        </w:rPr>
        <w:t xml:space="preserve"> is unquestionably the best in its industry. It has numerous and noteworthy strengths. For a company like </w:t>
      </w:r>
      <w:r>
        <w:rPr>
          <w:rFonts w:asciiTheme="minorHAnsi" w:hAnsiTheme="minorHAnsi" w:cstheme="minorHAnsi"/>
          <w:color w:val="222222"/>
          <w:bdr w:val="none" w:sz="0" w:space="0" w:color="auto" w:frame="1"/>
        </w:rPr>
        <w:t>TCS</w:t>
      </w:r>
      <w:r w:rsidR="00656A59" w:rsidRPr="00656A59">
        <w:rPr>
          <w:rFonts w:asciiTheme="minorHAnsi" w:hAnsiTheme="minorHAnsi" w:cstheme="minorHAnsi"/>
          <w:color w:val="222222"/>
          <w:bdr w:val="none" w:sz="0" w:space="0" w:color="auto" w:frame="1"/>
        </w:rPr>
        <w:t xml:space="preserve"> with such a great brand image, brand backing, market command, portfolio, reach, and so on, it needs just a little more work to address its weaknesses and be more alert to threats. If </w:t>
      </w:r>
      <w:r>
        <w:rPr>
          <w:rFonts w:asciiTheme="minorHAnsi" w:hAnsiTheme="minorHAnsi" w:cstheme="minorHAnsi"/>
          <w:color w:val="222222"/>
          <w:bdr w:val="none" w:sz="0" w:space="0" w:color="auto" w:frame="1"/>
        </w:rPr>
        <w:t>TCS</w:t>
      </w:r>
      <w:r w:rsidR="00656A59" w:rsidRPr="00656A59">
        <w:rPr>
          <w:rFonts w:asciiTheme="minorHAnsi" w:hAnsiTheme="minorHAnsi" w:cstheme="minorHAnsi"/>
          <w:color w:val="222222"/>
          <w:bdr w:val="none" w:sz="0" w:space="0" w:color="auto" w:frame="1"/>
        </w:rPr>
        <w:t xml:space="preserve"> pays more attention to its strengths and expands as well as adjusts even further for new opportunities, </w:t>
      </w:r>
      <w:r>
        <w:rPr>
          <w:rFonts w:asciiTheme="minorHAnsi" w:hAnsiTheme="minorHAnsi" w:cstheme="minorHAnsi"/>
          <w:color w:val="222222"/>
          <w:bdr w:val="none" w:sz="0" w:space="0" w:color="auto" w:frame="1"/>
        </w:rPr>
        <w:t>TCS</w:t>
      </w:r>
      <w:r w:rsidR="00656A59" w:rsidRPr="00656A59">
        <w:rPr>
          <w:rFonts w:asciiTheme="minorHAnsi" w:hAnsiTheme="minorHAnsi" w:cstheme="minorHAnsi"/>
          <w:color w:val="222222"/>
          <w:bdr w:val="none" w:sz="0" w:space="0" w:color="auto" w:frame="1"/>
        </w:rPr>
        <w:t xml:space="preserve"> will be able to keep its crown.</w:t>
      </w:r>
    </w:p>
    <w:p w14:paraId="628B2D23" w14:textId="691F82A4"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 xml:space="preserve">We also discovered in this SWOT Analysis of </w:t>
      </w:r>
      <w:r w:rsidR="00480E19">
        <w:rPr>
          <w:rFonts w:asciiTheme="minorHAnsi" w:hAnsiTheme="minorHAnsi" w:cstheme="minorHAnsi"/>
          <w:color w:val="222222"/>
          <w:bdr w:val="none" w:sz="0" w:space="0" w:color="auto" w:frame="1"/>
        </w:rPr>
        <w:t>TCS</w:t>
      </w:r>
      <w:r w:rsidRPr="00656A59">
        <w:rPr>
          <w:rFonts w:asciiTheme="minorHAnsi" w:hAnsiTheme="minorHAnsi" w:cstheme="minorHAnsi"/>
          <w:color w:val="222222"/>
          <w:bdr w:val="none" w:sz="0" w:space="0" w:color="auto" w:frame="1"/>
        </w:rPr>
        <w:t xml:space="preserve"> that the firm is significantly reliant on its customers and has great brand recognition and trust. Considering the rising competition in a competitive field like IT, firms have to compete for their customers through improved marketing efforts. </w:t>
      </w:r>
    </w:p>
    <w:p w14:paraId="52E6A4B4" w14:textId="2FB8CEEB" w:rsidR="00656A59" w:rsidRPr="00656A59" w:rsidRDefault="00656A59" w:rsidP="00A91BFA">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Qualifying for the required Digital Marketing abilities and completing Certified Courses may lead to job chances with major tech organisations such as Accenture</w:t>
      </w:r>
      <w:r w:rsidR="00A91BFA">
        <w:rPr>
          <w:rFonts w:asciiTheme="minorHAnsi" w:hAnsiTheme="minorHAnsi" w:cstheme="minorHAnsi"/>
          <w:color w:val="222222"/>
          <w:bdr w:val="none" w:sz="0" w:space="0" w:color="auto" w:frame="1"/>
        </w:rPr>
        <w:t>.</w:t>
      </w:r>
    </w:p>
    <w:p w14:paraId="32144FAD" w14:textId="77777777" w:rsidR="00656A59" w:rsidRPr="00656A59" w:rsidRDefault="00656A59">
      <w:pPr>
        <w:rPr>
          <w:rFonts w:cstheme="minorHAnsi"/>
          <w:b/>
          <w:bCs/>
          <w:color w:val="000000"/>
          <w:spacing w:val="-2"/>
          <w:sz w:val="24"/>
          <w:szCs w:val="24"/>
          <w:bdr w:val="none" w:sz="0" w:space="0" w:color="auto" w:frame="1"/>
          <w:shd w:val="clear" w:color="auto" w:fill="FFFFFF"/>
        </w:rPr>
      </w:pPr>
    </w:p>
    <w:sectPr w:rsidR="00656A59" w:rsidRPr="00656A59" w:rsidSect="00B27F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Bold_t_2">
    <w:altName w:val="Calibri"/>
    <w:panose1 w:val="00000000000000000000"/>
    <w:charset w:val="00"/>
    <w:family w:val="roman"/>
    <w:notTrueType/>
    <w:pitch w:val="default"/>
  </w:font>
  <w:font w:name="Calibri_r_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C22"/>
    <w:multiLevelType w:val="multilevel"/>
    <w:tmpl w:val="ED92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96CF1"/>
    <w:multiLevelType w:val="multilevel"/>
    <w:tmpl w:val="582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E78AF"/>
    <w:multiLevelType w:val="hybridMultilevel"/>
    <w:tmpl w:val="988EF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BB5FB5"/>
    <w:multiLevelType w:val="multilevel"/>
    <w:tmpl w:val="E8E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E0320"/>
    <w:multiLevelType w:val="multilevel"/>
    <w:tmpl w:val="2FDA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509C8"/>
    <w:multiLevelType w:val="multilevel"/>
    <w:tmpl w:val="C70E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0F29E8"/>
    <w:multiLevelType w:val="multilevel"/>
    <w:tmpl w:val="C56A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DB0F84"/>
    <w:multiLevelType w:val="multilevel"/>
    <w:tmpl w:val="D01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6263A4"/>
    <w:multiLevelType w:val="multilevel"/>
    <w:tmpl w:val="9308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CC5228"/>
    <w:multiLevelType w:val="multilevel"/>
    <w:tmpl w:val="364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FB5A0A"/>
    <w:multiLevelType w:val="multilevel"/>
    <w:tmpl w:val="0C9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7B5B88"/>
    <w:multiLevelType w:val="multilevel"/>
    <w:tmpl w:val="92D2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4A3E1F"/>
    <w:multiLevelType w:val="multilevel"/>
    <w:tmpl w:val="E26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A449BF"/>
    <w:multiLevelType w:val="multilevel"/>
    <w:tmpl w:val="BB6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C86524"/>
    <w:multiLevelType w:val="multilevel"/>
    <w:tmpl w:val="C72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475C65"/>
    <w:multiLevelType w:val="multilevel"/>
    <w:tmpl w:val="AD84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597084"/>
    <w:multiLevelType w:val="multilevel"/>
    <w:tmpl w:val="81B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064E86"/>
    <w:multiLevelType w:val="multilevel"/>
    <w:tmpl w:val="66FC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5721">
    <w:abstractNumId w:val="5"/>
  </w:num>
  <w:num w:numId="2" w16cid:durableId="1888294453">
    <w:abstractNumId w:val="10"/>
  </w:num>
  <w:num w:numId="3" w16cid:durableId="721487842">
    <w:abstractNumId w:val="9"/>
  </w:num>
  <w:num w:numId="4" w16cid:durableId="1416975147">
    <w:abstractNumId w:val="15"/>
  </w:num>
  <w:num w:numId="5" w16cid:durableId="1848905144">
    <w:abstractNumId w:val="3"/>
  </w:num>
  <w:num w:numId="6" w16cid:durableId="652760272">
    <w:abstractNumId w:val="17"/>
  </w:num>
  <w:num w:numId="7" w16cid:durableId="66270599">
    <w:abstractNumId w:val="0"/>
  </w:num>
  <w:num w:numId="8" w16cid:durableId="998076610">
    <w:abstractNumId w:val="1"/>
  </w:num>
  <w:num w:numId="9" w16cid:durableId="41757015">
    <w:abstractNumId w:val="7"/>
  </w:num>
  <w:num w:numId="10" w16cid:durableId="1365248077">
    <w:abstractNumId w:val="12"/>
  </w:num>
  <w:num w:numId="11" w16cid:durableId="817845707">
    <w:abstractNumId w:val="13"/>
  </w:num>
  <w:num w:numId="12" w16cid:durableId="1509104160">
    <w:abstractNumId w:val="11"/>
  </w:num>
  <w:num w:numId="13" w16cid:durableId="1104958039">
    <w:abstractNumId w:val="8"/>
  </w:num>
  <w:num w:numId="14" w16cid:durableId="1529296915">
    <w:abstractNumId w:val="14"/>
  </w:num>
  <w:num w:numId="15" w16cid:durableId="1604924272">
    <w:abstractNumId w:val="16"/>
  </w:num>
  <w:num w:numId="16" w16cid:durableId="1450392908">
    <w:abstractNumId w:val="6"/>
  </w:num>
  <w:num w:numId="17" w16cid:durableId="1859545511">
    <w:abstractNumId w:val="2"/>
  </w:num>
  <w:num w:numId="18" w16cid:durableId="750473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15"/>
    <w:rsid w:val="00043EC9"/>
    <w:rsid w:val="00065A6A"/>
    <w:rsid w:val="00072BB8"/>
    <w:rsid w:val="00255892"/>
    <w:rsid w:val="004354D2"/>
    <w:rsid w:val="00445518"/>
    <w:rsid w:val="00480E19"/>
    <w:rsid w:val="0049020A"/>
    <w:rsid w:val="004E4AB3"/>
    <w:rsid w:val="00623915"/>
    <w:rsid w:val="00656A59"/>
    <w:rsid w:val="007A6953"/>
    <w:rsid w:val="00816933"/>
    <w:rsid w:val="008E4F5D"/>
    <w:rsid w:val="00A91BFA"/>
    <w:rsid w:val="00AB39BE"/>
    <w:rsid w:val="00B27F29"/>
    <w:rsid w:val="00C0347E"/>
    <w:rsid w:val="00C747E2"/>
    <w:rsid w:val="00CC559C"/>
    <w:rsid w:val="00E03EAD"/>
    <w:rsid w:val="00E15318"/>
    <w:rsid w:val="00E935F5"/>
    <w:rsid w:val="00F52F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4D33"/>
  <w15:chartTrackingRefBased/>
  <w15:docId w15:val="{98BDA620-D9A5-4624-AFF9-63A178F3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6A5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B39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623915"/>
  </w:style>
  <w:style w:type="character" w:customStyle="1" w:styleId="Heading3Char">
    <w:name w:val="Heading 3 Char"/>
    <w:basedOn w:val="DefaultParagraphFont"/>
    <w:link w:val="Heading3"/>
    <w:uiPriority w:val="9"/>
    <w:rsid w:val="00656A59"/>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656A5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semiHidden/>
    <w:rsid w:val="00656A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56A59"/>
    <w:rPr>
      <w:color w:val="0000FF"/>
      <w:u w:val="single"/>
    </w:rPr>
  </w:style>
  <w:style w:type="character" w:customStyle="1" w:styleId="Heading4Char">
    <w:name w:val="Heading 4 Char"/>
    <w:basedOn w:val="DefaultParagraphFont"/>
    <w:link w:val="Heading4"/>
    <w:uiPriority w:val="9"/>
    <w:semiHidden/>
    <w:rsid w:val="00AB39BE"/>
    <w:rPr>
      <w:rFonts w:asciiTheme="majorHAnsi" w:eastAsiaTheme="majorEastAsia" w:hAnsiTheme="majorHAnsi" w:cstheme="majorBidi"/>
      <w:i/>
      <w:iCs/>
      <w:color w:val="2F5496" w:themeColor="accent1" w:themeShade="BF"/>
    </w:rPr>
  </w:style>
  <w:style w:type="paragraph" w:customStyle="1" w:styleId="selected">
    <w:name w:val="selected"/>
    <w:basedOn w:val="Normal"/>
    <w:rsid w:val="00AB39B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Spacing">
    <w:name w:val="No Spacing"/>
    <w:link w:val="NoSpacingChar"/>
    <w:uiPriority w:val="1"/>
    <w:qFormat/>
    <w:rsid w:val="00B27F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7F2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4870">
      <w:bodyDiv w:val="1"/>
      <w:marLeft w:val="0"/>
      <w:marRight w:val="0"/>
      <w:marTop w:val="0"/>
      <w:marBottom w:val="0"/>
      <w:divBdr>
        <w:top w:val="none" w:sz="0" w:space="0" w:color="auto"/>
        <w:left w:val="none" w:sz="0" w:space="0" w:color="auto"/>
        <w:bottom w:val="none" w:sz="0" w:space="0" w:color="auto"/>
        <w:right w:val="none" w:sz="0" w:space="0" w:color="auto"/>
      </w:divBdr>
    </w:div>
    <w:div w:id="610742668">
      <w:bodyDiv w:val="1"/>
      <w:marLeft w:val="0"/>
      <w:marRight w:val="0"/>
      <w:marTop w:val="0"/>
      <w:marBottom w:val="0"/>
      <w:divBdr>
        <w:top w:val="none" w:sz="0" w:space="0" w:color="auto"/>
        <w:left w:val="none" w:sz="0" w:space="0" w:color="auto"/>
        <w:bottom w:val="none" w:sz="0" w:space="0" w:color="auto"/>
        <w:right w:val="none" w:sz="0" w:space="0" w:color="auto"/>
      </w:divBdr>
    </w:div>
    <w:div w:id="751244625">
      <w:bodyDiv w:val="1"/>
      <w:marLeft w:val="0"/>
      <w:marRight w:val="0"/>
      <w:marTop w:val="0"/>
      <w:marBottom w:val="0"/>
      <w:divBdr>
        <w:top w:val="none" w:sz="0" w:space="0" w:color="auto"/>
        <w:left w:val="none" w:sz="0" w:space="0" w:color="auto"/>
        <w:bottom w:val="none" w:sz="0" w:space="0" w:color="auto"/>
        <w:right w:val="none" w:sz="0" w:space="0" w:color="auto"/>
      </w:divBdr>
    </w:div>
    <w:div w:id="934292677">
      <w:bodyDiv w:val="1"/>
      <w:marLeft w:val="0"/>
      <w:marRight w:val="0"/>
      <w:marTop w:val="0"/>
      <w:marBottom w:val="0"/>
      <w:divBdr>
        <w:top w:val="none" w:sz="0" w:space="0" w:color="auto"/>
        <w:left w:val="none" w:sz="0" w:space="0" w:color="auto"/>
        <w:bottom w:val="none" w:sz="0" w:space="0" w:color="auto"/>
        <w:right w:val="none" w:sz="0" w:space="0" w:color="auto"/>
      </w:divBdr>
      <w:divsChild>
        <w:div w:id="1639609217">
          <w:marLeft w:val="0"/>
          <w:marRight w:val="0"/>
          <w:marTop w:val="0"/>
          <w:marBottom w:val="446"/>
          <w:divBdr>
            <w:top w:val="none" w:sz="0" w:space="0" w:color="auto"/>
            <w:left w:val="none" w:sz="0" w:space="0" w:color="auto"/>
            <w:bottom w:val="none" w:sz="0" w:space="0" w:color="auto"/>
            <w:right w:val="none" w:sz="0" w:space="0" w:color="auto"/>
          </w:divBdr>
          <w:divsChild>
            <w:div w:id="681207524">
              <w:marLeft w:val="0"/>
              <w:marRight w:val="0"/>
              <w:marTop w:val="0"/>
              <w:marBottom w:val="0"/>
              <w:divBdr>
                <w:top w:val="none" w:sz="0" w:space="0" w:color="auto"/>
                <w:left w:val="none" w:sz="0" w:space="0" w:color="auto"/>
                <w:bottom w:val="none" w:sz="0" w:space="0" w:color="auto"/>
                <w:right w:val="none" w:sz="0" w:space="0" w:color="auto"/>
              </w:divBdr>
            </w:div>
          </w:divsChild>
        </w:div>
        <w:div w:id="97264954">
          <w:marLeft w:val="0"/>
          <w:marRight w:val="0"/>
          <w:marTop w:val="0"/>
          <w:marBottom w:val="446"/>
          <w:divBdr>
            <w:top w:val="none" w:sz="0" w:space="0" w:color="auto"/>
            <w:left w:val="none" w:sz="0" w:space="0" w:color="auto"/>
            <w:bottom w:val="none" w:sz="0" w:space="0" w:color="auto"/>
            <w:right w:val="none" w:sz="0" w:space="0" w:color="auto"/>
          </w:divBdr>
          <w:divsChild>
            <w:div w:id="14941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6247">
      <w:bodyDiv w:val="1"/>
      <w:marLeft w:val="0"/>
      <w:marRight w:val="0"/>
      <w:marTop w:val="0"/>
      <w:marBottom w:val="0"/>
      <w:divBdr>
        <w:top w:val="none" w:sz="0" w:space="0" w:color="auto"/>
        <w:left w:val="none" w:sz="0" w:space="0" w:color="auto"/>
        <w:bottom w:val="none" w:sz="0" w:space="0" w:color="auto"/>
        <w:right w:val="none" w:sz="0" w:space="0" w:color="auto"/>
      </w:divBdr>
    </w:div>
    <w:div w:id="1235161559">
      <w:bodyDiv w:val="1"/>
      <w:marLeft w:val="0"/>
      <w:marRight w:val="0"/>
      <w:marTop w:val="0"/>
      <w:marBottom w:val="0"/>
      <w:divBdr>
        <w:top w:val="none" w:sz="0" w:space="0" w:color="auto"/>
        <w:left w:val="none" w:sz="0" w:space="0" w:color="auto"/>
        <w:bottom w:val="none" w:sz="0" w:space="0" w:color="auto"/>
        <w:right w:val="none" w:sz="0" w:space="0" w:color="auto"/>
      </w:divBdr>
    </w:div>
    <w:div w:id="1535074722">
      <w:bodyDiv w:val="1"/>
      <w:marLeft w:val="0"/>
      <w:marRight w:val="0"/>
      <w:marTop w:val="0"/>
      <w:marBottom w:val="0"/>
      <w:divBdr>
        <w:top w:val="none" w:sz="0" w:space="0" w:color="auto"/>
        <w:left w:val="none" w:sz="0" w:space="0" w:color="auto"/>
        <w:bottom w:val="none" w:sz="0" w:space="0" w:color="auto"/>
        <w:right w:val="none" w:sz="0" w:space="0" w:color="auto"/>
      </w:divBdr>
      <w:divsChild>
        <w:div w:id="1721394306">
          <w:marLeft w:val="0"/>
          <w:marRight w:val="0"/>
          <w:marTop w:val="0"/>
          <w:marBottom w:val="0"/>
          <w:divBdr>
            <w:top w:val="none" w:sz="0" w:space="0" w:color="auto"/>
            <w:left w:val="none" w:sz="0" w:space="0" w:color="auto"/>
            <w:bottom w:val="none" w:sz="0" w:space="0" w:color="auto"/>
            <w:right w:val="none" w:sz="0" w:space="0" w:color="auto"/>
          </w:divBdr>
        </w:div>
        <w:div w:id="2013532577">
          <w:marLeft w:val="0"/>
          <w:marRight w:val="0"/>
          <w:marTop w:val="0"/>
          <w:marBottom w:val="0"/>
          <w:divBdr>
            <w:top w:val="none" w:sz="0" w:space="0" w:color="auto"/>
            <w:left w:val="none" w:sz="0" w:space="0" w:color="auto"/>
            <w:bottom w:val="none" w:sz="0" w:space="0" w:color="auto"/>
            <w:right w:val="none" w:sz="0" w:space="0" w:color="auto"/>
          </w:divBdr>
        </w:div>
        <w:div w:id="1787503563">
          <w:marLeft w:val="0"/>
          <w:marRight w:val="0"/>
          <w:marTop w:val="0"/>
          <w:marBottom w:val="0"/>
          <w:divBdr>
            <w:top w:val="none" w:sz="0" w:space="0" w:color="auto"/>
            <w:left w:val="none" w:sz="0" w:space="0" w:color="auto"/>
            <w:bottom w:val="none" w:sz="0" w:space="0" w:color="auto"/>
            <w:right w:val="none" w:sz="0" w:space="0" w:color="auto"/>
          </w:divBdr>
        </w:div>
        <w:div w:id="661356420">
          <w:marLeft w:val="0"/>
          <w:marRight w:val="0"/>
          <w:marTop w:val="0"/>
          <w:marBottom w:val="0"/>
          <w:divBdr>
            <w:top w:val="none" w:sz="0" w:space="0" w:color="auto"/>
            <w:left w:val="none" w:sz="0" w:space="0" w:color="auto"/>
            <w:bottom w:val="none" w:sz="0" w:space="0" w:color="auto"/>
            <w:right w:val="none" w:sz="0" w:space="0" w:color="auto"/>
          </w:divBdr>
        </w:div>
        <w:div w:id="682317859">
          <w:marLeft w:val="0"/>
          <w:marRight w:val="0"/>
          <w:marTop w:val="0"/>
          <w:marBottom w:val="0"/>
          <w:divBdr>
            <w:top w:val="none" w:sz="0" w:space="0" w:color="auto"/>
            <w:left w:val="none" w:sz="0" w:space="0" w:color="auto"/>
            <w:bottom w:val="none" w:sz="0" w:space="0" w:color="auto"/>
            <w:right w:val="none" w:sz="0" w:space="0" w:color="auto"/>
          </w:divBdr>
        </w:div>
        <w:div w:id="1492408407">
          <w:marLeft w:val="0"/>
          <w:marRight w:val="0"/>
          <w:marTop w:val="0"/>
          <w:marBottom w:val="0"/>
          <w:divBdr>
            <w:top w:val="none" w:sz="0" w:space="0" w:color="auto"/>
            <w:left w:val="none" w:sz="0" w:space="0" w:color="auto"/>
            <w:bottom w:val="none" w:sz="0" w:space="0" w:color="auto"/>
            <w:right w:val="none" w:sz="0" w:space="0" w:color="auto"/>
          </w:divBdr>
        </w:div>
        <w:div w:id="826824554">
          <w:marLeft w:val="0"/>
          <w:marRight w:val="0"/>
          <w:marTop w:val="0"/>
          <w:marBottom w:val="0"/>
          <w:divBdr>
            <w:top w:val="none" w:sz="0" w:space="0" w:color="auto"/>
            <w:left w:val="none" w:sz="0" w:space="0" w:color="auto"/>
            <w:bottom w:val="none" w:sz="0" w:space="0" w:color="auto"/>
            <w:right w:val="none" w:sz="0" w:space="0" w:color="auto"/>
          </w:divBdr>
        </w:div>
        <w:div w:id="771509362">
          <w:marLeft w:val="0"/>
          <w:marRight w:val="0"/>
          <w:marTop w:val="0"/>
          <w:marBottom w:val="0"/>
          <w:divBdr>
            <w:top w:val="none" w:sz="0" w:space="0" w:color="auto"/>
            <w:left w:val="none" w:sz="0" w:space="0" w:color="auto"/>
            <w:bottom w:val="none" w:sz="0" w:space="0" w:color="auto"/>
            <w:right w:val="none" w:sz="0" w:space="0" w:color="auto"/>
          </w:divBdr>
        </w:div>
        <w:div w:id="1421564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Share Holders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38-4628-A2AD-1668A0FA4DB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38-4628-A2AD-1668A0FA4DB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38-4628-A2AD-1668A0FA4DB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38-4628-A2AD-1668A0FA4DB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38-4628-A2AD-1668A0FA4DBB}"/>
              </c:ext>
            </c:extLst>
          </c:dPt>
          <c:cat>
            <c:strRef>
              <c:f>Sheet1!$A$2:$A$6</c:f>
              <c:strCache>
                <c:ptCount val="5"/>
                <c:pt idx="0">
                  <c:v>Promoters (India): </c:v>
                </c:pt>
                <c:pt idx="1">
                  <c:v>FI/Banks/Insurance</c:v>
                </c:pt>
                <c:pt idx="2">
                  <c:v>Non-Institutions</c:v>
                </c:pt>
                <c:pt idx="3">
                  <c:v>Mutual Funds/UTI</c:v>
                </c:pt>
                <c:pt idx="4">
                  <c:v>Govt</c:v>
                </c:pt>
              </c:strCache>
            </c:strRef>
          </c:cat>
          <c:val>
            <c:numRef>
              <c:f>Sheet1!$B$2:$B$6</c:f>
              <c:numCache>
                <c:formatCode>General</c:formatCode>
                <c:ptCount val="5"/>
                <c:pt idx="0">
                  <c:v>72.05</c:v>
                </c:pt>
                <c:pt idx="1">
                  <c:v>4.97</c:v>
                </c:pt>
                <c:pt idx="2">
                  <c:v>4.03</c:v>
                </c:pt>
                <c:pt idx="3">
                  <c:v>2.84</c:v>
                </c:pt>
              </c:numCache>
            </c:numRef>
          </c:val>
          <c:extLst>
            <c:ext xmlns:c16="http://schemas.microsoft.com/office/drawing/2014/chart" uri="{C3380CC4-5D6E-409C-BE32-E72D297353CC}">
              <c16:uniqueId val="{00000000-F3D2-4B9A-A59A-CADAA4D21B9E}"/>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0351103653027"/>
          <c:y val="7.6712328767123292E-2"/>
          <c:w val="0.89096488963469733"/>
          <c:h val="0.68726911875741559"/>
        </c:manualLayout>
      </c:layout>
      <c:barChart>
        <c:barDir val="col"/>
        <c:grouping val="clustered"/>
        <c:varyColors val="0"/>
        <c:ser>
          <c:idx val="0"/>
          <c:order val="0"/>
          <c:tx>
            <c:strRef>
              <c:f>Sheet1!$B$1</c:f>
              <c:strCache>
                <c:ptCount val="1"/>
                <c:pt idx="0">
                  <c:v>Net sales</c:v>
                </c:pt>
              </c:strCache>
            </c:strRef>
          </c:tx>
          <c:spPr>
            <a:solidFill>
              <a:schemeClr val="accent1"/>
            </a:solidFill>
            <a:ln>
              <a:noFill/>
            </a:ln>
            <a:effectLst/>
          </c:spPr>
          <c:invertIfNegative val="0"/>
          <c:cat>
            <c:numRef>
              <c:f>Sheet1!$A$2:$A$5</c:f>
              <c:numCache>
                <c:formatCode>General</c:formatCode>
                <c:ptCount val="4"/>
                <c:pt idx="0">
                  <c:v>2021</c:v>
                </c:pt>
                <c:pt idx="1">
                  <c:v>2020</c:v>
                </c:pt>
                <c:pt idx="2">
                  <c:v>2019</c:v>
                </c:pt>
              </c:numCache>
            </c:numRef>
          </c:cat>
          <c:val>
            <c:numRef>
              <c:f>Sheet1!$B$2:$B$5</c:f>
              <c:numCache>
                <c:formatCode>General</c:formatCode>
                <c:ptCount val="4"/>
                <c:pt idx="0">
                  <c:v>135963</c:v>
                </c:pt>
                <c:pt idx="1">
                  <c:v>131306</c:v>
                </c:pt>
                <c:pt idx="2">
                  <c:v>123170</c:v>
                </c:pt>
              </c:numCache>
            </c:numRef>
          </c:val>
          <c:extLst>
            <c:ext xmlns:c16="http://schemas.microsoft.com/office/drawing/2014/chart" uri="{C3380CC4-5D6E-409C-BE32-E72D297353CC}">
              <c16:uniqueId val="{00000000-EC72-4798-8506-91003D7ECA68}"/>
            </c:ext>
          </c:extLst>
        </c:ser>
        <c:ser>
          <c:idx val="1"/>
          <c:order val="1"/>
          <c:tx>
            <c:strRef>
              <c:f>Sheet1!$C$1</c:f>
              <c:strCache>
                <c:ptCount val="1"/>
                <c:pt idx="0">
                  <c:v>Profit</c:v>
                </c:pt>
              </c:strCache>
            </c:strRef>
          </c:tx>
          <c:spPr>
            <a:solidFill>
              <a:schemeClr val="accent2"/>
            </a:solidFill>
            <a:ln>
              <a:noFill/>
            </a:ln>
            <a:effectLst/>
          </c:spPr>
          <c:invertIfNegative val="0"/>
          <c:cat>
            <c:numRef>
              <c:f>Sheet1!$A$2:$A$5</c:f>
              <c:numCache>
                <c:formatCode>General</c:formatCode>
                <c:ptCount val="4"/>
                <c:pt idx="0">
                  <c:v>2021</c:v>
                </c:pt>
                <c:pt idx="1">
                  <c:v>2020</c:v>
                </c:pt>
                <c:pt idx="2">
                  <c:v>2019</c:v>
                </c:pt>
              </c:numCache>
            </c:numRef>
          </c:cat>
          <c:val>
            <c:numRef>
              <c:f>Sheet1!$C$2:$C$5</c:f>
              <c:numCache>
                <c:formatCode>General</c:formatCode>
                <c:ptCount val="4"/>
                <c:pt idx="0">
                  <c:v>30960</c:v>
                </c:pt>
                <c:pt idx="1">
                  <c:v>33260</c:v>
                </c:pt>
                <c:pt idx="2">
                  <c:v>30065</c:v>
                </c:pt>
              </c:numCache>
            </c:numRef>
          </c:val>
          <c:extLst>
            <c:ext xmlns:c16="http://schemas.microsoft.com/office/drawing/2014/chart" uri="{C3380CC4-5D6E-409C-BE32-E72D297353CC}">
              <c16:uniqueId val="{00000001-EC72-4798-8506-91003D7ECA68}"/>
            </c:ext>
          </c:extLst>
        </c:ser>
        <c:ser>
          <c:idx val="2"/>
          <c:order val="2"/>
          <c:tx>
            <c:strRef>
              <c:f>Sheet1!$D$1</c:f>
              <c:strCache>
                <c:ptCount val="1"/>
                <c:pt idx="0">
                  <c:v>Net worth</c:v>
                </c:pt>
              </c:strCache>
            </c:strRef>
          </c:tx>
          <c:spPr>
            <a:solidFill>
              <a:schemeClr val="accent3"/>
            </a:solidFill>
            <a:ln>
              <a:noFill/>
            </a:ln>
            <a:effectLst/>
          </c:spPr>
          <c:invertIfNegative val="0"/>
          <c:cat>
            <c:numRef>
              <c:f>Sheet1!$A$2:$A$5</c:f>
              <c:numCache>
                <c:formatCode>General</c:formatCode>
                <c:ptCount val="4"/>
                <c:pt idx="0">
                  <c:v>2021</c:v>
                </c:pt>
                <c:pt idx="1">
                  <c:v>2020</c:v>
                </c:pt>
                <c:pt idx="2">
                  <c:v>2019</c:v>
                </c:pt>
              </c:numCache>
            </c:numRef>
          </c:cat>
          <c:val>
            <c:numRef>
              <c:f>Sheet1!$D$2:$D$5</c:f>
              <c:numCache>
                <c:formatCode>General</c:formatCode>
                <c:ptCount val="4"/>
                <c:pt idx="0">
                  <c:v>74794</c:v>
                </c:pt>
                <c:pt idx="1">
                  <c:v>74368</c:v>
                </c:pt>
                <c:pt idx="2">
                  <c:v>78898</c:v>
                </c:pt>
              </c:numCache>
            </c:numRef>
          </c:val>
          <c:extLst>
            <c:ext xmlns:c16="http://schemas.microsoft.com/office/drawing/2014/chart" uri="{C3380CC4-5D6E-409C-BE32-E72D297353CC}">
              <c16:uniqueId val="{00000002-EC72-4798-8506-91003D7ECA68}"/>
            </c:ext>
          </c:extLst>
        </c:ser>
        <c:dLbls>
          <c:showLegendKey val="0"/>
          <c:showVal val="0"/>
          <c:showCatName val="0"/>
          <c:showSerName val="0"/>
          <c:showPercent val="0"/>
          <c:showBubbleSize val="0"/>
        </c:dLbls>
        <c:gapWidth val="219"/>
        <c:overlap val="-27"/>
        <c:axId val="1554623840"/>
        <c:axId val="1554624256"/>
      </c:barChart>
      <c:catAx>
        <c:axId val="155462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624256"/>
        <c:crosses val="autoZero"/>
        <c:auto val="1"/>
        <c:lblAlgn val="ctr"/>
        <c:lblOffset val="100"/>
        <c:noMultiLvlLbl val="0"/>
      </c:catAx>
      <c:valAx>
        <c:axId val="155462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62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Sourabh2002wow@gmail.com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Research Insights</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Insights</dc:title>
  <dc:subject>IndusInd Bank Ltd</dc:subject>
  <dc:creator>Sourabh Mina</dc:creator>
  <cp:keywords/>
  <dc:description/>
  <cp:lastModifiedBy>Sourabh Mina</cp:lastModifiedBy>
  <cp:revision>2</cp:revision>
  <dcterms:created xsi:type="dcterms:W3CDTF">2022-07-20T10:34:00Z</dcterms:created>
  <dcterms:modified xsi:type="dcterms:W3CDTF">2022-07-20T10:34:00Z</dcterms:modified>
</cp:coreProperties>
</file>