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520"/>
        <w:gridCol w:w="3685"/>
      </w:tblGrid>
      <w:tr>
        <w:tc>
          <w:tcPr>
            <w:tcW w:type="dxa" w:w="5159"/>
            <w:shd w:fill="3B1F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32"/>
              </w:rPr>
              <w:t>AH MES GOÛTS</w:t>
              <w:br/>
              <w:t>Prestataire développeur</w:t>
            </w:r>
          </w:p>
        </w:tc>
        <w:tc>
          <w:tcPr>
            <w:tcW w:type="dxa" w:w="5159"/>
            <w:shd w:fill="C9A96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6"/>
              </w:rPr>
              <w:t>DEVIS</w:t>
              <w:br/>
              <w:t>N° AMG-2026-001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3402"/>
      </w:tblGrid>
      <w:tr>
        <w:tc>
          <w:tcPr>
            <w:tcW w:type="dxa" w:w="257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241726"/>
                <w:sz w:val="17"/>
              </w:rPr>
              <w:t>Date</w:t>
            </w:r>
          </w:p>
        </w:tc>
        <w:tc>
          <w:tcPr>
            <w:tcW w:type="dxa" w:w="2579"/>
            <w:shd w:fill="FAF7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7"/>
              </w:rPr>
              <w:t>26 juillet 2026</w:t>
            </w:r>
          </w:p>
        </w:tc>
        <w:tc>
          <w:tcPr>
            <w:tcW w:type="dxa" w:w="257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241726"/>
                <w:sz w:val="17"/>
              </w:rPr>
              <w:t>Validité</w:t>
            </w:r>
          </w:p>
        </w:tc>
        <w:tc>
          <w:tcPr>
            <w:tcW w:type="dxa" w:w="2579"/>
            <w:shd w:fill="FAF7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7"/>
              </w:rPr>
              <w:t>30 jours</w:t>
            </w:r>
          </w:p>
        </w:tc>
      </w:tr>
      <w:tr>
        <w:tc>
          <w:tcPr>
            <w:tcW w:type="dxa" w:w="257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241726"/>
                <w:sz w:val="17"/>
              </w:rPr>
              <w:t>Client</w:t>
            </w:r>
          </w:p>
        </w:tc>
        <w:tc>
          <w:tcPr>
            <w:tcW w:type="dxa" w:w="2579"/>
            <w:shd w:fill="FAF7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7"/>
              </w:rPr>
              <w:t>Ah Mes Goûts / Gift &amp; Entremets</w:t>
            </w:r>
          </w:p>
        </w:tc>
        <w:tc>
          <w:tcPr>
            <w:tcW w:type="dxa" w:w="257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241726"/>
                <w:sz w:val="17"/>
              </w:rPr>
              <w:t>Devise</w:t>
            </w:r>
          </w:p>
        </w:tc>
        <w:tc>
          <w:tcPr>
            <w:tcW w:type="dxa" w:w="2579"/>
            <w:shd w:fill="FAF7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7"/>
              </w:rPr>
              <w:t>Franc CFA (XOF)</w:t>
            </w:r>
          </w:p>
        </w:tc>
      </w:tr>
      <w:tr>
        <w:tc>
          <w:tcPr>
            <w:tcW w:type="dxa" w:w="257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241726"/>
                <w:sz w:val="17"/>
              </w:rPr>
              <w:t>Prestataire</w:t>
            </w:r>
          </w:p>
        </w:tc>
        <w:tc>
          <w:tcPr>
            <w:tcW w:type="dxa" w:w="2579"/>
            <w:shd w:fill="FAF7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7"/>
              </w:rPr>
              <w:t>Développeur / lieu de développement</w:t>
            </w:r>
          </w:p>
        </w:tc>
        <w:tc>
          <w:tcPr>
            <w:tcW w:type="dxa" w:w="257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241726"/>
                <w:sz w:val="17"/>
              </w:rPr>
              <w:t>Délai</w:t>
            </w:r>
          </w:p>
        </w:tc>
        <w:tc>
          <w:tcPr>
            <w:tcW w:type="dxa" w:w="2579"/>
            <w:shd w:fill="FAF7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7"/>
              </w:rPr>
              <w:t>6 à 8 semaines</w:t>
            </w:r>
          </w:p>
        </w:tc>
      </w:tr>
      <w:tr>
        <w:tc>
          <w:tcPr>
            <w:tcW w:type="dxa" w:w="257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241726"/>
                <w:sz w:val="17"/>
              </w:rPr>
              <w:t>Objet</w:t>
            </w:r>
          </w:p>
        </w:tc>
        <w:tc>
          <w:tcPr>
            <w:tcW w:type="dxa" w:w="2579"/>
            <w:shd w:fill="FAF7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7"/>
              </w:rPr>
              <w:t>Réalisation + maintenance à vie</w:t>
            </w:r>
          </w:p>
        </w:tc>
        <w:tc>
          <w:tcPr>
            <w:tcW w:type="dxa" w:w="257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241726"/>
                <w:sz w:val="17"/>
              </w:rPr>
              <w:t>Lieu</w:t>
            </w:r>
          </w:p>
        </w:tc>
        <w:tc>
          <w:tcPr>
            <w:tcW w:type="dxa" w:w="2579"/>
            <w:shd w:fill="FAF7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7"/>
              </w:rPr>
              <w:t>Cotonou, Bénin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3B1F4D"/>
          <w:sz w:val="26"/>
        </w:rPr>
        <w:t>Objet</w:t>
      </w:r>
    </w:p>
    <w:p>
      <w:pPr>
        <w:spacing w:after="80"/>
      </w:pPr>
      <w:r>
        <w:rPr>
          <w:rFonts w:ascii="Arial" w:hAnsi="Arial"/>
          <w:i w:val="0"/>
          <w:color w:val="241726"/>
          <w:sz w:val="19"/>
        </w:rPr>
        <w:t>Réalisation complète de la plateforme e-commerce premium Ah Mes Goûts par le prestataire développeur, avec maintenance mensuelle à vie obligatoire après mise en production.</w:t>
      </w:r>
    </w:p>
    <w:p>
      <w:pPr>
        <w:spacing w:before="200" w:after="80"/>
      </w:pPr>
      <w:r>
        <w:rPr>
          <w:rFonts w:ascii="Arial" w:hAnsi="Arial"/>
          <w:b/>
          <w:color w:val="3B1F4D"/>
          <w:sz w:val="26"/>
        </w:rPr>
        <w:t>1. Développement — forfait unique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80"/>
        <w:gridCol w:w="2438"/>
        <w:gridCol w:w="5329"/>
        <w:gridCol w:w="1757"/>
      </w:tblGrid>
      <w:tr>
        <w:tc>
          <w:tcPr>
            <w:tcW w:type="dxa" w:w="2579"/>
            <w:shd w:fill="3B1F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N°</w:t>
            </w:r>
          </w:p>
        </w:tc>
        <w:tc>
          <w:tcPr>
            <w:tcW w:type="dxa" w:w="2579"/>
            <w:shd w:fill="3B1F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Lot</w:t>
            </w:r>
          </w:p>
        </w:tc>
        <w:tc>
          <w:tcPr>
            <w:tcW w:type="dxa" w:w="2579"/>
            <w:shd w:fill="3B1F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Contenu</w:t>
            </w:r>
          </w:p>
        </w:tc>
        <w:tc>
          <w:tcPr>
            <w:tcW w:type="dxa" w:w="2579"/>
            <w:shd w:fill="3B1F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Montant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7"/>
              </w:rPr>
              <w:t>01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3B1F4D"/>
                <w:sz w:val="17"/>
              </w:rPr>
              <w:t>Cadrage, architecture et UX/UI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6"/>
              </w:rPr>
              <w:t>Architecture, UX/UI premium, responsive.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7"/>
              </w:rPr>
              <w:t>180 000 FCFA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7"/>
              </w:rPr>
              <w:t>02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3B1F4D"/>
                <w:sz w:val="17"/>
              </w:rPr>
              <w:t>Boutique publique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6"/>
              </w:rPr>
              <w:t>Accueil, catalogue, fiches, filtres, stock.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7"/>
              </w:rPr>
              <w:t>350 000 FCFA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7"/>
              </w:rPr>
              <w:t>03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3B1F4D"/>
                <w:sz w:val="17"/>
              </w:rPr>
              <w:t>Panier et checkout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6"/>
              </w:rPr>
              <w:t>Tunnel multi-étapes, livraison, upsell.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7"/>
              </w:rPr>
              <w:t>400 000 FCFA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7"/>
              </w:rPr>
              <w:t>04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3B1F4D"/>
                <w:sz w:val="17"/>
              </w:rPr>
              <w:t>Commandes, stock et créneaux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6"/>
              </w:rPr>
              <w:t>API serveur, créneaux, stock après paiement.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7"/>
              </w:rPr>
              <w:t>340 000 FCFA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7"/>
              </w:rPr>
              <w:t>05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3B1F4D"/>
                <w:sz w:val="17"/>
              </w:rPr>
              <w:t>Paiements FeexPay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6"/>
              </w:rPr>
              <w:t>MTN, Moov, Celtiis, carte, webhook.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7"/>
              </w:rPr>
              <w:t>250 000 FCFA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7"/>
              </w:rPr>
              <w:t>06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3B1F4D"/>
                <w:sz w:val="17"/>
              </w:rPr>
              <w:t>Administration et KDS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6"/>
              </w:rPr>
              <w:t>Commandes, menus, rôles, Telegram.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7"/>
              </w:rPr>
              <w:t>290 000 FCFA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7"/>
              </w:rPr>
              <w:t>07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3B1F4D"/>
                <w:sz w:val="17"/>
              </w:rPr>
              <w:t>Livraison et portail livreur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6"/>
              </w:rPr>
              <w:t>Affectation, suivi, client injoignable.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7"/>
              </w:rPr>
              <w:t>160 000 FCFA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7"/>
              </w:rPr>
              <w:t>08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3B1F4D"/>
                <w:sz w:val="17"/>
              </w:rPr>
              <w:t>Base de données et scalabilité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6"/>
              </w:rPr>
              <w:t>Prisma, migrations, cache, rate limit.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7"/>
              </w:rPr>
              <w:t>220 000 FCFA</w:t>
            </w:r>
          </w:p>
        </w:tc>
      </w:tr>
      <w:t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7"/>
              </w:rPr>
              <w:t>09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3B1F4D"/>
                <w:sz w:val="17"/>
              </w:rPr>
              <w:t>Recette, déploiement et transfert</w:t>
            </w:r>
          </w:p>
        </w:tc>
        <w:tc>
          <w:tcPr>
            <w:tcW w:type="dxa" w:w="53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241726"/>
                <w:sz w:val="16"/>
              </w:rPr>
              <w:t>Tests, Vercel/Supabase, formation.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7"/>
              </w:rPr>
              <w:t>210 000 FCFA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268"/>
      </w:tblGrid>
      <w:tr>
        <w:tc>
          <w:tcPr>
            <w:tcW w:type="dxa" w:w="5159"/>
            <w:shd w:fill="C9A96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DÉVELOPPEMENT</w:t>
            </w:r>
          </w:p>
        </w:tc>
        <w:tc>
          <w:tcPr>
            <w:tcW w:type="dxa" w:w="5159"/>
            <w:shd w:fill="C9A96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2 400 000 FCFA</w:t>
            </w:r>
          </w:p>
        </w:tc>
      </w:tr>
      <w:tr>
        <w:tc>
          <w:tcPr>
            <w:tcW w:type="dxa" w:w="515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241726"/>
                <w:sz w:val="18"/>
              </w:rPr>
              <w:t>Maintenance à vie</w:t>
            </w:r>
          </w:p>
        </w:tc>
        <w:tc>
          <w:tcPr>
            <w:tcW w:type="dxa" w:w="5159"/>
            <w:shd w:fill="F3C9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241726"/>
                <w:sz w:val="18"/>
              </w:rPr>
              <w:t>75 000 FCFA / mois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3B1F4D"/>
          <w:sz w:val="26"/>
        </w:rPr>
        <w:t>2. Maintenance mensuelle à vie (obligatoire)</w:t>
      </w:r>
    </w:p>
    <w:p>
      <w:pPr>
        <w:spacing w:after="80"/>
      </w:pPr>
      <w:r>
        <w:rPr>
          <w:rFonts w:ascii="Arial" w:hAnsi="Arial"/>
          <w:i w:val="0"/>
          <w:color w:val="241726"/>
          <w:sz w:val="19"/>
        </w:rPr>
        <w:t>Facturée chaque mois à vie dès la fin de la garantie corrective de 30 jours après mise en production.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Corrections de bugs et incidents de production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Mises à jour de sécurité et maintenance technique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Assistance administrateur (WhatsApp / e-mail, heures ouvrables)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Petites évolutions (jusqu’à ~4 h / mois)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Supervision technique et continuité de service</w:t>
      </w:r>
    </w:p>
    <w:p>
      <w:pPr>
        <w:spacing w:after="80"/>
      </w:pPr>
      <w:r>
        <w:rPr>
          <w:rFonts w:ascii="Arial" w:hAnsi="Arial"/>
          <w:i w:val="0"/>
          <w:color w:val="241726"/>
          <w:sz w:val="19"/>
        </w:rPr>
        <w:t>Montant : 75 000 FCFA / mois  ·  soit 900 000 FCFA / an</w:t>
      </w:r>
    </w:p>
    <w:p>
      <w:pPr>
        <w:spacing w:before="200" w:after="80"/>
      </w:pPr>
      <w:r>
        <w:rPr>
          <w:rFonts w:ascii="Arial" w:hAnsi="Arial"/>
          <w:b/>
          <w:color w:val="3B1F4D"/>
          <w:sz w:val="26"/>
        </w:rPr>
        <w:t>Conditions de paiement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Acompte développement : 40 % — 960 000 FCFA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Validation intermédiaire : 40 % — 960 000 FCFA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Solde mise en production : 20 % — 480 000 FCFA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Maintenance : 75 000 FCFA / mois à vie, sans date de fin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Retard &gt; 15 jours : suspension possible du support</w:t>
      </w:r>
    </w:p>
    <w:p>
      <w:pPr>
        <w:spacing w:before="200" w:after="80"/>
      </w:pPr>
      <w:r>
        <w:rPr>
          <w:rFonts w:ascii="Arial" w:hAnsi="Arial"/>
          <w:b/>
          <w:color w:val="3B1F4D"/>
          <w:sz w:val="26"/>
        </w:rPr>
        <w:t>Non inclus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Commissions FeexPay / Mobile Money / carte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Abonnements Vercel, Supabase, Cloudinary, domaine, e-mail, SMS</w:t>
      </w:r>
    </w:p>
    <w:p>
      <w:pPr>
        <w:pStyle w:val="ListBullet"/>
        <w:spacing w:after="40"/>
      </w:pPr>
      <w:r>
        <w:rPr>
          <w:rFonts w:ascii="Arial" w:hAnsi="Arial"/>
          <w:color w:val="241726"/>
          <w:sz w:val="19"/>
        </w:rPr>
        <w:t>Photos / vidéos marketing et nouvelles fonctionnalités majeures</w:t>
      </w:r>
    </w:p>
    <w:p>
      <w:pPr>
        <w:spacing w:after="80"/>
      </w:pPr>
      <w:r>
        <w:rPr>
          <w:rFonts w:ascii="Arial" w:hAnsi="Arial"/>
          <w:i/>
          <w:color w:val="241726"/>
          <w:sz w:val="19"/>
        </w:rPr>
        <w:t>Le développement est un forfait unique. La maintenance est un abonnement mensuel à vie, obligatoire tant que la plateforme reste en exploitation chez le prestataire développeur.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8"/>
              </w:rPr>
              <w:t>LE PRESTATAIRE DÉVELOPPEUR</w:t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1F4D"/>
                <w:sz w:val="18"/>
              </w:rPr>
              <w:t>LE CLIENT — BON POUR ACCORD</w:t>
            </w:r>
          </w:p>
        </w:tc>
      </w:tr>
      <w:tr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41726"/>
                <w:sz w:val="17"/>
              </w:rPr>
              <w:br/>
              <w:t>Nom, date, signature</w:t>
              <w:br/>
              <w:br/>
            </w:r>
          </w:p>
        </w:tc>
        <w:tc>
          <w:tcPr>
            <w:tcW w:type="dxa" w:w="515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41726"/>
                <w:sz w:val="17"/>
              </w:rPr>
              <w:br/>
              <w:t>Nom, date, signature</w:t>
              <w:br/>
              <w:br/>
            </w:r>
          </w:p>
        </w:tc>
      </w:tr>
    </w:tbl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