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Chemistry II</w:t>
              <w:br/>
              <w:t>(C25)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Chemistry II</w:t>
              <w:br/>
              <w:t>(C25)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Chemistry II</w:t>
              <w:br/>
              <w:t>(C25)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Chemistry II</w:t>
              <w:br/>
              <w:t>(C25)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Chemistry II</w:t>
              <w:br/>
              <w:t>(C25)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SN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