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GH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</w:t>
              <w:br/>
              <w:t>(btech-CSE-1)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Linear Algebra</w:t>
              <w:br/>
              <w:t>(btech-CSE-2)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Linear Algebra</w:t>
              <w:br/>
              <w:t>(btech-CSE-2)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Mathematics IA</w:t>
              <w:br/>
              <w:t>(btech-CSE-1)</w:t>
            </w:r>
          </w:p>
        </w:tc>
        <w:tc>
          <w:tcPr>
            <w:tcW w:type="dxa" w:w="12312"/>
            <w:gridSpan w:val="8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</w:t>
              <w:br/>
              <w:t>(btech-CSE-1)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</w:t>
              <w:br/>
              <w:t>(btech-CSE-1)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