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69FA7" w14:textId="77777777" w:rsidR="00E46EA5" w:rsidRPr="002A2CA6" w:rsidRDefault="00000000">
      <w:pPr>
        <w:pStyle w:val="Title"/>
        <w:rPr>
          <w:b/>
          <w:bCs/>
        </w:rPr>
      </w:pPr>
      <w:r w:rsidRPr="002A2CA6">
        <w:rPr>
          <w:b/>
          <w:bCs/>
        </w:rPr>
        <w:t>Customer Churn Analysis Report</w:t>
      </w:r>
    </w:p>
    <w:p w14:paraId="28679EA3" w14:textId="77777777" w:rsidR="00E46EA5" w:rsidRDefault="00000000">
      <w:pPr>
        <w:pStyle w:val="Heading1"/>
      </w:pPr>
      <w:r>
        <w:t>Churn Overview</w:t>
      </w:r>
    </w:p>
    <w:p w14:paraId="2A3DAC4E" w14:textId="77777777" w:rsidR="00E46EA5" w:rsidRDefault="00000000">
      <w:pPr>
        <w:pStyle w:val="ListBullet"/>
      </w:pPr>
      <w:r>
        <w:t>Total number of customers who did not churn: 758</w:t>
      </w:r>
    </w:p>
    <w:p w14:paraId="1B08050E" w14:textId="77777777" w:rsidR="00E46EA5" w:rsidRDefault="00000000">
      <w:pPr>
        <w:pStyle w:val="ListBullet"/>
      </w:pPr>
      <w:r>
        <w:t>Total number of customers who churned: 242</w:t>
      </w:r>
    </w:p>
    <w:p w14:paraId="1DB69FF6" w14:textId="77777777" w:rsidR="00E46EA5" w:rsidRDefault="00000000">
      <w:pPr>
        <w:pStyle w:val="ListBullet"/>
      </w:pPr>
      <w:r>
        <w:t>Churn Rate:</w:t>
      </w:r>
    </w:p>
    <w:p w14:paraId="02236ADA" w14:textId="77777777" w:rsidR="00E46EA5" w:rsidRDefault="00000000">
      <w:pPr>
        <w:pStyle w:val="ListBullet"/>
      </w:pPr>
      <w:r>
        <w:t>- Non-Churned: 75.8%</w:t>
      </w:r>
    </w:p>
    <w:p w14:paraId="23C6CF71" w14:textId="77777777" w:rsidR="00E46EA5" w:rsidRDefault="00000000">
      <w:pPr>
        <w:pStyle w:val="ListBullet"/>
      </w:pPr>
      <w:r>
        <w:t>- Churned: 24.2%</w:t>
      </w:r>
    </w:p>
    <w:p w14:paraId="1D10D5E8" w14:textId="77777777" w:rsidR="00E46EA5" w:rsidRDefault="00000000">
      <w:pPr>
        <w:pStyle w:val="Heading1"/>
      </w:pPr>
      <w:r>
        <w:t>Churn by Gender</w:t>
      </w:r>
    </w:p>
    <w:p w14:paraId="29EAE413" w14:textId="77777777" w:rsidR="00E46EA5" w:rsidRDefault="00000000">
      <w:pPr>
        <w:pStyle w:val="ListBullet"/>
      </w:pPr>
      <w:r>
        <w:t>Female:</w:t>
      </w:r>
    </w:p>
    <w:p w14:paraId="333C689F" w14:textId="77777777" w:rsidR="00E46EA5" w:rsidRDefault="00000000">
      <w:pPr>
        <w:pStyle w:val="ListBullet"/>
      </w:pPr>
      <w:r>
        <w:t>- Non-Churned: 68.11%</w:t>
      </w:r>
    </w:p>
    <w:p w14:paraId="2F866CB0" w14:textId="77777777" w:rsidR="00E46EA5" w:rsidRDefault="00000000">
      <w:pPr>
        <w:pStyle w:val="ListBullet"/>
      </w:pPr>
      <w:r>
        <w:t>- Churned: 31.89%</w:t>
      </w:r>
    </w:p>
    <w:p w14:paraId="53045602" w14:textId="77777777" w:rsidR="00E46EA5" w:rsidRDefault="00000000">
      <w:pPr>
        <w:pStyle w:val="ListBullet"/>
      </w:pPr>
      <w:r>
        <w:t>Male:</w:t>
      </w:r>
    </w:p>
    <w:p w14:paraId="68645BCC" w14:textId="77777777" w:rsidR="00E46EA5" w:rsidRDefault="00000000">
      <w:pPr>
        <w:pStyle w:val="ListBullet"/>
      </w:pPr>
      <w:r>
        <w:t>- Non-Churned: 83.07%</w:t>
      </w:r>
    </w:p>
    <w:p w14:paraId="6D228F7A" w14:textId="77777777" w:rsidR="00E46EA5" w:rsidRDefault="00000000">
      <w:pPr>
        <w:pStyle w:val="ListBullet"/>
      </w:pPr>
      <w:r>
        <w:t>- Churned: 16.93%</w:t>
      </w:r>
    </w:p>
    <w:p w14:paraId="61E72A83" w14:textId="77777777" w:rsidR="00E46EA5" w:rsidRDefault="00000000">
      <w:pPr>
        <w:pStyle w:val="Heading1"/>
      </w:pPr>
      <w:r>
        <w:t>Age Analysis</w:t>
      </w:r>
    </w:p>
    <w:p w14:paraId="7C56D2B5" w14:textId="77777777" w:rsidR="00E46EA5" w:rsidRDefault="00000000">
      <w:pPr>
        <w:pStyle w:val="ListBullet"/>
      </w:pPr>
      <w:r>
        <w:t>Overall Summary:</w:t>
      </w:r>
    </w:p>
    <w:p w14:paraId="29DE51E8" w14:textId="77777777" w:rsidR="00E46EA5" w:rsidRDefault="00000000">
      <w:pPr>
        <w:pStyle w:val="ListBullet"/>
      </w:pPr>
      <w:r>
        <w:t>- Mean Age: 41.5 years</w:t>
      </w:r>
    </w:p>
    <w:p w14:paraId="50F8F757" w14:textId="77777777" w:rsidR="00E46EA5" w:rsidRDefault="00000000">
      <w:pPr>
        <w:pStyle w:val="ListBullet"/>
      </w:pPr>
      <w:r>
        <w:t>- Standard Deviation: 13.88</w:t>
      </w:r>
    </w:p>
    <w:p w14:paraId="7A359813" w14:textId="77777777" w:rsidR="00E46EA5" w:rsidRDefault="00000000">
      <w:pPr>
        <w:pStyle w:val="ListBullet"/>
      </w:pPr>
      <w:r>
        <w:t>- Age Range: 18 to 65 years</w:t>
      </w:r>
    </w:p>
    <w:p w14:paraId="7517F813" w14:textId="77777777" w:rsidR="00E46EA5" w:rsidRDefault="00000000">
      <w:pPr>
        <w:pStyle w:val="ListBullet"/>
      </w:pPr>
      <w:r>
        <w:t>Average Age by Churn:</w:t>
      </w:r>
    </w:p>
    <w:p w14:paraId="3394F5C0" w14:textId="77777777" w:rsidR="00E46EA5" w:rsidRDefault="00000000">
      <w:pPr>
        <w:pStyle w:val="ListBullet"/>
      </w:pPr>
      <w:r>
        <w:t>- Non-Churned: 41.48 years</w:t>
      </w:r>
    </w:p>
    <w:p w14:paraId="74A4A289" w14:textId="77777777" w:rsidR="00E46EA5" w:rsidRDefault="00000000">
      <w:pPr>
        <w:pStyle w:val="ListBullet"/>
      </w:pPr>
      <w:r>
        <w:t>- Churned: 41.57 years</w:t>
      </w:r>
    </w:p>
    <w:p w14:paraId="6AFC4F2A" w14:textId="77777777" w:rsidR="00E46EA5" w:rsidRDefault="00000000">
      <w:pPr>
        <w:pStyle w:val="Heading1"/>
      </w:pPr>
      <w:r>
        <w:t>Tenure Analysis</w:t>
      </w:r>
    </w:p>
    <w:p w14:paraId="6C75DF96" w14:textId="77777777" w:rsidR="00E46EA5" w:rsidRDefault="00000000">
      <w:pPr>
        <w:pStyle w:val="ListBullet"/>
      </w:pPr>
      <w:r>
        <w:t>Overall Summary:</w:t>
      </w:r>
    </w:p>
    <w:p w14:paraId="010F7BE6" w14:textId="77777777" w:rsidR="00E46EA5" w:rsidRDefault="00000000">
      <w:pPr>
        <w:pStyle w:val="ListBullet"/>
      </w:pPr>
      <w:r>
        <w:t>- Mean Tenure: 31.65 months</w:t>
      </w:r>
    </w:p>
    <w:p w14:paraId="4A10EA84" w14:textId="77777777" w:rsidR="00E46EA5" w:rsidRDefault="00000000">
      <w:pPr>
        <w:pStyle w:val="ListBullet"/>
      </w:pPr>
      <w:r>
        <w:t>- Standard Deviation: 17.38</w:t>
      </w:r>
    </w:p>
    <w:p w14:paraId="06019A22" w14:textId="77777777" w:rsidR="00E46EA5" w:rsidRDefault="00000000">
      <w:pPr>
        <w:pStyle w:val="ListBullet"/>
      </w:pPr>
      <w:r>
        <w:t>- Tenure Range: 1 to 60 months</w:t>
      </w:r>
    </w:p>
    <w:p w14:paraId="0682B092" w14:textId="77777777" w:rsidR="00E46EA5" w:rsidRDefault="00000000">
      <w:pPr>
        <w:pStyle w:val="ListBullet"/>
      </w:pPr>
      <w:r>
        <w:t>Average Tenure by Churn:</w:t>
      </w:r>
    </w:p>
    <w:p w14:paraId="5EBC7694" w14:textId="77777777" w:rsidR="00E46EA5" w:rsidRDefault="00000000">
      <w:pPr>
        <w:pStyle w:val="ListBullet"/>
      </w:pPr>
      <w:r>
        <w:t>- Non-Churned: 29.92 months</w:t>
      </w:r>
    </w:p>
    <w:p w14:paraId="7F1DE5AD" w14:textId="77777777" w:rsidR="00E46EA5" w:rsidRDefault="00000000">
      <w:pPr>
        <w:pStyle w:val="ListBullet"/>
      </w:pPr>
      <w:r>
        <w:t>- Churned: 37.07 months</w:t>
      </w:r>
    </w:p>
    <w:p w14:paraId="39011CDA" w14:textId="77777777" w:rsidR="00E46EA5" w:rsidRDefault="00000000">
      <w:pPr>
        <w:pStyle w:val="Heading1"/>
      </w:pPr>
      <w:r>
        <w:lastRenderedPageBreak/>
        <w:t>Churn by Usage Frequency</w:t>
      </w:r>
    </w:p>
    <w:p w14:paraId="7ABCAC89" w14:textId="77777777" w:rsidR="00E46EA5" w:rsidRDefault="00000000">
      <w:pPr>
        <w:pStyle w:val="ListBullet"/>
      </w:pPr>
      <w:r>
        <w:t>Churn rates varied across usage frequency from 1 to 30. Notable trends:</w:t>
      </w:r>
    </w:p>
    <w:p w14:paraId="3333FFB4" w14:textId="77777777" w:rsidR="00E46EA5" w:rsidRDefault="00000000">
      <w:pPr>
        <w:pStyle w:val="ListBullet"/>
      </w:pPr>
      <w:r>
        <w:t>- Higher churn at low usage frequencies (e.g., 57.14% churn at frequency 1)</w:t>
      </w:r>
    </w:p>
    <w:p w14:paraId="6CE560A6" w14:textId="77777777" w:rsidR="00E46EA5" w:rsidRDefault="00000000">
      <w:pPr>
        <w:pStyle w:val="ListBullet"/>
      </w:pPr>
      <w:r>
        <w:t>- Lower churn at higher usage frequencies (e.g., 9.76% churn at frequency 30)</w:t>
      </w:r>
    </w:p>
    <w:p w14:paraId="36B9AC5A" w14:textId="77777777" w:rsidR="00E46EA5" w:rsidRDefault="00000000">
      <w:pPr>
        <w:pStyle w:val="Heading1"/>
      </w:pPr>
      <w:r>
        <w:t>Support Calls Analysis</w:t>
      </w:r>
    </w:p>
    <w:p w14:paraId="0C15CFD7" w14:textId="77777777" w:rsidR="00E46EA5" w:rsidRDefault="00000000">
      <w:pPr>
        <w:pStyle w:val="ListBullet"/>
      </w:pPr>
      <w:r>
        <w:t>Overall Summary:</w:t>
      </w:r>
    </w:p>
    <w:p w14:paraId="3BD32819" w14:textId="77777777" w:rsidR="00E46EA5" w:rsidRDefault="00000000">
      <w:pPr>
        <w:pStyle w:val="ListBullet"/>
      </w:pPr>
      <w:r>
        <w:t>- Mean Support Calls: 4.78</w:t>
      </w:r>
    </w:p>
    <w:p w14:paraId="2EB61B61" w14:textId="77777777" w:rsidR="00E46EA5" w:rsidRDefault="00000000">
      <w:pPr>
        <w:pStyle w:val="ListBullet"/>
      </w:pPr>
      <w:r>
        <w:t>- Range: 0 to 10</w:t>
      </w:r>
    </w:p>
    <w:p w14:paraId="1B4518FB" w14:textId="77777777" w:rsidR="00E46EA5" w:rsidRDefault="00000000">
      <w:pPr>
        <w:pStyle w:val="ListBullet"/>
      </w:pPr>
      <w:r>
        <w:t>Average Support Calls by Churn:</w:t>
      </w:r>
    </w:p>
    <w:p w14:paraId="44DC0643" w14:textId="77777777" w:rsidR="00E46EA5" w:rsidRDefault="00000000">
      <w:pPr>
        <w:pStyle w:val="ListBullet"/>
      </w:pPr>
      <w:r>
        <w:t>- Non-Churned: 4.31</w:t>
      </w:r>
    </w:p>
    <w:p w14:paraId="47E91134" w14:textId="77777777" w:rsidR="00E46EA5" w:rsidRDefault="00000000">
      <w:pPr>
        <w:pStyle w:val="ListBullet"/>
      </w:pPr>
      <w:r>
        <w:t>- Churned: 6.27</w:t>
      </w:r>
    </w:p>
    <w:p w14:paraId="5345E210" w14:textId="77777777" w:rsidR="00E46EA5" w:rsidRDefault="00000000">
      <w:pPr>
        <w:pStyle w:val="Heading1"/>
      </w:pPr>
      <w:r>
        <w:t>Payment Delay Analysis</w:t>
      </w:r>
    </w:p>
    <w:p w14:paraId="3AFE686A" w14:textId="77777777" w:rsidR="00E46EA5" w:rsidRDefault="00000000">
      <w:pPr>
        <w:pStyle w:val="ListBullet"/>
      </w:pPr>
      <w:r>
        <w:t>Overall Summary:</w:t>
      </w:r>
    </w:p>
    <w:p w14:paraId="4CF873DD" w14:textId="77777777" w:rsidR="00E46EA5" w:rsidRDefault="00000000">
      <w:pPr>
        <w:pStyle w:val="ListBullet"/>
      </w:pPr>
      <w:r>
        <w:t>- Mean Payment Delay: 15.11 days</w:t>
      </w:r>
    </w:p>
    <w:p w14:paraId="7281B874" w14:textId="77777777" w:rsidR="00E46EA5" w:rsidRDefault="00000000">
      <w:pPr>
        <w:pStyle w:val="ListBullet"/>
      </w:pPr>
      <w:r>
        <w:t>- Range: 0 to 30 days</w:t>
      </w:r>
    </w:p>
    <w:p w14:paraId="758E2BCE" w14:textId="77777777" w:rsidR="00E46EA5" w:rsidRDefault="00000000">
      <w:pPr>
        <w:pStyle w:val="ListBullet"/>
      </w:pPr>
      <w:r>
        <w:t>Average Payment Delay by Churn:</w:t>
      </w:r>
    </w:p>
    <w:p w14:paraId="6A336CCD" w14:textId="77777777" w:rsidR="00E46EA5" w:rsidRDefault="00000000">
      <w:pPr>
        <w:pStyle w:val="ListBullet"/>
      </w:pPr>
      <w:r>
        <w:t>- Non-Churned: 13.03 days</w:t>
      </w:r>
    </w:p>
    <w:p w14:paraId="51E1F520" w14:textId="77777777" w:rsidR="00E46EA5" w:rsidRDefault="00000000">
      <w:pPr>
        <w:pStyle w:val="ListBullet"/>
      </w:pPr>
      <w:r>
        <w:t>- Churned: 21.63 days</w:t>
      </w:r>
    </w:p>
    <w:p w14:paraId="6485A1BE" w14:textId="77777777" w:rsidR="00E46EA5" w:rsidRDefault="00000000">
      <w:pPr>
        <w:pStyle w:val="Heading1"/>
      </w:pPr>
      <w:r>
        <w:t>Churn by Subscription Type</w:t>
      </w:r>
    </w:p>
    <w:p w14:paraId="759ADD0C" w14:textId="77777777" w:rsidR="00E46EA5" w:rsidRDefault="00000000">
      <w:pPr>
        <w:pStyle w:val="ListBullet"/>
      </w:pPr>
      <w:r>
        <w:t>Basic:</w:t>
      </w:r>
    </w:p>
    <w:p w14:paraId="511F0C32" w14:textId="77777777" w:rsidR="00E46EA5" w:rsidRDefault="00000000">
      <w:pPr>
        <w:pStyle w:val="ListBullet"/>
      </w:pPr>
      <w:r>
        <w:t>- Non-Churned: 78.05%</w:t>
      </w:r>
    </w:p>
    <w:p w14:paraId="2F23B74D" w14:textId="77777777" w:rsidR="00E46EA5" w:rsidRDefault="00000000">
      <w:pPr>
        <w:pStyle w:val="ListBullet"/>
      </w:pPr>
      <w:r>
        <w:t>- Churned: 21.95%</w:t>
      </w:r>
    </w:p>
    <w:p w14:paraId="083BD659" w14:textId="77777777" w:rsidR="00E46EA5" w:rsidRDefault="00000000">
      <w:pPr>
        <w:pStyle w:val="ListBullet"/>
      </w:pPr>
      <w:r>
        <w:t>Premium:</w:t>
      </w:r>
    </w:p>
    <w:p w14:paraId="7A9AD1D8" w14:textId="77777777" w:rsidR="00E46EA5" w:rsidRDefault="00000000">
      <w:pPr>
        <w:pStyle w:val="ListBullet"/>
      </w:pPr>
      <w:r>
        <w:t>- Non-Churned: 75.71%</w:t>
      </w:r>
    </w:p>
    <w:p w14:paraId="2071508B" w14:textId="77777777" w:rsidR="00E46EA5" w:rsidRDefault="00000000">
      <w:pPr>
        <w:pStyle w:val="ListBullet"/>
      </w:pPr>
      <w:r>
        <w:t>- Churned: 24.29%</w:t>
      </w:r>
    </w:p>
    <w:p w14:paraId="362BAEC0" w14:textId="77777777" w:rsidR="00E46EA5" w:rsidRDefault="00000000">
      <w:pPr>
        <w:pStyle w:val="ListBullet"/>
      </w:pPr>
      <w:r>
        <w:t>Standard:</w:t>
      </w:r>
    </w:p>
    <w:p w14:paraId="44DBD5D0" w14:textId="77777777" w:rsidR="00E46EA5" w:rsidRDefault="00000000">
      <w:pPr>
        <w:pStyle w:val="ListBullet"/>
      </w:pPr>
      <w:r>
        <w:t>- Non-Churned: 73.60%</w:t>
      </w:r>
    </w:p>
    <w:p w14:paraId="40A67324" w14:textId="77777777" w:rsidR="00E46EA5" w:rsidRDefault="00000000">
      <w:pPr>
        <w:pStyle w:val="ListBullet"/>
      </w:pPr>
      <w:r>
        <w:t>- Churned: 26.40%</w:t>
      </w:r>
    </w:p>
    <w:p w14:paraId="4C9BF91B" w14:textId="77777777" w:rsidR="00E46EA5" w:rsidRDefault="00000000">
      <w:pPr>
        <w:pStyle w:val="Heading1"/>
      </w:pPr>
      <w:r>
        <w:t>Churn by Contract Length</w:t>
      </w:r>
    </w:p>
    <w:p w14:paraId="16B05029" w14:textId="77777777" w:rsidR="00E46EA5" w:rsidRDefault="00000000">
      <w:pPr>
        <w:pStyle w:val="ListBullet"/>
      </w:pPr>
      <w:r>
        <w:t>Annual Contracts:</w:t>
      </w:r>
    </w:p>
    <w:p w14:paraId="04FFF616" w14:textId="77777777" w:rsidR="00E46EA5" w:rsidRDefault="00000000">
      <w:pPr>
        <w:pStyle w:val="ListBullet"/>
      </w:pPr>
      <w:r>
        <w:t>- Non-Churned: 77.34%</w:t>
      </w:r>
    </w:p>
    <w:p w14:paraId="6A905E84" w14:textId="77777777" w:rsidR="00E46EA5" w:rsidRDefault="00000000">
      <w:pPr>
        <w:pStyle w:val="ListBullet"/>
      </w:pPr>
      <w:r>
        <w:t>- Churned: 22.66%</w:t>
      </w:r>
    </w:p>
    <w:p w14:paraId="3F86D475" w14:textId="77777777" w:rsidR="00E46EA5" w:rsidRDefault="00000000">
      <w:pPr>
        <w:pStyle w:val="ListBullet"/>
      </w:pPr>
      <w:r>
        <w:t>Monthly Contracts:</w:t>
      </w:r>
    </w:p>
    <w:p w14:paraId="32915290" w14:textId="77777777" w:rsidR="00E46EA5" w:rsidRDefault="00000000">
      <w:pPr>
        <w:pStyle w:val="ListBullet"/>
      </w:pPr>
      <w:r>
        <w:t>- Non-Churned: 72.88%</w:t>
      </w:r>
    </w:p>
    <w:p w14:paraId="0C1931C9" w14:textId="77777777" w:rsidR="00E46EA5" w:rsidRDefault="00000000">
      <w:pPr>
        <w:pStyle w:val="ListBullet"/>
      </w:pPr>
      <w:r>
        <w:lastRenderedPageBreak/>
        <w:t>- Churned: 27.12%</w:t>
      </w:r>
    </w:p>
    <w:p w14:paraId="3D97ACD5" w14:textId="77777777" w:rsidR="00E46EA5" w:rsidRDefault="00000000">
      <w:pPr>
        <w:pStyle w:val="ListBullet"/>
      </w:pPr>
      <w:r>
        <w:t>Quarterly Contracts:</w:t>
      </w:r>
    </w:p>
    <w:p w14:paraId="7ECE45C9" w14:textId="77777777" w:rsidR="00E46EA5" w:rsidRDefault="00000000">
      <w:pPr>
        <w:pStyle w:val="ListBullet"/>
      </w:pPr>
      <w:r>
        <w:t>- Non-Churned: 76.83%</w:t>
      </w:r>
    </w:p>
    <w:p w14:paraId="4A582B20" w14:textId="77777777" w:rsidR="00E46EA5" w:rsidRDefault="00000000">
      <w:pPr>
        <w:pStyle w:val="ListBullet"/>
      </w:pPr>
      <w:r>
        <w:t>- Churned: 23.17%</w:t>
      </w:r>
    </w:p>
    <w:p w14:paraId="337B5540" w14:textId="77777777" w:rsidR="00E46EA5" w:rsidRDefault="00000000">
      <w:pPr>
        <w:pStyle w:val="Heading1"/>
      </w:pPr>
      <w:r>
        <w:t>Total Spend Analysis</w:t>
      </w:r>
    </w:p>
    <w:p w14:paraId="1D823DF0" w14:textId="77777777" w:rsidR="00E46EA5" w:rsidRDefault="00000000">
      <w:pPr>
        <w:pStyle w:val="ListBullet"/>
      </w:pPr>
      <w:r>
        <w:t>Overall Summary:</w:t>
      </w:r>
    </w:p>
    <w:p w14:paraId="288ED0D1" w14:textId="77777777" w:rsidR="00E46EA5" w:rsidRDefault="00000000">
      <w:pPr>
        <w:pStyle w:val="ListBullet"/>
      </w:pPr>
      <w:r>
        <w:t>- Mean Spend: $566.61</w:t>
      </w:r>
    </w:p>
    <w:p w14:paraId="09EDB759" w14:textId="77777777" w:rsidR="00E46EA5" w:rsidRDefault="00000000">
      <w:pPr>
        <w:pStyle w:val="ListBullet"/>
      </w:pPr>
      <w:r>
        <w:t>- Range: $101 to $1000</w:t>
      </w:r>
    </w:p>
    <w:p w14:paraId="7F9F8780" w14:textId="77777777" w:rsidR="00E46EA5" w:rsidRDefault="00000000">
      <w:pPr>
        <w:pStyle w:val="ListBullet"/>
      </w:pPr>
      <w:r>
        <w:t>Average Total Spend by Churn:</w:t>
      </w:r>
    </w:p>
    <w:p w14:paraId="261E4638" w14:textId="77777777" w:rsidR="00E46EA5" w:rsidRDefault="00000000">
      <w:pPr>
        <w:pStyle w:val="ListBullet"/>
      </w:pPr>
      <w:r>
        <w:t>- Non-Churned: $578.08</w:t>
      </w:r>
    </w:p>
    <w:p w14:paraId="2587DD4D" w14:textId="4DA1A966" w:rsidR="002A2CA6" w:rsidRDefault="00000000" w:rsidP="002A2CA6">
      <w:pPr>
        <w:pStyle w:val="ListBullet"/>
      </w:pPr>
      <w:r>
        <w:t>- Churned: $530.67</w:t>
      </w:r>
    </w:p>
    <w:p w14:paraId="670EB0E7" w14:textId="77777777" w:rsidR="002A2CA6" w:rsidRDefault="002A2CA6" w:rsidP="002A2CA6">
      <w:pPr>
        <w:pStyle w:val="Heading1"/>
      </w:pPr>
      <w:r>
        <w:t>7. Strategic Recommendations</w:t>
      </w:r>
    </w:p>
    <w:p w14:paraId="39A58EDF" w14:textId="4E9D9B54" w:rsidR="002A2CA6" w:rsidRPr="002E3163" w:rsidRDefault="002A2CA6" w:rsidP="002A2CA6">
      <w:pPr>
        <w:pStyle w:val="ListBullet"/>
        <w:rPr>
          <w:b/>
          <w:bCs/>
        </w:rPr>
      </w:pPr>
      <w:r w:rsidRPr="002E3163">
        <w:rPr>
          <w:b/>
          <w:bCs/>
        </w:rPr>
        <w:t xml:space="preserve"> Targeted Retention for Females</w:t>
      </w:r>
    </w:p>
    <w:p w14:paraId="1F66CBA5" w14:textId="77777777" w:rsidR="002A2CA6" w:rsidRDefault="002A2CA6" w:rsidP="002A2CA6">
      <w:pPr>
        <w:ind w:left="360"/>
      </w:pPr>
      <w:r>
        <w:t>Female customers have a churn rate of 31.9%, nearly double that of males. Conduct customer satisfaction surveys or interviews, and tailor communication, loyalty rewards, or service enhancements specifically for them.</w:t>
      </w:r>
    </w:p>
    <w:p w14:paraId="459F291F" w14:textId="743716F4" w:rsidR="002A2CA6" w:rsidRPr="002E3163" w:rsidRDefault="002A2CA6" w:rsidP="002A2CA6">
      <w:pPr>
        <w:pStyle w:val="ListBullet"/>
        <w:rPr>
          <w:b/>
          <w:bCs/>
        </w:rPr>
      </w:pPr>
      <w:r w:rsidRPr="002E3163">
        <w:rPr>
          <w:b/>
          <w:bCs/>
        </w:rPr>
        <w:t>Proactive Support for High-Call Customers</w:t>
      </w:r>
    </w:p>
    <w:p w14:paraId="05F95C3D" w14:textId="77777777" w:rsidR="002A2CA6" w:rsidRDefault="002A2CA6" w:rsidP="002A2CA6">
      <w:pPr>
        <w:ind w:left="360"/>
      </w:pPr>
      <w:r>
        <w:t>Customers who churned made an average of 6.27 support calls. Flag high-support-interaction customers for early intervention.</w:t>
      </w:r>
    </w:p>
    <w:p w14:paraId="4A5438B2" w14:textId="007875AC" w:rsidR="002A2CA6" w:rsidRPr="002E3163" w:rsidRDefault="002A2CA6" w:rsidP="002A2CA6">
      <w:pPr>
        <w:pStyle w:val="ListBullet"/>
        <w:rPr>
          <w:b/>
          <w:bCs/>
        </w:rPr>
      </w:pPr>
      <w:r>
        <w:t xml:space="preserve"> </w:t>
      </w:r>
      <w:r w:rsidRPr="002E3163">
        <w:rPr>
          <w:b/>
          <w:bCs/>
        </w:rPr>
        <w:t>Monitor and Improve Payment Experience</w:t>
      </w:r>
    </w:p>
    <w:p w14:paraId="1C0FE8C5" w14:textId="77777777" w:rsidR="002A2CA6" w:rsidRDefault="002A2CA6" w:rsidP="002A2CA6">
      <w:pPr>
        <w:ind w:left="360"/>
      </w:pPr>
      <w:r>
        <w:t>Churned users have an average payment delay of 21.6 days. Introduce reminders, flexible billing, or timely payment incentives.</w:t>
      </w:r>
    </w:p>
    <w:p w14:paraId="29619AD2" w14:textId="2846F1AC" w:rsidR="002A2CA6" w:rsidRPr="002E3163" w:rsidRDefault="002A2CA6" w:rsidP="002A2CA6">
      <w:pPr>
        <w:pStyle w:val="ListBullet"/>
        <w:rPr>
          <w:b/>
          <w:bCs/>
        </w:rPr>
      </w:pPr>
      <w:r>
        <w:t xml:space="preserve"> </w:t>
      </w:r>
      <w:r w:rsidRPr="002E3163">
        <w:rPr>
          <w:b/>
          <w:bCs/>
        </w:rPr>
        <w:t>Focus on Lower Usage Segments</w:t>
      </w:r>
    </w:p>
    <w:p w14:paraId="207D282F" w14:textId="77777777" w:rsidR="002A2CA6" w:rsidRDefault="002A2CA6" w:rsidP="002A2CA6">
      <w:pPr>
        <w:ind w:left="360"/>
      </w:pPr>
      <w:r>
        <w:t>Churn rates are highest among low-frequency users. Use feature nudges and engagement strategies in early lifecycle stages.</w:t>
      </w:r>
    </w:p>
    <w:p w14:paraId="7C7B47E5" w14:textId="44B21114" w:rsidR="002A2CA6" w:rsidRPr="002E3163" w:rsidRDefault="002A2CA6" w:rsidP="002A2CA6">
      <w:pPr>
        <w:pStyle w:val="ListBullet"/>
        <w:rPr>
          <w:b/>
          <w:bCs/>
        </w:rPr>
      </w:pPr>
      <w:r w:rsidRPr="002E3163">
        <w:rPr>
          <w:b/>
          <w:bCs/>
        </w:rPr>
        <w:t xml:space="preserve"> Contract Optimization</w:t>
      </w:r>
    </w:p>
    <w:p w14:paraId="20821E92" w14:textId="77777777" w:rsidR="002A2CA6" w:rsidRDefault="002A2CA6" w:rsidP="002A2CA6">
      <w:pPr>
        <w:ind w:left="360"/>
      </w:pPr>
      <w:r>
        <w:t>Monthly contracts see the highest churn (27.1%). Promote longer-term plans with added value or onboarding incentives.</w:t>
      </w:r>
    </w:p>
    <w:p w14:paraId="3ADB7C9D" w14:textId="7E45F714" w:rsidR="002A2CA6" w:rsidRPr="002E3163" w:rsidRDefault="002A2CA6" w:rsidP="002A2CA6">
      <w:pPr>
        <w:pStyle w:val="ListBullet"/>
        <w:rPr>
          <w:b/>
          <w:bCs/>
        </w:rPr>
      </w:pPr>
      <w:r>
        <w:t xml:space="preserve"> </w:t>
      </w:r>
      <w:r w:rsidRPr="002E3163">
        <w:rPr>
          <w:b/>
          <w:bCs/>
        </w:rPr>
        <w:t>Subscription Type Messaging</w:t>
      </w:r>
    </w:p>
    <w:p w14:paraId="11486802" w14:textId="77777777" w:rsidR="002A2CA6" w:rsidRDefault="002A2CA6" w:rsidP="002A2CA6">
      <w:pPr>
        <w:ind w:left="360"/>
      </w:pPr>
      <w:r>
        <w:t>Standard subscribers have the highest churn rate (26.4%). Reassess the value proposition or reposition package offerings.</w:t>
      </w:r>
    </w:p>
    <w:p w14:paraId="21CAC775" w14:textId="5D24B572" w:rsidR="002A2CA6" w:rsidRPr="002E3163" w:rsidRDefault="002A2CA6" w:rsidP="002A2CA6">
      <w:pPr>
        <w:pStyle w:val="ListBullet"/>
        <w:rPr>
          <w:b/>
          <w:bCs/>
        </w:rPr>
      </w:pPr>
      <w:r w:rsidRPr="002E3163">
        <w:rPr>
          <w:b/>
          <w:bCs/>
        </w:rPr>
        <w:lastRenderedPageBreak/>
        <w:t xml:space="preserve"> Customer Profiling by Spend</w:t>
      </w:r>
    </w:p>
    <w:p w14:paraId="7B5285DA" w14:textId="77777777" w:rsidR="002A2CA6" w:rsidRDefault="002A2CA6" w:rsidP="002A2CA6">
      <w:pPr>
        <w:ind w:left="360"/>
      </w:pPr>
      <w:r>
        <w:t>Lower average spend is linked to higher churn. Design cost-effective retention programs for low-spend, high-risk segments.</w:t>
      </w:r>
    </w:p>
    <w:p w14:paraId="35DC7F5C" w14:textId="77777777" w:rsidR="002A2CA6" w:rsidRDefault="002A2CA6" w:rsidP="002A2CA6">
      <w:pPr>
        <w:pStyle w:val="ListBullet"/>
        <w:numPr>
          <w:ilvl w:val="0"/>
          <w:numId w:val="0"/>
        </w:numPr>
        <w:ind w:left="360" w:hanging="360"/>
      </w:pPr>
    </w:p>
    <w:sectPr w:rsidR="002A2C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3072034">
    <w:abstractNumId w:val="8"/>
  </w:num>
  <w:num w:numId="2" w16cid:durableId="858350451">
    <w:abstractNumId w:val="6"/>
  </w:num>
  <w:num w:numId="3" w16cid:durableId="1725566026">
    <w:abstractNumId w:val="5"/>
  </w:num>
  <w:num w:numId="4" w16cid:durableId="1712222781">
    <w:abstractNumId w:val="4"/>
  </w:num>
  <w:num w:numId="5" w16cid:durableId="1588464675">
    <w:abstractNumId w:val="7"/>
  </w:num>
  <w:num w:numId="6" w16cid:durableId="1772160553">
    <w:abstractNumId w:val="3"/>
  </w:num>
  <w:num w:numId="7" w16cid:durableId="2093776127">
    <w:abstractNumId w:val="2"/>
  </w:num>
  <w:num w:numId="8" w16cid:durableId="407578937">
    <w:abstractNumId w:val="1"/>
  </w:num>
  <w:num w:numId="9" w16cid:durableId="691959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969"/>
    <w:rsid w:val="0015074B"/>
    <w:rsid w:val="0029639D"/>
    <w:rsid w:val="002A2CA6"/>
    <w:rsid w:val="002E3163"/>
    <w:rsid w:val="00326F90"/>
    <w:rsid w:val="00A727D2"/>
    <w:rsid w:val="00AA1D8D"/>
    <w:rsid w:val="00B47730"/>
    <w:rsid w:val="00CB0664"/>
    <w:rsid w:val="00E46E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93B88A"/>
  <w14:defaultImageDpi w14:val="300"/>
  <w15:docId w15:val="{86F11D2F-F082-49D7-9645-2432FCB2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SOURANIL BISWAS</cp:lastModifiedBy>
  <cp:revision>4</cp:revision>
  <dcterms:created xsi:type="dcterms:W3CDTF">2025-05-17T17:05:00Z</dcterms:created>
  <dcterms:modified xsi:type="dcterms:W3CDTF">2025-05-17T17:07:00Z</dcterms:modified>
  <cp:category/>
</cp:coreProperties>
</file>