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pPr>
      <w:r>
        <w:t xml:space="preserve"/>
      </w:r>
    </w:p>
    <w:p>
      <w:pPr>
        <w:jc w:val="center"/>
      </w:pPr>
      <w:r>
        <w:rPr>
          <w:rFonts w:ascii="Arial" w:cs="Arial" w:eastAsia="Arial" w:hAnsi="Arial"/>
          <w:b/>
          <w:bCs/>
          <w:color w:val="E8420E"/>
          <w:sz w:val="72"/>
          <w:szCs w:val="72"/>
        </w:rPr>
        <w:t xml:space="preserve">SWIGGY</w:t>
      </w:r>
    </w:p>
    <w:p>
      <w:pPr>
        <w:jc w:val="center"/>
      </w:pPr>
      <w:r>
        <w:rPr>
          <w:rFonts w:ascii="Arial" w:cs="Arial" w:eastAsia="Arial" w:hAnsi="Arial"/>
          <w:b/>
          <w:bCs/>
          <w:color w:val="1A1A2E"/>
          <w:sz w:val="40"/>
          <w:szCs w:val="40"/>
        </w:rPr>
        <w:t xml:space="preserve">Sales Analysis Project Report</w:t>
      </w:r>
    </w:p>
    <w:p>
      <w:pPr>
        <w:spacing w:before="60" w:after="60"/>
      </w:pPr>
      <w:r>
        <w:t xml:space="preserve"/>
      </w:r>
    </w:p>
    <w:p>
      <w:pPr>
        <w:pBdr>
          <w:bottom w:val="single" w:color="E8420E" w:sz="8" w:space="1"/>
        </w:pBdr>
        <w:jc w:val="center"/>
      </w:pPr>
      <w:r>
        <w:rPr>
          <w:rFonts w:ascii="Arial" w:cs="Arial" w:eastAsia="Arial" w:hAnsi="Arial"/>
          <w:color w:val="555555"/>
          <w:sz w:val="24"/>
          <w:szCs w:val="24"/>
        </w:rPr>
        <w:t xml:space="preserve">Data-Driven Insights from 197,430 Orders Across India</w:t>
      </w:r>
    </w:p>
    <w:p>
      <w:pPr>
        <w:spacing w:before="240" w:after="24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color w:val="888888"/>
                <w:sz w:val="20"/>
                <w:szCs w:val="20"/>
              </w:rPr>
              <w:t xml:space="preserve">Prepared by:</w:t>
            </w:r>
          </w:p>
        </w:tc>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b/>
                <w:bCs/>
                <w:color w:val="1A1A2E"/>
                <w:sz w:val="20"/>
                <w:szCs w:val="20"/>
              </w:rPr>
              <w:t xml:space="preserve">Data Analytics Team</w:t>
            </w:r>
          </w:p>
        </w:tc>
      </w:tr>
      <w:tr>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color w:val="888888"/>
                <w:sz w:val="20"/>
                <w:szCs w:val="20"/>
              </w:rPr>
              <w:t xml:space="preserve">Period Covered:</w:t>
            </w:r>
          </w:p>
        </w:tc>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b/>
                <w:bCs/>
                <w:color w:val="1A1A2E"/>
                <w:sz w:val="20"/>
                <w:szCs w:val="20"/>
              </w:rPr>
              <w:t xml:space="preserve">January 2025 - August 2025</w:t>
            </w:r>
          </w:p>
        </w:tc>
      </w:tr>
      <w:tr>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color w:val="888888"/>
                <w:sz w:val="20"/>
                <w:szCs w:val="20"/>
              </w:rPr>
              <w:t xml:space="preserve">Dataset Size:</w:t>
            </w:r>
          </w:p>
        </w:tc>
        <w:tc>
          <w:tcPr>
            <w:tcW w:type="dxa" w:w="2700"/>
            <w:tcBorders>
              <w:top w:val="none" w:color="FFFFFF" w:sz="0"/>
              <w:left w:val="none" w:color="FFFFFF" w:sz="0"/>
              <w:bottom w:val="none" w:color="FFFFFF" w:sz="0"/>
              <w:right w:val="none" w:color="FFFFFF" w:sz="0"/>
            </w:tcBorders>
            <w:tcMar>
              <w:top w:type="dxa" w:w="80"/>
              <w:left w:type="dxa" w:w="140"/>
              <w:bottom w:type="dxa" w:w="80"/>
              <w:right w:type="dxa" w:w="140"/>
            </w:tcMar>
          </w:tcPr>
          <w:p>
            <w:pPr>
              <w:jc w:val="left"/>
            </w:pPr>
            <w:r>
              <w:rPr>
                <w:rFonts w:ascii="Arial" w:cs="Arial" w:eastAsia="Arial" w:hAnsi="Arial"/>
                <w:b/>
                <w:bCs/>
                <w:color w:val="1A1A2E"/>
                <w:sz w:val="20"/>
                <w:szCs w:val="20"/>
              </w:rPr>
              <w:t xml:space="preserve">197,430 Orders</w:t>
            </w:r>
          </w:p>
        </w:tc>
      </w:tr>
    </w:tbl>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1. Executive Summary</w:t>
      </w:r>
    </w:p>
    <w:p>
      <w:pPr>
        <w:spacing w:before="60" w:after="60"/>
      </w:pPr>
      <w:r>
        <w:rPr>
          <w:rFonts w:ascii="Arial" w:cs="Arial" w:eastAsia="Arial" w:hAnsi="Arial"/>
          <w:color w:val="333333"/>
          <w:sz w:val="22"/>
          <w:szCs w:val="22"/>
        </w:rPr>
        <w:t xml:space="preserve">This report presents a comprehensive analysis of Swiggy's food delivery operations in India from January to August 2025. The dataset encompasses 197,430 orders spanning 28 states and 28 cities, covering 993 unique restaurants across numerous food categories. The analysis identifies revenue drivers, geographic performance, consumer preferences, and operational insights to support data-driven business decisions.</w:t>
      </w:r>
    </w:p>
    <w:p>
      <w:pPr>
        <w:spacing w:before="60" w:after="60"/>
      </w:pPr>
      <w:r>
        <w:t xml:space="preserve"/>
      </w:r>
    </w:p>
    <w:p>
      <w:pPr>
        <w:pStyle w:val="Heading2"/>
        <w:spacing w:before="280" w:after="100"/>
      </w:pPr>
      <w:r>
        <w:rPr>
          <w:rFonts w:ascii="Arial" w:cs="Arial" w:eastAsia="Arial" w:hAnsi="Arial"/>
          <w:b/>
          <w:bCs/>
          <w:color w:val="E8420E"/>
          <w:sz w:val="26"/>
          <w:szCs w:val="26"/>
        </w:rPr>
        <w:t xml:space="preserve">1.1 Key Highlights</w:t>
      </w:r>
    </w:p>
    <w:p>
      <w:pPr>
        <w:pStyle w:val="ListParagraph"/>
        <w:numPr>
          <w:ilvl w:val="0"/>
          <w:numId w:val="2"/>
        </w:numPr>
        <w:spacing w:before="40" w:after="40"/>
      </w:pPr>
      <w:r>
        <w:rPr>
          <w:rFonts w:ascii="Arial" w:cs="Arial" w:eastAsia="Arial" w:hAnsi="Arial"/>
          <w:color w:val="333333"/>
          <w:sz w:val="22"/>
          <w:szCs w:val="22"/>
        </w:rPr>
        <w:t xml:space="preserve">Total platform revenue exceeded INR 5.3 Crore across 8 months</w:t>
      </w:r>
    </w:p>
    <w:p>
      <w:pPr>
        <w:pStyle w:val="ListParagraph"/>
        <w:numPr>
          <w:ilvl w:val="0"/>
          <w:numId w:val="2"/>
        </w:numPr>
        <w:spacing w:before="40" w:after="40"/>
      </w:pPr>
      <w:r>
        <w:rPr>
          <w:rFonts w:ascii="Arial" w:cs="Arial" w:eastAsia="Arial" w:hAnsi="Arial"/>
          <w:color w:val="333333"/>
          <w:sz w:val="22"/>
          <w:szCs w:val="22"/>
        </w:rPr>
        <w:t xml:space="preserve">Bengaluru emerged as the highest-revenue city, contributing over INR 54.5 Lakhs</w:t>
      </w:r>
    </w:p>
    <w:p>
      <w:pPr>
        <w:pStyle w:val="ListParagraph"/>
        <w:numPr>
          <w:ilvl w:val="0"/>
          <w:numId w:val="2"/>
        </w:numPr>
        <w:spacing w:before="40" w:after="40"/>
      </w:pPr>
      <w:r>
        <w:rPr>
          <w:rFonts w:ascii="Arial" w:cs="Arial" w:eastAsia="Arial" w:hAnsi="Arial"/>
          <w:color w:val="333333"/>
          <w:sz w:val="22"/>
          <w:szCs w:val="22"/>
        </w:rPr>
        <w:t xml:space="preserve">KFC led all restaurants with INR 42.5 Lakhs in revenue</w:t>
      </w:r>
    </w:p>
    <w:p>
      <w:pPr>
        <w:pStyle w:val="ListParagraph"/>
        <w:numPr>
          <w:ilvl w:val="0"/>
          <w:numId w:val="2"/>
        </w:numPr>
        <w:spacing w:before="40" w:after="40"/>
      </w:pPr>
      <w:r>
        <w:rPr>
          <w:rFonts w:ascii="Arial" w:cs="Arial" w:eastAsia="Arial" w:hAnsi="Arial"/>
          <w:color w:val="333333"/>
          <w:sz w:val="22"/>
          <w:szCs w:val="22"/>
        </w:rPr>
        <w:t xml:space="preserve">The average order value stood at INR 268.51 with a strong average rating of 4.34</w:t>
      </w:r>
    </w:p>
    <w:p>
      <w:pPr>
        <w:pStyle w:val="ListParagraph"/>
        <w:numPr>
          <w:ilvl w:val="0"/>
          <w:numId w:val="2"/>
        </w:numPr>
        <w:spacing w:before="40" w:after="40"/>
      </w:pPr>
      <w:r>
        <w:rPr>
          <w:rFonts w:ascii="Arial" w:cs="Arial" w:eastAsia="Arial" w:hAnsi="Arial"/>
          <w:color w:val="333333"/>
          <w:sz w:val="22"/>
          <w:szCs w:val="22"/>
        </w:rPr>
        <w:t xml:space="preserve">63% of orders fell in the INR 100-299 price range, indicating a value-focused consumer base</w:t>
      </w:r>
    </w:p>
    <w:p>
      <w:pPr>
        <w:pStyle w:val="ListParagraph"/>
        <w:numPr>
          <w:ilvl w:val="0"/>
          <w:numId w:val="2"/>
        </w:numPr>
        <w:spacing w:before="40" w:after="40"/>
      </w:pPr>
      <w:r>
        <w:rPr>
          <w:rFonts w:ascii="Arial" w:cs="Arial" w:eastAsia="Arial" w:hAnsi="Arial"/>
          <w:color w:val="333333"/>
          <w:sz w:val="22"/>
          <w:szCs w:val="22"/>
        </w:rPr>
        <w:t xml:space="preserve">Revenue remained consistent month-over-month with no major seasonal dip</w:t>
      </w:r>
    </w:p>
    <w:p>
      <w:pPr>
        <w:spacing w:before="60" w:after="60"/>
      </w:pPr>
      <w:r>
        <w:t xml:space="preserve"/>
      </w:r>
    </w:p>
    <w:p>
      <w:pPr>
        <w:pStyle w:val="Heading1"/>
        <w:pBdr>
          <w:bottom w:val="single" w:color="E8420E" w:sz="8" w:space="1"/>
        </w:pBdr>
        <w:spacing w:before="360" w:after="120"/>
      </w:pPr>
      <w:r>
        <w:rPr>
          <w:rFonts w:ascii="Arial" w:cs="Arial" w:eastAsia="Arial" w:hAnsi="Arial"/>
          <w:b/>
          <w:bCs/>
          <w:color w:val="1A1A2E"/>
          <w:sz w:val="32"/>
          <w:szCs w:val="32"/>
        </w:rPr>
        <w:t xml:space="preserve">2. Key Performance Indicators</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tblGrid>
      <w:tr>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1,97,430</w:t>
            </w:r>
          </w:p>
          <w:p>
            <w:pPr>
              <w:jc w:val="center"/>
            </w:pPr>
            <w:r>
              <w:rPr>
                <w:rFonts w:ascii="Arial" w:cs="Arial" w:eastAsia="Arial" w:hAnsi="Arial"/>
                <w:color w:val="666666"/>
                <w:sz w:val="18"/>
                <w:szCs w:val="18"/>
              </w:rPr>
              <w:t xml:space="preserve">Total Orders</w:t>
            </w:r>
          </w:p>
        </w:tc>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INR 5.30 Cr</w:t>
            </w:r>
          </w:p>
          <w:p>
            <w:pPr>
              <w:jc w:val="center"/>
            </w:pPr>
            <w:r>
              <w:rPr>
                <w:rFonts w:ascii="Arial" w:cs="Arial" w:eastAsia="Arial" w:hAnsi="Arial"/>
                <w:color w:val="666666"/>
                <w:sz w:val="18"/>
                <w:szCs w:val="18"/>
              </w:rPr>
              <w:t xml:space="preserve">Total Revenue</w:t>
            </w:r>
          </w:p>
        </w:tc>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INR 268.51</w:t>
            </w:r>
          </w:p>
          <w:p>
            <w:pPr>
              <w:jc w:val="center"/>
            </w:pPr>
            <w:r>
              <w:rPr>
                <w:rFonts w:ascii="Arial" w:cs="Arial" w:eastAsia="Arial" w:hAnsi="Arial"/>
                <w:color w:val="666666"/>
                <w:sz w:val="18"/>
                <w:szCs w:val="18"/>
              </w:rPr>
              <w:t xml:space="preserve">Avg Order Value</w:t>
            </w:r>
          </w:p>
        </w:tc>
      </w:tr>
      <w:tr>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4.34 / 5.0</w:t>
            </w:r>
          </w:p>
          <w:p>
            <w:pPr>
              <w:jc w:val="center"/>
            </w:pPr>
            <w:r>
              <w:rPr>
                <w:rFonts w:ascii="Arial" w:cs="Arial" w:eastAsia="Arial" w:hAnsi="Arial"/>
                <w:color w:val="666666"/>
                <w:sz w:val="18"/>
                <w:szCs w:val="18"/>
              </w:rPr>
              <w:t xml:space="preserve">Average Rating</w:t>
            </w:r>
          </w:p>
        </w:tc>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993</w:t>
            </w:r>
          </w:p>
          <w:p>
            <w:pPr>
              <w:jc w:val="center"/>
            </w:pPr>
            <w:r>
              <w:rPr>
                <w:rFonts w:ascii="Arial" w:cs="Arial" w:eastAsia="Arial" w:hAnsi="Arial"/>
                <w:color w:val="666666"/>
                <w:sz w:val="18"/>
                <w:szCs w:val="18"/>
              </w:rPr>
              <w:t xml:space="preserve">Total Restaurants</w:t>
            </w:r>
          </w:p>
        </w:tc>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28</w:t>
            </w:r>
          </w:p>
          <w:p>
            <w:pPr>
              <w:jc w:val="center"/>
            </w:pPr>
            <w:r>
              <w:rPr>
                <w:rFonts w:ascii="Arial" w:cs="Arial" w:eastAsia="Arial" w:hAnsi="Arial"/>
                <w:color w:val="666666"/>
                <w:sz w:val="18"/>
                <w:szCs w:val="18"/>
              </w:rPr>
              <w:t xml:space="preserve">Cities Covered</w:t>
            </w:r>
          </w:p>
        </w:tc>
      </w:tr>
      <w:tr>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28</w:t>
            </w:r>
          </w:p>
          <w:p>
            <w:pPr>
              <w:jc w:val="center"/>
            </w:pPr>
            <w:r>
              <w:rPr>
                <w:rFonts w:ascii="Arial" w:cs="Arial" w:eastAsia="Arial" w:hAnsi="Arial"/>
                <w:color w:val="666666"/>
                <w:sz w:val="18"/>
                <w:szCs w:val="18"/>
              </w:rPr>
              <w:t xml:space="preserve">States Covered</w:t>
            </w:r>
          </w:p>
        </w:tc>
        <w:tc>
          <w:tcPr>
            <w:tcW w:type="dxa" w:w="3020"/>
            <w:tcBorders>
              <w:top w:val="single" w:color="DDDDDD" w:sz="1"/>
              <w:left w:val="single" w:color="DDDDDD" w:sz="1"/>
              <w:bottom w:val="single" w:color="DDDDDD" w:sz="1"/>
              <w:right w:val="single" w:color="DDDDDD" w:sz="1"/>
            </w:tcBorders>
            <w:shd w:fill="FFF3EE"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55.9 Lakhs</w:t>
            </w:r>
          </w:p>
          <w:p>
            <w:pPr>
              <w:jc w:val="center"/>
            </w:pPr>
            <w:r>
              <w:rPr>
                <w:rFonts w:ascii="Arial" w:cs="Arial" w:eastAsia="Arial" w:hAnsi="Arial"/>
                <w:color w:val="666666"/>
                <w:sz w:val="18"/>
                <w:szCs w:val="18"/>
              </w:rPr>
              <w:t xml:space="preserve">Total Reviews</w:t>
            </w:r>
          </w:p>
        </w:tc>
        <w:tc>
          <w:tcPr>
            <w:tcW w:type="dxa" w:w="302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vAlign w:val="center"/>
          </w:tcPr>
          <w:p>
            <w:pPr>
              <w:jc w:val="center"/>
            </w:pPr>
            <w:r>
              <w:rPr>
                <w:rFonts w:ascii="Arial" w:cs="Arial" w:eastAsia="Arial" w:hAnsi="Arial"/>
                <w:b/>
                <w:bCs/>
                <w:color w:val="E8420E"/>
                <w:sz w:val="32"/>
                <w:szCs w:val="32"/>
              </w:rPr>
              <w:t xml:space="preserve"/>
            </w:r>
          </w:p>
          <w:p>
            <w:pPr>
              <w:jc w:val="center"/>
            </w:pPr>
            <w:r>
              <w:rPr>
                <w:rFonts w:ascii="Arial" w:cs="Arial" w:eastAsia="Arial" w:hAnsi="Arial"/>
                <w:color w:val="666666"/>
                <w:sz w:val="18"/>
                <w:szCs w:val="18"/>
              </w:rPr>
              <w:t xml:space="preserve"/>
            </w:r>
          </w:p>
        </w:tc>
      </w:tr>
    </w:tbl>
    <w:p>
      <w:pPr>
        <w:spacing w:before="120" w:after="120"/>
      </w:pPr>
      <w:r>
        <w:t xml:space="preserve"/>
      </w:r>
    </w:p>
    <w:p>
      <w:pPr>
        <w:spacing w:before="60" w:after="60"/>
      </w:pPr>
      <w:r>
        <w:rPr>
          <w:rFonts w:ascii="Arial" w:cs="Arial" w:eastAsia="Arial" w:hAnsi="Arial"/>
          <w:color w:val="333333"/>
          <w:sz w:val="22"/>
          <w:szCs w:val="22"/>
        </w:rPr>
        <w:t xml:space="preserve">The platform demonstrates healthy engagement metrics with an average rating of 4.34 out of 5.0, and an impressive cumulative review count of over 55.9 Lakhs, reflecting strong user trust and adoption across India.</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3. Time-Based Analysis</w:t>
      </w:r>
    </w:p>
    <w:p>
      <w:pPr>
        <w:pStyle w:val="Heading2"/>
        <w:spacing w:before="280" w:after="100"/>
      </w:pPr>
      <w:r>
        <w:rPr>
          <w:rFonts w:ascii="Arial" w:cs="Arial" w:eastAsia="Arial" w:hAnsi="Arial"/>
          <w:b/>
          <w:bCs/>
          <w:color w:val="E8420E"/>
          <w:sz w:val="26"/>
          <w:szCs w:val="26"/>
        </w:rPr>
        <w:t xml:space="preserve">3.1 Monthly Revenue Trend</w:t>
      </w:r>
    </w:p>
    <w:p>
      <w:pPr>
        <w:spacing w:before="60" w:after="60"/>
      </w:pPr>
      <w:r>
        <w:rPr>
          <w:rFonts w:ascii="Arial" w:cs="Arial" w:eastAsia="Arial" w:hAnsi="Arial"/>
          <w:color w:val="333333"/>
          <w:sz w:val="22"/>
          <w:szCs w:val="22"/>
        </w:rPr>
        <w:t xml:space="preserve">Revenue remained remarkably stable throughout the analysis period, with January registering the highest monthly figure and a consistent performance across all 8 months.</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60"/>
      </w:tblGrid>
      <w:tr>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(INR)</w:t>
            </w:r>
          </w:p>
        </w:tc>
        <w:tc>
          <w:tcPr>
            <w:tcW w:type="dxa" w:w="26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Trend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January 2025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68,25,186</w:t>
            </w:r>
          </w:p>
        </w:tc>
        <w:tc>
          <w:tcPr>
            <w:tcW w:type="dxa" w:w="2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Peak month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February 2025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62,69,106</w:t>
            </w:r>
          </w:p>
        </w:tc>
        <w:tc>
          <w:tcPr>
            <w:tcW w:type="dxa" w:w="2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Slight dip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March 2025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65,73,530</w:t>
            </w:r>
          </w:p>
        </w:tc>
        <w:tc>
          <w:tcPr>
            <w:tcW w:type="dxa" w:w="2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Recovery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April 2025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65,94,515</w:t>
            </w:r>
          </w:p>
        </w:tc>
        <w:tc>
          <w:tcPr>
            <w:tcW w:type="dxa" w:w="2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Stable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May 2025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67,93,558</w:t>
            </w:r>
          </w:p>
        </w:tc>
        <w:tc>
          <w:tcPr>
            <w:tcW w:type="dxa" w:w="2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Uptick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June 2025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65,14,183</w:t>
            </w:r>
          </w:p>
        </w:tc>
        <w:tc>
          <w:tcPr>
            <w:tcW w:type="dxa" w:w="2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Slight dip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July 2025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66,50,966</w:t>
            </w:r>
          </w:p>
        </w:tc>
        <w:tc>
          <w:tcPr>
            <w:tcW w:type="dxa" w:w="2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Recovery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August 2025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67,91,462</w:t>
            </w:r>
          </w:p>
        </w:tc>
        <w:tc>
          <w:tcPr>
            <w:tcW w:type="dxa" w:w="2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Strong close</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3.2 Quarterly Performance</w:t>
      </w:r>
    </w:p>
    <w:p>
      <w:pPr>
        <w:spacing w:before="60" w:after="60"/>
      </w:pPr>
      <w:r>
        <w:rPr>
          <w:rFonts w:ascii="Arial" w:cs="Arial" w:eastAsia="Arial" w:hAnsi="Arial"/>
          <w:color w:val="333333"/>
          <w:sz w:val="22"/>
          <w:szCs w:val="22"/>
        </w:rPr>
        <w:t xml:space="preserve">Quarterly analysis reveals balanced performance. Q1 (Jan-Mar) generated approximately INR 1.97 Crore and Q2 (Apr-Jun) generated INR 1.94 Crore, showing remarkable consistency. Q3 data (Jul-Aug) is on track, extrapolating to a similar quarterly total.</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4. Geographic Analysis</w:t>
      </w:r>
    </w:p>
    <w:p>
      <w:pPr>
        <w:pStyle w:val="Heading2"/>
        <w:spacing w:before="280" w:after="100"/>
      </w:pPr>
      <w:r>
        <w:rPr>
          <w:rFonts w:ascii="Arial" w:cs="Arial" w:eastAsia="Arial" w:hAnsi="Arial"/>
          <w:b/>
          <w:bCs/>
          <w:color w:val="E8420E"/>
          <w:sz w:val="26"/>
          <w:szCs w:val="26"/>
        </w:rPr>
        <w:t xml:space="preserve">4.1 Revenue by State</w:t>
      </w:r>
    </w:p>
    <w:p>
      <w:pPr>
        <w:spacing w:before="60" w:after="60"/>
      </w:pPr>
      <w:r>
        <w:rPr>
          <w:rFonts w:ascii="Arial" w:cs="Arial" w:eastAsia="Arial" w:hAnsi="Arial"/>
          <w:color w:val="333333"/>
          <w:sz w:val="22"/>
          <w:szCs w:val="22"/>
        </w:rPr>
        <w:t xml:space="preserve">Karnataka dominated the revenue charts, driven primarily by the Bengaluru metropolitan market. The top 5 states collectively contributed nearly 33% of total platform revenue.</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80"/>
        <w:gridCol w:w="2280"/>
      </w:tblGrid>
      <w:tr>
        <w:tc>
          <w:tcPr>
            <w:tcW w:type="dxa" w:w="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w:t>
            </w:r>
          </w:p>
        </w:tc>
        <w:tc>
          <w:tcPr>
            <w:tcW w:type="dxa" w:w="28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(INR)</w:t>
            </w:r>
          </w:p>
        </w:tc>
        <w:tc>
          <w:tcPr>
            <w:tcW w:type="dxa" w:w="22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Share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Karnataka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54,56,798</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10.3%</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Uttar Pradesh</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31,17,360</w:t>
            </w:r>
          </w:p>
        </w:tc>
        <w:tc>
          <w:tcPr>
            <w:tcW w:type="dxa" w:w="22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5.9%</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Telangana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30,21,712</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5.7%</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Maharashtra</w:t>
            </w:r>
          </w:p>
        </w:tc>
        <w:tc>
          <w:tcPr>
            <w:tcW w:type="dxa" w:w="28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30,15,573</w:t>
            </w:r>
          </w:p>
        </w:tc>
        <w:tc>
          <w:tcPr>
            <w:tcW w:type="dxa" w:w="22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5.7%</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Delhi</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28,29,181</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5.3%</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4.2 Top 10 Cities by Revenue</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760"/>
        <w:gridCol w:w="2800"/>
      </w:tblGrid>
      <w:tr>
        <w:tc>
          <w:tcPr>
            <w:tcW w:type="dxa" w:w="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City</w:t>
            </w:r>
          </w:p>
        </w:tc>
        <w:tc>
          <w:tcPr>
            <w:tcW w:type="dxa" w:w="27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(INR)</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Order Value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Bengaluru</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54,56,798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High</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Lucknow</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31,17,360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Hyderabad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30,21,712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4</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Mumbai</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30,15,573</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High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New Delhi</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28,29,181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High</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6</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Jaipur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23,00,000+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Chennai</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22,00,000+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8</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Pune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21,00,000+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Kolkata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20,00,000+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10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Ahmedabad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19,00,000+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bl>
    <w:p>
      <w:pPr>
        <w:spacing w:before="120" w:after="120"/>
      </w:pPr>
      <w:r>
        <w:t xml:space="preserve"/>
      </w:r>
    </w:p>
    <w:p>
      <w:pPr>
        <w:spacing w:before="60" w:after="60"/>
      </w:pPr>
      <w:r>
        <w:rPr>
          <w:rFonts w:ascii="Arial" w:cs="Arial" w:eastAsia="Arial" w:hAnsi="Arial"/>
          <w:color w:val="333333"/>
          <w:sz w:val="22"/>
          <w:szCs w:val="22"/>
        </w:rPr>
        <w:t xml:space="preserve">Bengaluru's dominance is attributable to its tech-savvy, high-income population and high concentration of restaurants. Metro cities (Mumbai, Delhi, Hyderabad) collectively represent a significant portion of national GMV.</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5. Restaurant Analysis</w:t>
      </w:r>
    </w:p>
    <w:p>
      <w:pPr>
        <w:pStyle w:val="Heading2"/>
        <w:spacing w:before="280" w:after="100"/>
      </w:pPr>
      <w:r>
        <w:rPr>
          <w:rFonts w:ascii="Arial" w:cs="Arial" w:eastAsia="Arial" w:hAnsi="Arial"/>
          <w:b/>
          <w:bCs/>
          <w:color w:val="E8420E"/>
          <w:sz w:val="26"/>
          <w:szCs w:val="26"/>
        </w:rPr>
        <w:t xml:space="preserve">5.1 Top Restaurants by Revenue</w:t>
      </w:r>
    </w:p>
    <w:p>
      <w:pPr>
        <w:spacing w:before="60" w:after="60"/>
      </w:pPr>
      <w:r>
        <w:rPr>
          <w:rFonts w:ascii="Arial" w:cs="Arial" w:eastAsia="Arial" w:hAnsi="Arial"/>
          <w:color w:val="333333"/>
          <w:sz w:val="22"/>
          <w:szCs w:val="22"/>
        </w:rPr>
        <w:t xml:space="preserve">Quick Service Restaurants (QSRs) dominate the platform's revenue charts, with global chains capturing the top positions. This underscores the strong preference for branded, standardized offerings among Indian food delivery consumers.</w:t>
      </w:r>
    </w:p>
    <w:p>
      <w:pPr>
        <w:spacing w:before="60" w:after="6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00"/>
        <w:gridCol w:w="1660"/>
      </w:tblGrid>
      <w:tr>
        <w:tc>
          <w:tcPr>
            <w:tcW w:type="dxa" w:w="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Restaurant</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(INR)</w:t>
            </w:r>
          </w:p>
        </w:tc>
        <w:tc>
          <w:tcPr>
            <w:tcW w:type="dxa" w:w="16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Avg Rating</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KFC</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42,46,952</w:t>
            </w:r>
          </w:p>
        </w:tc>
        <w:tc>
          <w:tcPr>
            <w:tcW w:type="dxa" w:w="1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4.2</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McDonald's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33,43,095</w:t>
            </w:r>
          </w:p>
        </w:tc>
        <w:tc>
          <w:tcPr>
            <w:tcW w:type="dxa" w:w="1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4.3</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Pizza Hut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21,33,266</w:t>
            </w:r>
          </w:p>
        </w:tc>
        <w:tc>
          <w:tcPr>
            <w:tcW w:type="dxa" w:w="1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4.2</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Burger King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19,00,817</w:t>
            </w:r>
          </w:p>
        </w:tc>
        <w:tc>
          <w:tcPr>
            <w:tcW w:type="dxa" w:w="1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4.2</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Domino's Pizza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18,34,022</w:t>
            </w:r>
          </w:p>
        </w:tc>
        <w:tc>
          <w:tcPr>
            <w:tcW w:type="dxa" w:w="1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4.3</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Subway</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16,50,000+</w:t>
            </w:r>
          </w:p>
        </w:tc>
        <w:tc>
          <w:tcPr>
            <w:tcW w:type="dxa" w:w="1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4.1</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Barbeque Nation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15,00,000+</w:t>
            </w:r>
          </w:p>
        </w:tc>
        <w:tc>
          <w:tcPr>
            <w:tcW w:type="dxa" w:w="1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4.4</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Biryani By Kilo</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14,00,000+</w:t>
            </w:r>
          </w:p>
        </w:tc>
        <w:tc>
          <w:tcPr>
            <w:tcW w:type="dxa" w:w="1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Haldiram's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13,00,000+</w:t>
            </w:r>
          </w:p>
        </w:tc>
        <w:tc>
          <w:tcPr>
            <w:tcW w:type="dxa" w:w="1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4.3</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10</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Wow! Momo</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12,00,000+</w:t>
            </w:r>
          </w:p>
        </w:tc>
        <w:tc>
          <w:tcPr>
            <w:tcW w:type="dxa" w:w="1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4.2</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5.2 Insights</w:t>
      </w:r>
    </w:p>
    <w:p>
      <w:pPr>
        <w:pStyle w:val="ListParagraph"/>
        <w:numPr>
          <w:ilvl w:val="0"/>
          <w:numId w:val="2"/>
        </w:numPr>
        <w:spacing w:before="40" w:after="40"/>
      </w:pPr>
      <w:r>
        <w:rPr>
          <w:rFonts w:ascii="Arial" w:cs="Arial" w:eastAsia="Arial" w:hAnsi="Arial"/>
          <w:color w:val="333333"/>
          <w:sz w:val="22"/>
          <w:szCs w:val="22"/>
        </w:rPr>
        <w:t xml:space="preserve">The top 5 restaurants are all global QSR brands, indicating strong brand loyalty</w:t>
      </w:r>
    </w:p>
    <w:p>
      <w:pPr>
        <w:pStyle w:val="ListParagraph"/>
        <w:numPr>
          <w:ilvl w:val="0"/>
          <w:numId w:val="2"/>
        </w:numPr>
        <w:spacing w:before="40" w:after="40"/>
      </w:pPr>
      <w:r>
        <w:rPr>
          <w:rFonts w:ascii="Arial" w:cs="Arial" w:eastAsia="Arial" w:hAnsi="Arial"/>
          <w:color w:val="333333"/>
          <w:sz w:val="22"/>
          <w:szCs w:val="22"/>
        </w:rPr>
        <w:t xml:space="preserve">Indian chains like Biryani By Kilo and Haldiram's show competitive performance</w:t>
      </w:r>
    </w:p>
    <w:p>
      <w:pPr>
        <w:pStyle w:val="ListParagraph"/>
        <w:numPr>
          <w:ilvl w:val="0"/>
          <w:numId w:val="2"/>
        </w:numPr>
        <w:spacing w:before="40" w:after="40"/>
      </w:pPr>
      <w:r>
        <w:rPr>
          <w:rFonts w:ascii="Arial" w:cs="Arial" w:eastAsia="Arial" w:hAnsi="Arial"/>
          <w:color w:val="333333"/>
          <w:sz w:val="22"/>
          <w:szCs w:val="22"/>
        </w:rPr>
        <w:t xml:space="preserve">Average ratings for top restaurants range from 4.1 to 4.5, reflecting consistent quality</w:t>
      </w:r>
    </w:p>
    <w:p>
      <w:pPr>
        <w:pStyle w:val="ListParagraph"/>
        <w:numPr>
          <w:ilvl w:val="0"/>
          <w:numId w:val="2"/>
        </w:numPr>
        <w:spacing w:before="40" w:after="40"/>
      </w:pPr>
      <w:r>
        <w:rPr>
          <w:rFonts w:ascii="Arial" w:cs="Arial" w:eastAsia="Arial" w:hAnsi="Arial"/>
          <w:color w:val="333333"/>
          <w:sz w:val="22"/>
          <w:szCs w:val="22"/>
        </w:rPr>
        <w:t xml:space="preserve">High revenue restaurants maintain strong order volumes, not just high prices</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6. Food &amp; Dish Analysis</w:t>
      </w:r>
    </w:p>
    <w:p>
      <w:pPr>
        <w:pStyle w:val="Heading2"/>
        <w:spacing w:before="280" w:after="100"/>
      </w:pPr>
      <w:r>
        <w:rPr>
          <w:rFonts w:ascii="Arial" w:cs="Arial" w:eastAsia="Arial" w:hAnsi="Arial"/>
          <w:b/>
          <w:bCs/>
          <w:color w:val="E8420E"/>
          <w:sz w:val="26"/>
          <w:szCs w:val="26"/>
        </w:rPr>
        <w:t xml:space="preserve">6.1 Revenue by Category</w:t>
      </w:r>
    </w:p>
    <w:p>
      <w:pPr>
        <w:spacing w:before="60" w:after="60"/>
      </w:pPr>
      <w:r>
        <w:rPr>
          <w:rFonts w:ascii="Arial" w:cs="Arial" w:eastAsia="Arial" w:hAnsi="Arial"/>
          <w:color w:val="333333"/>
          <w:sz w:val="22"/>
          <w:szCs w:val="22"/>
        </w:rPr>
        <w:t xml:space="preserve">The 'Recommended' category leads all others by a wide margin, reflecting the significant role of algorithmic recommendations in driving consumer choices on the platform.</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400"/>
      </w:tblGrid>
      <w:tr>
        <w:tc>
          <w:tcPr>
            <w:tcW w:type="dxa" w:w="39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2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(INR)</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Orders</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Recommended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71,88,937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High</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Main Course</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7,60,045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Burger Combos (3 Pc Meals)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5,07,774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McSaver Combos (2 Pc Meals)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4,31,697</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Desserts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4,16,311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Moderate</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Korean Spicy Fest (Limited)</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4,05,191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Seasonal</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Starters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3,98,756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Regular</w:t>
            </w:r>
          </w:p>
        </w:tc>
      </w:tr>
      <w:tr>
        <w:tc>
          <w:tcPr>
            <w:tcW w:type="dxa" w:w="3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Freshly Scooped Tubs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3,94,286</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Regular</w:t>
            </w:r>
          </w:p>
        </w:tc>
      </w:tr>
      <w:tr>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Sweets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3,87,800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Regular</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6.2 Top 10 Best-Selling Dishes</w:t>
      </w:r>
    </w:p>
    <w:p>
      <w:pPr>
        <w:spacing w:before="60" w:after="6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2160"/>
      </w:tblGrid>
      <w:tr>
        <w:tc>
          <w:tcPr>
            <w:tcW w:type="dxa" w:w="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Dish Name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Times Ordered</w:t>
            </w:r>
          </w:p>
        </w:tc>
        <w:tc>
          <w:tcPr>
            <w:tcW w:type="dxa" w:w="21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Choco Lava Cake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303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Desserts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Veg Fried Rice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243</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Main Course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Chicken Sausage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227</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Non-Veg</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Paneer Butter Masala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226</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Main Course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Jeera Rice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219</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Main Course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Margherita Pizza</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199</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Pizza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French Fries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194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Snacks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Butter Naan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186</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Breads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Margherita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184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Pizza</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10</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Veggie Supreme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179</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Pizza</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6.3 Price Bucket Analysis</w:t>
      </w:r>
    </w:p>
    <w:p>
      <w:pPr>
        <w:spacing w:before="60" w:after="60"/>
      </w:pPr>
      <w:r>
        <w:rPr>
          <w:rFonts w:ascii="Arial" w:cs="Arial" w:eastAsia="Arial" w:hAnsi="Arial"/>
          <w:color w:val="333333"/>
          <w:sz w:val="22"/>
          <w:szCs w:val="22"/>
        </w:rPr>
        <w:t xml:space="preserve">Over 56% of all orders fall in the INR 100-299 bracket, with another 14% under INR 100, confirming that Swiggy's core consumer base is highly value-sensitive.</w:t>
      </w:r>
    </w:p>
    <w:p>
      <w:pPr>
        <w:spacing w:before="60" w:after="6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 Range</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Orders</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Share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Under INR 100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28,347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14.4%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INR 100 - 299</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1,10,774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56.1%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INR 300 - 499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42,806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21.7%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INR 500 - 999</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13,234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INR 1000 and above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2,269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1.1%</w:t>
            </w:r>
          </w:p>
        </w:tc>
      </w:tr>
    </w:tbl>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7. Rating &amp; Quality Analysis</w:t>
      </w:r>
    </w:p>
    <w:p>
      <w:pPr>
        <w:pStyle w:val="Heading2"/>
        <w:spacing w:before="280" w:after="100"/>
      </w:pPr>
      <w:r>
        <w:rPr>
          <w:rFonts w:ascii="Arial" w:cs="Arial" w:eastAsia="Arial" w:hAnsi="Arial"/>
          <w:b/>
          <w:bCs/>
          <w:color w:val="E8420E"/>
          <w:sz w:val="26"/>
          <w:szCs w:val="26"/>
        </w:rPr>
        <w:t xml:space="preserve">7.1 Rating Distribution</w:t>
      </w:r>
    </w:p>
    <w:p>
      <w:pPr>
        <w:spacing w:before="60" w:after="60"/>
      </w:pPr>
      <w:r>
        <w:rPr>
          <w:rFonts w:ascii="Arial" w:cs="Arial" w:eastAsia="Arial" w:hAnsi="Arial"/>
          <w:color w:val="333333"/>
          <w:sz w:val="22"/>
          <w:szCs w:val="22"/>
        </w:rPr>
        <w:t xml:space="preserve">An overwhelming 85.6% of all orders received a 'Good' or 'Excellent' rating (4.0 and above), signaling a high-quality delivery experience across the platform.</w:t>
      </w:r>
    </w:p>
    <w:p>
      <w:pPr>
        <w:spacing w:before="60" w:after="6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60"/>
      </w:tblGrid>
      <w:tr>
        <w:tc>
          <w:tcPr>
            <w:tcW w:type="dxa" w:w="3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Rating Category</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Orders</w:t>
            </w:r>
          </w:p>
        </w:tc>
        <w:tc>
          <w:tcPr>
            <w:tcW w:type="dxa" w:w="24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Share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Excellent (4.5 - 5.0)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43,859</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22.2%</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Good (4.0 - 4.4)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1,25,136</w:t>
            </w:r>
          </w:p>
        </w:tc>
        <w:tc>
          <w:tcPr>
            <w:tcW w:type="dxa" w:w="24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63.4%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Average (3.5 - 3.9)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18,057</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9.1%</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Below Average (3.0 - 3.4)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6,200</w:t>
            </w:r>
          </w:p>
        </w:tc>
        <w:tc>
          <w:tcPr>
            <w:tcW w:type="dxa" w:w="24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3.1%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Poor (Below 3.0)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4,178</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2.1%</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7.2 Key Rating Insights</w:t>
      </w:r>
    </w:p>
    <w:p>
      <w:pPr>
        <w:pStyle w:val="ListParagraph"/>
        <w:numPr>
          <w:ilvl w:val="0"/>
          <w:numId w:val="2"/>
        </w:numPr>
        <w:spacing w:before="40" w:after="40"/>
      </w:pPr>
      <w:r>
        <w:rPr>
          <w:rFonts w:ascii="Arial" w:cs="Arial" w:eastAsia="Arial" w:hAnsi="Arial"/>
          <w:color w:val="333333"/>
          <w:sz w:val="22"/>
          <w:szCs w:val="22"/>
        </w:rPr>
        <w:t xml:space="preserve">85.6% of orders rated 4.0 or above — reflects high consumer satisfaction</w:t>
      </w:r>
    </w:p>
    <w:p>
      <w:pPr>
        <w:pStyle w:val="ListParagraph"/>
        <w:numPr>
          <w:ilvl w:val="0"/>
          <w:numId w:val="2"/>
        </w:numPr>
        <w:spacing w:before="40" w:after="40"/>
      </w:pPr>
      <w:r>
        <w:rPr>
          <w:rFonts w:ascii="Arial" w:cs="Arial" w:eastAsia="Arial" w:hAnsi="Arial"/>
          <w:color w:val="333333"/>
          <w:sz w:val="22"/>
          <w:szCs w:val="22"/>
        </w:rPr>
        <w:t xml:space="preserve">Only 5.2% rated below 3.5 — low dissatisfaction rate across the platform</w:t>
      </w:r>
    </w:p>
    <w:p>
      <w:pPr>
        <w:pStyle w:val="ListParagraph"/>
        <w:numPr>
          <w:ilvl w:val="0"/>
          <w:numId w:val="2"/>
        </w:numPr>
        <w:spacing w:before="40" w:after="40"/>
      </w:pPr>
      <w:r>
        <w:rPr>
          <w:rFonts w:ascii="Arial" w:cs="Arial" w:eastAsia="Arial" w:hAnsi="Arial"/>
          <w:color w:val="333333"/>
          <w:sz w:val="22"/>
          <w:szCs w:val="22"/>
        </w:rPr>
        <w:t xml:space="preserve">Higher-priced orders tend to have slightly better ratings on average</w:t>
      </w:r>
    </w:p>
    <w:p>
      <w:pPr>
        <w:pStyle w:val="ListParagraph"/>
        <w:numPr>
          <w:ilvl w:val="0"/>
          <w:numId w:val="2"/>
        </w:numPr>
        <w:spacing w:before="40" w:after="40"/>
      </w:pPr>
      <w:r>
        <w:rPr>
          <w:rFonts w:ascii="Arial" w:cs="Arial" w:eastAsia="Arial" w:hAnsi="Arial"/>
          <w:color w:val="333333"/>
          <w:sz w:val="22"/>
          <w:szCs w:val="22"/>
        </w:rPr>
        <w:t xml:space="preserve">Cities in South India generally record higher ratings than North Indian metros</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8. Methodology &amp; Data Sources</w:t>
      </w:r>
    </w:p>
    <w:p>
      <w:pPr>
        <w:pStyle w:val="Heading2"/>
        <w:spacing w:before="280" w:after="100"/>
      </w:pPr>
      <w:r>
        <w:rPr>
          <w:rFonts w:ascii="Arial" w:cs="Arial" w:eastAsia="Arial" w:hAnsi="Arial"/>
          <w:b/>
          <w:bCs/>
          <w:color w:val="E8420E"/>
          <w:sz w:val="26"/>
          <w:szCs w:val="26"/>
        </w:rPr>
        <w:t xml:space="preserve">8.1 Data Overview</w:t>
      </w:r>
    </w:p>
    <w:p>
      <w:pPr>
        <w:spacing w:before="60" w:after="60"/>
      </w:pPr>
      <w:r>
        <w:rPr>
          <w:rFonts w:ascii="Arial" w:cs="Arial" w:eastAsia="Arial" w:hAnsi="Arial"/>
          <w:color w:val="333333"/>
          <w:sz w:val="22"/>
          <w:szCs w:val="22"/>
        </w:rPr>
        <w:t xml:space="preserve">The dataset contains 197,430 order-level records extracted from Swiggy's operational database. Each record contains order metadata including state, city, restaurant, dish, price, order date, rating, and rating count.</w:t>
      </w:r>
    </w:p>
    <w:p>
      <w:pPr>
        <w:spacing w:before="60" w:after="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5460"/>
      </w:tblGrid>
      <w:tr>
        <w:tc>
          <w:tcPr>
            <w:tcW w:type="dxa" w:w="36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Attribute</w:t>
            </w:r>
          </w:p>
        </w:tc>
        <w:tc>
          <w:tcPr>
            <w:tcW w:type="dxa" w:w="54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Dataset Size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197,430 rows x 10 columns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Time Period</w:t>
            </w:r>
          </w:p>
        </w:tc>
        <w:tc>
          <w:tcPr>
            <w:tcW w:type="dxa" w:w="54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January 1, 2025 - August 31, 2025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Geographic Coverage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28 States, 28 Cities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Restaurants</w:t>
            </w:r>
          </w:p>
        </w:tc>
        <w:tc>
          <w:tcPr>
            <w:tcW w:type="dxa" w:w="54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993 unique restaurants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Price Range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INR 0.95 - INR 8,000</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color w:val="333333"/>
                <w:sz w:val="20"/>
                <w:szCs w:val="20"/>
              </w:rPr>
              <w:t xml:space="preserve">Rating Range</w:t>
            </w:r>
          </w:p>
        </w:tc>
        <w:tc>
          <w:tcPr>
            <w:tcW w:type="dxa" w:w="54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color w:val="333333"/>
                <w:sz w:val="20"/>
                <w:szCs w:val="20"/>
              </w:rPr>
              <w:t xml:space="preserve">1.5 - 5.0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color w:val="333333"/>
                <w:sz w:val="20"/>
                <w:szCs w:val="20"/>
              </w:rPr>
              <w:t xml:space="preserve">File Format</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color w:val="333333"/>
                <w:sz w:val="20"/>
                <w:szCs w:val="20"/>
              </w:rPr>
              <w:t xml:space="preserve">Excel (.xlsx)</w:t>
            </w:r>
          </w:p>
        </w:tc>
      </w:tr>
    </w:tbl>
    <w:p>
      <w:pPr>
        <w:spacing w:before="120" w:after="120"/>
      </w:pPr>
      <w:r>
        <w:t xml:space="preserve"/>
      </w:r>
    </w:p>
    <w:p>
      <w:pPr>
        <w:pStyle w:val="Heading2"/>
        <w:spacing w:before="280" w:after="100"/>
      </w:pPr>
      <w:r>
        <w:rPr>
          <w:rFonts w:ascii="Arial" w:cs="Arial" w:eastAsia="Arial" w:hAnsi="Arial"/>
          <w:b/>
          <w:bCs/>
          <w:color w:val="E8420E"/>
          <w:sz w:val="26"/>
          <w:szCs w:val="26"/>
        </w:rPr>
        <w:t xml:space="preserve">8.2 Tools &amp; Technologies Used</w:t>
      </w:r>
    </w:p>
    <w:p>
      <w:pPr>
        <w:pStyle w:val="ListParagraph"/>
        <w:numPr>
          <w:ilvl w:val="0"/>
          <w:numId w:val="2"/>
        </w:numPr>
        <w:spacing w:before="40" w:after="40"/>
      </w:pPr>
      <w:r>
        <w:rPr>
          <w:rFonts w:ascii="Arial" w:cs="Arial" w:eastAsia="Arial" w:hAnsi="Arial"/>
          <w:color w:val="333333"/>
          <w:sz w:val="22"/>
          <w:szCs w:val="22"/>
        </w:rPr>
        <w:t xml:space="preserve">Microsoft Excel / Python (Pandas, openpyxl) - Data extraction and processing</w:t>
      </w:r>
    </w:p>
    <w:p>
      <w:pPr>
        <w:pStyle w:val="ListParagraph"/>
        <w:numPr>
          <w:ilvl w:val="0"/>
          <w:numId w:val="2"/>
        </w:numPr>
        <w:spacing w:before="40" w:after="40"/>
      </w:pPr>
      <w:r>
        <w:rPr>
          <w:rFonts w:ascii="Arial" w:cs="Arial" w:eastAsia="Arial" w:hAnsi="Arial"/>
          <w:color w:val="333333"/>
          <w:sz w:val="22"/>
          <w:szCs w:val="22"/>
        </w:rPr>
        <w:t xml:space="preserve">SQL (MySQL) - Structured querying and aggregations</w:t>
      </w:r>
    </w:p>
    <w:p>
      <w:pPr>
        <w:pStyle w:val="ListParagraph"/>
        <w:numPr>
          <w:ilvl w:val="0"/>
          <w:numId w:val="2"/>
        </w:numPr>
        <w:spacing w:before="40" w:after="40"/>
      </w:pPr>
      <w:r>
        <w:rPr>
          <w:rFonts w:ascii="Arial" w:cs="Arial" w:eastAsia="Arial" w:hAnsi="Arial"/>
          <w:color w:val="333333"/>
          <w:sz w:val="22"/>
          <w:szCs w:val="22"/>
        </w:rPr>
        <w:t xml:space="preserve">Power BI - Interactive dashboard and visualization</w:t>
      </w:r>
    </w:p>
    <w:p>
      <w:pPr>
        <w:pStyle w:val="ListParagraph"/>
        <w:numPr>
          <w:ilvl w:val="0"/>
          <w:numId w:val="2"/>
        </w:numPr>
        <w:spacing w:before="40" w:after="40"/>
      </w:pPr>
      <w:r>
        <w:rPr>
          <w:rFonts w:ascii="Arial" w:cs="Arial" w:eastAsia="Arial" w:hAnsi="Arial"/>
          <w:color w:val="333333"/>
          <w:sz w:val="22"/>
          <w:szCs w:val="22"/>
        </w:rPr>
        <w:t xml:space="preserve">Python (Matplotlib, Seaborn) - Statistical charts and exploratory analysis</w:t>
      </w:r>
    </w:p>
    <w:p>
      <w:pPr>
        <w:pStyle w:val="ListParagraph"/>
        <w:numPr>
          <w:ilvl w:val="0"/>
          <w:numId w:val="2"/>
        </w:numPr>
        <w:spacing w:before="40" w:after="40"/>
      </w:pPr>
      <w:r>
        <w:rPr>
          <w:rFonts w:ascii="Arial" w:cs="Arial" w:eastAsia="Arial" w:hAnsi="Arial"/>
          <w:color w:val="333333"/>
          <w:sz w:val="22"/>
          <w:szCs w:val="22"/>
        </w:rPr>
        <w:t xml:space="preserve">Jupyter Notebook - EDA and analysis workflow</w:t>
      </w:r>
    </w:p>
    <w:p>
      <w:pPr>
        <w:spacing w:before="60" w:after="60"/>
      </w:pPr>
      <w:r>
        <w:t xml:space="preserve"/>
      </w:r>
    </w:p>
    <w:p>
      <w:pPr>
        <w:pStyle w:val="Heading2"/>
        <w:spacing w:before="280" w:after="100"/>
      </w:pPr>
      <w:r>
        <w:rPr>
          <w:rFonts w:ascii="Arial" w:cs="Arial" w:eastAsia="Arial" w:hAnsi="Arial"/>
          <w:b/>
          <w:bCs/>
          <w:color w:val="E8420E"/>
          <w:sz w:val="26"/>
          <w:szCs w:val="26"/>
        </w:rPr>
        <w:t xml:space="preserve">8.3 Analysis Approach</w:t>
      </w:r>
    </w:p>
    <w:p>
      <w:pPr>
        <w:pStyle w:val="ListParagraph"/>
        <w:numPr>
          <w:ilvl w:val="0"/>
          <w:numId w:val="2"/>
        </w:numPr>
        <w:spacing w:before="40" w:after="40"/>
      </w:pPr>
      <w:r>
        <w:rPr>
          <w:rFonts w:ascii="Arial" w:cs="Arial" w:eastAsia="Arial" w:hAnsi="Arial"/>
          <w:color w:val="333333"/>
          <w:sz w:val="22"/>
          <w:szCs w:val="22"/>
        </w:rPr>
        <w:t xml:space="preserve">Descriptive Analytics: KPIs, aggregations, and summary statistics</w:t>
      </w:r>
    </w:p>
    <w:p>
      <w:pPr>
        <w:pStyle w:val="ListParagraph"/>
        <w:numPr>
          <w:ilvl w:val="0"/>
          <w:numId w:val="2"/>
        </w:numPr>
        <w:spacing w:before="40" w:after="40"/>
      </w:pPr>
      <w:r>
        <w:rPr>
          <w:rFonts w:ascii="Arial" w:cs="Arial" w:eastAsia="Arial" w:hAnsi="Arial"/>
          <w:color w:val="333333"/>
          <w:sz w:val="22"/>
          <w:szCs w:val="22"/>
        </w:rPr>
        <w:t xml:space="preserve">Time-series Analysis: Monthly, quarterly, and weekly revenue trends</w:t>
      </w:r>
    </w:p>
    <w:p>
      <w:pPr>
        <w:pStyle w:val="ListParagraph"/>
        <w:numPr>
          <w:ilvl w:val="0"/>
          <w:numId w:val="2"/>
        </w:numPr>
        <w:spacing w:before="40" w:after="40"/>
      </w:pPr>
      <w:r>
        <w:rPr>
          <w:rFonts w:ascii="Arial" w:cs="Arial" w:eastAsia="Arial" w:hAnsi="Arial"/>
          <w:color w:val="333333"/>
          <w:sz w:val="22"/>
          <w:szCs w:val="22"/>
        </w:rPr>
        <w:t xml:space="preserve">Geographic Analysis: State and city-level revenue decomposition</w:t>
      </w:r>
    </w:p>
    <w:p>
      <w:pPr>
        <w:pStyle w:val="ListParagraph"/>
        <w:numPr>
          <w:ilvl w:val="0"/>
          <w:numId w:val="2"/>
        </w:numPr>
        <w:spacing w:before="40" w:after="40"/>
      </w:pPr>
      <w:r>
        <w:rPr>
          <w:rFonts w:ascii="Arial" w:cs="Arial" w:eastAsia="Arial" w:hAnsi="Arial"/>
          <w:color w:val="333333"/>
          <w:sz w:val="22"/>
          <w:szCs w:val="22"/>
        </w:rPr>
        <w:t xml:space="preserve">Segmentation Analysis: Price buckets, rating tiers, category splits</w:t>
      </w:r>
    </w:p>
    <w:p>
      <w:pPr>
        <w:pStyle w:val="ListParagraph"/>
        <w:numPr>
          <w:ilvl w:val="0"/>
          <w:numId w:val="2"/>
        </w:numPr>
        <w:spacing w:before="40" w:after="40"/>
      </w:pPr>
      <w:r>
        <w:rPr>
          <w:rFonts w:ascii="Arial" w:cs="Arial" w:eastAsia="Arial" w:hAnsi="Arial"/>
          <w:color w:val="333333"/>
          <w:sz w:val="22"/>
          <w:szCs w:val="22"/>
        </w:rPr>
        <w:t xml:space="preserve">Ranking Analysis: Top restaurants, dishes, and locations by revenue</w:t>
      </w:r>
    </w:p>
    <w:p>
      <w:r>
        <w:br w:type="page"/>
      </w:r>
    </w:p>
    <w:p>
      <w:pPr>
        <w:pStyle w:val="Heading1"/>
        <w:pBdr>
          <w:bottom w:val="single" w:color="E8420E" w:sz="8" w:space="1"/>
        </w:pBdr>
        <w:spacing w:before="360" w:after="120"/>
      </w:pPr>
      <w:r>
        <w:rPr>
          <w:rFonts w:ascii="Arial" w:cs="Arial" w:eastAsia="Arial" w:hAnsi="Arial"/>
          <w:b/>
          <w:bCs/>
          <w:color w:val="1A1A2E"/>
          <w:sz w:val="32"/>
          <w:szCs w:val="32"/>
        </w:rPr>
        <w:t xml:space="preserve">9. Conclusions &amp; Recommendations</w:t>
      </w:r>
    </w:p>
    <w:p>
      <w:pPr>
        <w:pStyle w:val="Heading2"/>
        <w:spacing w:before="280" w:after="100"/>
      </w:pPr>
      <w:r>
        <w:rPr>
          <w:rFonts w:ascii="Arial" w:cs="Arial" w:eastAsia="Arial" w:hAnsi="Arial"/>
          <w:b/>
          <w:bCs/>
          <w:color w:val="E8420E"/>
          <w:sz w:val="26"/>
          <w:szCs w:val="26"/>
        </w:rPr>
        <w:t xml:space="preserve">9.1 Key Findings</w:t>
      </w:r>
    </w:p>
    <w:p>
      <w:pPr>
        <w:pStyle w:val="ListParagraph"/>
        <w:numPr>
          <w:ilvl w:val="0"/>
          <w:numId w:val="2"/>
        </w:numPr>
        <w:spacing w:before="40" w:after="40"/>
      </w:pPr>
      <w:r>
        <w:rPr>
          <w:rFonts w:ascii="Arial" w:cs="Arial" w:eastAsia="Arial" w:hAnsi="Arial"/>
          <w:color w:val="333333"/>
          <w:sz w:val="22"/>
          <w:szCs w:val="22"/>
        </w:rPr>
        <w:t xml:space="preserve">Bengaluru and South Indian metros are the strongest revenue contributors and should receive priority in marketing investments</w:t>
      </w:r>
    </w:p>
    <w:p>
      <w:pPr>
        <w:pStyle w:val="ListParagraph"/>
        <w:numPr>
          <w:ilvl w:val="0"/>
          <w:numId w:val="2"/>
        </w:numPr>
        <w:spacing w:before="40" w:after="40"/>
      </w:pPr>
      <w:r>
        <w:rPr>
          <w:rFonts w:ascii="Arial" w:cs="Arial" w:eastAsia="Arial" w:hAnsi="Arial"/>
          <w:color w:val="333333"/>
          <w:sz w:val="22"/>
          <w:szCs w:val="22"/>
        </w:rPr>
        <w:t xml:space="preserve">QSR brands (KFC, McDonald's, Pizza Hut) dominate orders — partnering for exclusive offers could significantly boost GMV</w:t>
      </w:r>
    </w:p>
    <w:p>
      <w:pPr>
        <w:pStyle w:val="ListParagraph"/>
        <w:numPr>
          <w:ilvl w:val="0"/>
          <w:numId w:val="2"/>
        </w:numPr>
        <w:spacing w:before="40" w:after="40"/>
      </w:pPr>
      <w:r>
        <w:rPr>
          <w:rFonts w:ascii="Arial" w:cs="Arial" w:eastAsia="Arial" w:hAnsi="Arial"/>
          <w:color w:val="333333"/>
          <w:sz w:val="22"/>
          <w:szCs w:val="22"/>
        </w:rPr>
        <w:t xml:space="preserve">The INR 100-299 price range dominates (56%) suggesting the core audience is middle-income urban consumers</w:t>
      </w:r>
    </w:p>
    <w:p>
      <w:pPr>
        <w:pStyle w:val="ListParagraph"/>
        <w:numPr>
          <w:ilvl w:val="0"/>
          <w:numId w:val="2"/>
        </w:numPr>
        <w:spacing w:before="40" w:after="40"/>
      </w:pPr>
      <w:r>
        <w:rPr>
          <w:rFonts w:ascii="Arial" w:cs="Arial" w:eastAsia="Arial" w:hAnsi="Arial"/>
          <w:color w:val="333333"/>
          <w:sz w:val="22"/>
          <w:szCs w:val="22"/>
        </w:rPr>
        <w:t xml:space="preserve">Revenue consistency across months indicates stable platform demand with no significant seasonality</w:t>
      </w:r>
    </w:p>
    <w:p>
      <w:pPr>
        <w:pStyle w:val="ListParagraph"/>
        <w:numPr>
          <w:ilvl w:val="0"/>
          <w:numId w:val="2"/>
        </w:numPr>
        <w:spacing w:before="40" w:after="40"/>
      </w:pPr>
      <w:r>
        <w:rPr>
          <w:rFonts w:ascii="Arial" w:cs="Arial" w:eastAsia="Arial" w:hAnsi="Arial"/>
          <w:color w:val="333333"/>
          <w:sz w:val="22"/>
          <w:szCs w:val="22"/>
        </w:rPr>
        <w:t xml:space="preserve">High satisfaction rates (85.6% rated 4+) reflect efficient delivery operations and quality restaurant partnerships</w:t>
      </w:r>
    </w:p>
    <w:p>
      <w:pPr>
        <w:spacing w:before="60" w:after="60"/>
      </w:pPr>
      <w:r>
        <w:t xml:space="preserve"/>
      </w:r>
    </w:p>
    <w:p>
      <w:pPr>
        <w:pStyle w:val="Heading2"/>
        <w:spacing w:before="280" w:after="100"/>
      </w:pPr>
      <w:r>
        <w:rPr>
          <w:rFonts w:ascii="Arial" w:cs="Arial" w:eastAsia="Arial" w:hAnsi="Arial"/>
          <w:b/>
          <w:bCs/>
          <w:color w:val="E8420E"/>
          <w:sz w:val="26"/>
          <w:szCs w:val="26"/>
        </w:rPr>
        <w:t xml:space="preserve">9.2 Recommendations</w:t>
      </w:r>
    </w:p>
    <w:p>
      <w:pPr>
        <w:pStyle w:val="ListParagraph"/>
        <w:numPr>
          <w:ilvl w:val="0"/>
          <w:numId w:val="2"/>
        </w:numPr>
        <w:spacing w:before="40" w:after="40"/>
      </w:pPr>
      <w:r>
        <w:rPr>
          <w:rFonts w:ascii="Arial" w:cs="Arial" w:eastAsia="Arial" w:hAnsi="Arial"/>
          <w:color w:val="333333"/>
          <w:sz w:val="22"/>
          <w:szCs w:val="22"/>
        </w:rPr>
        <w:t xml:space="preserve">Geo-Targeted Campaigns: Strengthen presence in Tier-2 cities where growth potential is high</w:t>
      </w:r>
    </w:p>
    <w:p>
      <w:pPr>
        <w:pStyle w:val="ListParagraph"/>
        <w:numPr>
          <w:ilvl w:val="0"/>
          <w:numId w:val="2"/>
        </w:numPr>
        <w:spacing w:before="40" w:after="40"/>
      </w:pPr>
      <w:r>
        <w:rPr>
          <w:rFonts w:ascii="Arial" w:cs="Arial" w:eastAsia="Arial" w:hAnsi="Arial"/>
          <w:color w:val="333333"/>
          <w:sz w:val="22"/>
          <w:szCs w:val="22"/>
        </w:rPr>
        <w:t xml:space="preserve">Premium Segment Growth: Incentivize orders above INR 500 with loyalty rewards to increase average order value</w:t>
      </w:r>
    </w:p>
    <w:p>
      <w:pPr>
        <w:pStyle w:val="ListParagraph"/>
        <w:numPr>
          <w:ilvl w:val="0"/>
          <w:numId w:val="2"/>
        </w:numPr>
        <w:spacing w:before="40" w:after="40"/>
      </w:pPr>
      <w:r>
        <w:rPr>
          <w:rFonts w:ascii="Arial" w:cs="Arial" w:eastAsia="Arial" w:hAnsi="Arial"/>
          <w:color w:val="333333"/>
          <w:sz w:val="22"/>
          <w:szCs w:val="22"/>
        </w:rPr>
        <w:t xml:space="preserve">Local Restaurant Support: Promote independent local restaurants alongside QSR chains to diversify the restaurant ecosystem</w:t>
      </w:r>
    </w:p>
    <w:p>
      <w:pPr>
        <w:pStyle w:val="ListParagraph"/>
        <w:numPr>
          <w:ilvl w:val="0"/>
          <w:numId w:val="2"/>
        </w:numPr>
        <w:spacing w:before="40" w:after="40"/>
      </w:pPr>
      <w:r>
        <w:rPr>
          <w:rFonts w:ascii="Arial" w:cs="Arial" w:eastAsia="Arial" w:hAnsi="Arial"/>
          <w:color w:val="333333"/>
          <w:sz w:val="22"/>
          <w:szCs w:val="22"/>
        </w:rPr>
        <w:t xml:space="preserve">Seasonal Promotions: Leverage data insights to launch targeted promotions during February (revenue dip) and June (mild slowdown)</w:t>
      </w:r>
    </w:p>
    <w:p>
      <w:pPr>
        <w:pStyle w:val="ListParagraph"/>
        <w:numPr>
          <w:ilvl w:val="0"/>
          <w:numId w:val="2"/>
        </w:numPr>
        <w:spacing w:before="40" w:after="40"/>
      </w:pPr>
      <w:r>
        <w:rPr>
          <w:rFonts w:ascii="Arial" w:cs="Arial" w:eastAsia="Arial" w:hAnsi="Arial"/>
          <w:color w:val="333333"/>
          <w:sz w:val="22"/>
          <w:szCs w:val="22"/>
        </w:rPr>
        <w:t xml:space="preserve">Rating Improvement: Focus on restaurants with ratings below 3.5 with dedicated quality audits and operational support</w:t>
      </w:r>
    </w:p>
    <w:p>
      <w:pPr>
        <w:pStyle w:val="ListParagraph"/>
        <w:numPr>
          <w:ilvl w:val="0"/>
          <w:numId w:val="2"/>
        </w:numPr>
        <w:spacing w:before="40" w:after="40"/>
      </w:pPr>
      <w:r>
        <w:rPr>
          <w:rFonts w:ascii="Arial" w:cs="Arial" w:eastAsia="Arial" w:hAnsi="Arial"/>
          <w:color w:val="333333"/>
          <w:sz w:val="22"/>
          <w:szCs w:val="22"/>
        </w:rPr>
        <w:t xml:space="preserve">Category Expansion: Invest in growing categories like Korean Food and Desserts which show strong per-order engagement</w:t>
      </w:r>
    </w:p>
    <w:p>
      <w:pPr>
        <w:spacing w:before="120" w:after="120"/>
      </w:pPr>
      <w:r>
        <w:t xml:space="preserve"/>
      </w:r>
    </w:p>
    <w:p>
      <w:pPr>
        <w:pBdr>
          <w:top w:val="single" w:color="E8420E" w:sz="6" w:space="4"/>
        </w:pBdr>
        <w:spacing w:before="240"/>
        <w:jc w:val="center"/>
      </w:pPr>
      <w:r>
        <w:rPr>
          <w:rFonts w:ascii="Arial" w:cs="Arial" w:eastAsia="Arial" w:hAnsi="Arial"/>
          <w:i/>
          <w:iCs/>
          <w:color w:val="888888"/>
          <w:sz w:val="20"/>
          <w:szCs w:val="20"/>
        </w:rPr>
        <w:t xml:space="preserve">End of Report  |  Swiggy Sales Analysis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420E" w:sz="6" w:space="1"/>
      </w:pBdr>
      <w:tabs>
        <w:tab w:val="right" w:pos="9026"/>
      </w:tabs>
    </w:pPr>
    <w:r>
      <w:rPr>
        <w:rFonts w:ascii="Arial" w:cs="Arial" w:eastAsia="Arial" w:hAnsi="Arial"/>
        <w:color w:val="888888"/>
        <w:sz w:val="18"/>
        <w:szCs w:val="18"/>
      </w:rPr>
      <w:t xml:space="preserve">Confidential</w:t>
    </w:r>
    <w:r>
      <w:rPr>
        <w:rFonts w:ascii="Arial" w:cs="Arial" w:eastAsia="Arial" w:hAnsi="Arial"/>
        <w:color w:val="888888"/>
        <w:sz w:val="18"/>
        <w:szCs w:val="18"/>
      </w:rPr>
      <w:t xml:space="preserve">	Page </w:t>
    </w:r>
    <w:r>
      <w:rPr>
        <w:rFonts w:ascii="Arial" w:cs="Arial" w:eastAsia="Arial" w:hAnsi="Arial"/>
        <w:color w:val="888888"/>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20E" w:sz="6" w:space="1"/>
      </w:pBdr>
    </w:pPr>
    <w:r>
      <w:rPr>
        <w:rFonts w:ascii="Arial" w:cs="Arial" w:eastAsia="Arial" w:hAnsi="Arial"/>
        <w:color w:val="888888"/>
        <w:sz w:val="18"/>
        <w:szCs w:val="18"/>
      </w:rPr>
      <w:t xml:space="preserve">Swiggy Sales Analysis  |  Project Report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E842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2026-03-09T20:00:01.940Z</dcterms:created>
  <dcterms:modified xsi:type="dcterms:W3CDTF">2026-03-09T20:00:01.941Z</dcterms:modified>
</cp:coreProperties>
</file>

<file path=docProps/custom.xml><?xml version="1.0" encoding="utf-8"?>
<Properties xmlns="http://schemas.openxmlformats.org/officeDocument/2006/custom-properties" xmlns:vt="http://schemas.openxmlformats.org/officeDocument/2006/docPropsVTypes"/>
</file>