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A8C"/>
          <w:sz w:val="48"/>
          <w:szCs w:val="48"/>
        </w:rPr>
        <w:t xml:space="preserve">PRODUCT TEARDOWN</w:t>
      </w:r>
    </w:p>
    <w:p>
      <w:pPr>
        <w:spacing w:after="80" w:before="0"/>
        <w:jc w:val="center"/>
      </w:pPr>
      <w:r>
        <w:rPr>
          <w:rFonts w:ascii="Arial" w:cs="Arial" w:eastAsia="Arial" w:hAnsi="Arial"/>
          <w:b/>
          <w:bCs/>
          <w:color w:val="E84E3B"/>
          <w:sz w:val="56"/>
          <w:szCs w:val="56"/>
        </w:rPr>
        <w:t xml:space="preserve">Vocallabs.ai</w:t>
      </w:r>
    </w:p>
    <w:p>
      <w:pPr>
        <w:spacing w:after="240" w:before="0"/>
        <w:jc w:val="center"/>
      </w:pPr>
      <w:r>
        <w:rPr>
          <w:rFonts w:ascii="Arial" w:cs="Arial" w:eastAsia="Arial" w:hAnsi="Arial"/>
          <w:i/>
          <w:iCs/>
          <w:color w:val="555555"/>
          <w:sz w:val="26"/>
          <w:szCs w:val="26"/>
        </w:rPr>
        <w:t xml:space="preserve">AI Voice Agents for Sales, Support &amp;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1"/>
              <w:left w:val="single" w:color="1F3A8C" w:sz="1"/>
              <w:bottom w:val="single" w:color="1F3A8C" w:sz="1"/>
              <w:right w:val="single" w:color="1F3A8C" w:sz="1"/>
            </w:tcBorders>
            <w:shd w:fill="1F3A8C" w:val="clear"/>
            <w:tcMar>
              <w:top w:type="dxa" w:w="180"/>
              <w:left w:type="dxa" w:w="240"/>
              <w:bottom w:type="dxa" w:w="180"/>
              <w:right w:type="dxa" w:w="240"/>
            </w:tcMar>
          </w:tcPr>
          <w:p>
            <w:pPr>
              <w:jc w:val="center"/>
            </w:pPr>
            <w:r>
              <w:rPr>
                <w:rFonts w:ascii="Arial" w:cs="Arial" w:eastAsia="Arial" w:hAnsi="Arial"/>
                <w:b/>
                <w:bCs/>
                <w:color w:val="FFFFFF"/>
                <w:sz w:val="24"/>
                <w:szCs w:val="24"/>
              </w:rPr>
              <w:t xml:space="preserve">Product Intern Assignment 2026</w:t>
            </w:r>
          </w:p>
          <w:p>
            <w:pPr>
              <w:jc w:val="center"/>
            </w:pPr>
            <w:r>
              <w:rPr>
                <w:rFonts w:ascii="Arial" w:cs="Arial" w:eastAsia="Arial" w:hAnsi="Arial"/>
                <w:color w:val="CCDDFF"/>
                <w:sz w:val="20"/>
                <w:szCs w:val="20"/>
              </w:rPr>
              <w:t xml:space="preserve">5 Product Feedback Items across GTM, UX, Features, Competitor Analysis &amp; Collaborations</w:t>
            </w:r>
          </w:p>
          <w:p>
            <w:pPr>
              <w:spacing w:before="80"/>
              <w:jc w:val="center"/>
            </w:pPr>
            <w:r>
              <w:rPr>
                <w:rFonts w:ascii="Arial" w:cs="Arial" w:eastAsia="Arial" w:hAnsi="Arial"/>
                <w:b/>
                <w:bCs/>
                <w:color w:val="FFFFFF"/>
                <w:sz w:val="22"/>
                <w:szCs w:val="22"/>
              </w:rPr>
              <w:t xml:space="preserve">Submitted by: Sourav Subham</w:t>
            </w:r>
          </w:p>
          <w:p>
            <w:pPr>
              <w:spacing w:before="40"/>
              <w:jc w:val="center"/>
            </w:pPr>
            <w:r>
              <w:rPr>
                <w:rFonts w:ascii="Arial" w:cs="Arial" w:eastAsia="Arial" w:hAnsi="Arial"/>
                <w:color w:val="AABBEE"/>
                <w:sz w:val="20"/>
                <w:szCs w:val="20"/>
              </w:rPr>
              <w:t xml:space="preserve">Submitted: 31 May 2026</w:t>
            </w:r>
          </w:p>
        </w:tc>
      </w:tr>
    </w:tbl>
    <w:p>
      <w:pPr>
        <w:spacing w:after="80" w:before="80"/>
      </w:pPr>
      <w:r>
        <w:t xml:space="preserve"/>
      </w:r>
    </w:p>
    <w:p>
      <w:pPr>
        <w:spacing w:after="80" w:before="80"/>
      </w:pPr>
      <w:r>
        <w:t xml:space="preserve"/>
      </w:r>
    </w:p>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Executive Summary</w:t>
      </w:r>
    </w:p>
    <w:p>
      <w:pPr>
        <w:spacing w:after="80" w:before="60"/>
      </w:pPr>
      <w:r>
        <w:rPr>
          <w:rFonts w:ascii="Arial" w:cs="Arial" w:eastAsia="Arial" w:hAnsi="Arial"/>
          <w:sz w:val="22"/>
          <w:szCs w:val="22"/>
        </w:rPr>
        <w:t xml:space="preserve">Vocallabs.ai is building India-first AI voice agents that automate business calls — sales, support, booking — with human-like fluency. The platform combines an Intelligent Call Flow Builder, hybrid AI-to-human handoff, voice analytics (emotion, intent, tone), and developer tools (SDK, n8n, Chrome extension) into a full-stack conversational AI product.</w:t>
      </w:r>
    </w:p>
    <w:p>
      <w:pPr>
        <w:spacing w:after="80" w:before="80"/>
      </w:pPr>
      <w:r>
        <w:t xml:space="preserve"/>
      </w:r>
    </w:p>
    <w:p>
      <w:pPr>
        <w:spacing w:after="80" w:before="60"/>
      </w:pPr>
      <w:r>
        <w:rPr>
          <w:rFonts w:ascii="Arial" w:cs="Arial" w:eastAsia="Arial" w:hAnsi="Arial"/>
          <w:sz w:val="22"/>
          <w:szCs w:val="22"/>
        </w:rPr>
        <w:t xml:space="preserve">After hands-on exploration of the website, documentation, product flows, and published materials, I identified five sharp feedback items spanning the key product pillars. Each is non-obvious, grounded in what I actually saw, and comes with a specific actionable fix.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180"/>
        <w:gridCol w:w="3180"/>
      </w:tblGrid>
      <w:tr>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r>
              <w:rPr>
                <w:rFonts w:ascii="Arial" w:cs="Arial" w:eastAsia="Arial" w:hAnsi="Arial"/>
                <w:b/>
                <w:bCs/>
                <w:color w:val="FFFFFF"/>
                <w:sz w:val="20"/>
                <w:szCs w:val="20"/>
              </w:rPr>
              <w:t xml:space="preserve">Pillar</w:t>
            </w:r>
          </w:p>
        </w:tc>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r>
              <w:rPr>
                <w:rFonts w:ascii="Arial" w:cs="Arial" w:eastAsia="Arial" w:hAnsi="Arial"/>
                <w:b/>
                <w:bCs/>
                <w:color w:val="FFFFFF"/>
                <w:sz w:val="20"/>
                <w:szCs w:val="20"/>
              </w:rPr>
              <w:t xml:space="preserve">Feedback Title</w:t>
            </w:r>
          </w:p>
        </w:tc>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r>
              <w:rPr>
                <w:rFonts w:ascii="Arial" w:cs="Arial" w:eastAsia="Arial" w:hAnsi="Arial"/>
                <w:b/>
                <w:bCs/>
                <w:color w:val="FFFFFF"/>
                <w:sz w:val="20"/>
                <w:szCs w:val="20"/>
              </w:rPr>
              <w:t xml:space="preserve">Core Recommendation</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1</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E84E3B"/>
                <w:sz w:val="20"/>
                <w:szCs w:val="20"/>
              </w:rPr>
              <w:t xml:space="preserve">GTM &amp; ICPs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No ICP-specific landing pages or use-case routing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Build 3 vertical landing pages (BFSI, Edtech, Clinic)</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84E3B"/>
                <w:sz w:val="20"/>
                <w:szCs w:val="20"/>
              </w:rPr>
              <w:t xml:space="preserve">UX</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Zero-friction signup hides real product depth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Add an interactive demo before sign-up wall</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3</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E84E3B"/>
                <w:sz w:val="20"/>
                <w:szCs w:val="20"/>
              </w:rPr>
              <w:t xml:space="preserve">Features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Voice analytics dashboard buried — not a first-class feature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Promote analytics as a standalone product tier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84E3B"/>
                <w:sz w:val="20"/>
                <w:szCs w:val="20"/>
              </w:rPr>
              <w:t xml:space="preserve">Competitor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No public positioning against Bolna/VAPI on India-specific moats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Add a visible comparison page with India-specific benchmarks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5</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E84E3B"/>
                <w:sz w:val="20"/>
                <w:szCs w:val="20"/>
              </w:rPr>
              <w:t xml:space="preserve">Collaborations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No ecosystem play — CRM &amp; telephony integrations are undiscoverable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Launch a public integrations marketplace page</w:t>
            </w:r>
          </w:p>
        </w:tc>
      </w:tr>
    </w:tbl>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Feedback #1 — GTM &amp; ICPs</w:t>
      </w:r>
    </w:p>
    <w:p>
      <w:pPr>
        <w:pStyle w:val="Heading2"/>
        <w:spacing w:after="80" w:before="240"/>
      </w:pPr>
      <w:r>
        <w:rPr>
          <w:rFonts w:ascii="Arial" w:cs="Arial" w:eastAsia="Arial" w:hAnsi="Arial"/>
          <w:b/>
          <w:bCs/>
          <w:color w:val="1F3A8C"/>
          <w:sz w:val="26"/>
          <w:szCs w:val="26"/>
        </w:rPr>
        <w:t xml:space="preserve">No ICP-Specific Routing: Every Prospect Hits the Same Homepage</w:t>
      </w:r>
    </w:p>
    <w:p>
      <w:pPr>
        <w:spacing w:after="80" w:before="80"/>
      </w:pPr>
      <w:r>
        <w:t xml:space="preserve"/>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single" w:color="E84E3B" w:sz="1"/>
              <w:left w:val="single" w:color="E84E3B" w:sz="1"/>
              <w:bottom w:val="single" w:color="E84E3B" w:sz="1"/>
              <w:right w:val="single" w:color="E84E3B" w:sz="1"/>
            </w:tcBorders>
            <w:shd w:fill="FFF3F2" w:val="clear"/>
            <w:tcMar>
              <w:top w:type="dxa" w:w="40"/>
              <w:left w:type="dxa" w:w="80"/>
              <w:bottom w:type="dxa" w:w="40"/>
              <w:right w:type="dxa" w:w="80"/>
            </w:tcMar>
          </w:tcPr>
          <w:p>
            <w:pPr>
              <w:jc w:val="center"/>
            </w:pPr>
            <w:r>
              <w:rPr>
                <w:rFonts w:ascii="Arial" w:cs="Arial" w:eastAsia="Arial" w:hAnsi="Arial"/>
                <w:b/>
                <w:bCs/>
                <w:color w:val="E84E3B"/>
                <w:sz w:val="18"/>
                <w:szCs w:val="18"/>
              </w:rPr>
              <w:t xml:space="preserve">Pillar: GTM &amp; ICPs</w:t>
            </w:r>
          </w:p>
        </w:tc>
      </w:tr>
    </w:tbl>
    <w:p>
      <w:pPr>
        <w:spacing w:after="80" w:before="80"/>
      </w:pPr>
      <w:r>
        <w:t xml:space="preserve"/>
      </w:r>
    </w:p>
    <w:p>
      <w:pPr>
        <w:spacing w:after="60" w:before="180"/>
      </w:pPr>
      <w:r>
        <w:rPr>
          <w:rFonts w:ascii="Arial" w:cs="Arial" w:eastAsia="Arial" w:hAnsi="Arial"/>
          <w:b/>
          <w:bCs/>
          <w:color w:val="E84E3B"/>
          <w:sz w:val="22"/>
          <w:szCs w:val="22"/>
        </w:rPr>
        <w:t xml:space="preserve">(a) Observed</w:t>
      </w:r>
    </w:p>
    <w:p>
      <w:pPr>
        <w:spacing w:after="80" w:before="60"/>
      </w:pPr>
      <w:r>
        <w:rPr>
          <w:rFonts w:ascii="Arial" w:cs="Arial" w:eastAsia="Arial" w:hAnsi="Arial"/>
          <w:sz w:val="22"/>
          <w:szCs w:val="22"/>
        </w:rPr>
        <w:t xml:space="preserve">The Vocallabs.ai homepage uses a single, generic hero — "Transform your business with intelligent AI voice agents" — with no use-case segmentation, vertical-specific landing pages, or intent-based routing. The navigation has 'Solutions' and 'Industries' dropdowns but these link to nearly identical pages sharing the same CTA, the same social proof section, and the same 'GET STARTED' prompt. A clinic owner looking for appointment booking automation and a fintech sales head looking for lead qualification arrive at the same experience. The copy does not change. The proof does not change. The CTA does not change.</w:t>
      </w:r>
    </w:p>
    <w:p>
      <w:pPr>
        <w:spacing w:after="80" w:before="80"/>
      </w:pPr>
      <w:r>
        <w:t xml:space="preserve"/>
      </w:r>
    </w:p>
    <w:p>
      <w:pPr>
        <w:spacing w:after="60" w:before="180"/>
      </w:pPr>
      <w:r>
        <w:rPr>
          <w:rFonts w:ascii="Arial" w:cs="Arial" w:eastAsia="Arial" w:hAnsi="Arial"/>
          <w:b/>
          <w:bCs/>
          <w:color w:val="E84E3B"/>
          <w:sz w:val="22"/>
          <w:szCs w:val="22"/>
        </w:rPr>
        <w:t xml:space="preserve">(b) Problem</w:t>
      </w:r>
    </w:p>
    <w:p>
      <w:pPr>
        <w:spacing w:after="80" w:before="60"/>
      </w:pPr>
      <w:r>
        <w:rPr>
          <w:rFonts w:ascii="Arial" w:cs="Arial" w:eastAsia="Arial" w:hAnsi="Arial"/>
          <w:sz w:val="22"/>
          <w:szCs w:val="22"/>
        </w:rPr>
        <w:t xml:space="preserve">B2B voice AI is a high-consideration, high-anxiety purchase. Buyers need to believe the product was built for their specific workflow before they'll talk to sales. A generic homepage creates a 'this is for someone else' feeling in each vertical buyer. This is particularly costly in the three highest-LTV segments for Vocallabs — BFSI (loan collections, KYC), healthcare (appointment reminders, post-discharge follow-ups), and edtech (admission inquiries, fee follow-ups) — all of which have distinct regulatory concerns, language preferences, and objection patterns. Without vertical-specific proof, a BFSI buyer sees no RBI compliance mention; a clinic sees no HIPAA/DPDP Act reference; an edtech sees no multilingual admission flow demo. The funnel leaks at awareness.</w:t>
      </w:r>
    </w:p>
    <w:p>
      <w:pPr>
        <w:spacing w:after="80" w:before="80"/>
      </w:pPr>
      <w:r>
        <w:t xml:space="preserve"/>
      </w:r>
    </w:p>
    <w:p>
      <w:pPr>
        <w:spacing w:after="60" w:before="180"/>
      </w:pPr>
      <w:r>
        <w:rPr>
          <w:rFonts w:ascii="Arial" w:cs="Arial" w:eastAsia="Arial" w:hAnsi="Arial"/>
          <w:b/>
          <w:bCs/>
          <w:color w:val="E84E3B"/>
          <w:sz w:val="22"/>
          <w:szCs w:val="22"/>
        </w:rPr>
        <w:t xml:space="preserve">(c) Ship Instead</w:t>
      </w:r>
    </w:p>
    <w:p>
      <w:pPr>
        <w:spacing w:after="80" w:before="60"/>
      </w:pPr>
      <w:r>
        <w:rPr>
          <w:rFonts w:ascii="Arial" w:cs="Arial" w:eastAsia="Arial" w:hAnsi="Arial"/>
          <w:sz w:val="22"/>
          <w:szCs w:val="22"/>
        </w:rPr>
        <w:t xml:space="preserve">Build three vertical landing pages — /bfsi, /healthcare, /edtech — each with: (1) a vertical-specific hero headline and 1-line value prop, (2) a short pre-built demo call for that vertical (e.g., a Marathi-language loan reminder call for BFSI), (3) 1–2 logos or case study snippets from that vertical, (4) 2–3 compliance/integration callouts specific to the vertical (e.g., RBI guidelines for BFSI), and (5) a CTA that captures intent ('Book a BFSI pilot' vs generic 'Get Started'). Run paid and organic traffic to these pages. Measure qualified lead rate per vertical vs. current homepage baseline. This is a 2-sprint build with potentially 30–40% improvement in demo-to-close for vertical buyers.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 Observed</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 Problem</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Ship Instead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Single homepage for all verticals. 'Solutions' dropdown links to near-identical pages. No vertical-specific proof, compliance callouts, or demo flows.</w:t>
            </w:r>
          </w:p>
        </w:tc>
        <w:tc>
          <w:tcPr>
            <w:tcW w:type="dxa" w:w="3120"/>
            <w:tcBorders>
              <w:top w:val="single" w:color="CCCCCC" w:sz="1"/>
              <w:left w:val="single" w:color="CCCCCC" w:sz="1"/>
              <w:bottom w:val="single" w:color="CCCCCC" w:sz="1"/>
              <w:right w:val="single" w:color="CCCCCC" w:sz="1"/>
            </w:tcBorders>
            <w:shd w:fill="FFF3F2" w:val="clear"/>
            <w:tcMar>
              <w:top w:type="dxa" w:w="100"/>
              <w:left w:type="dxa" w:w="120"/>
              <w:bottom w:type="dxa" w:w="100"/>
              <w:right w:type="dxa" w:w="120"/>
            </w:tcMar>
          </w:tcPr>
          <w:p>
            <w:r>
              <w:rPr>
                <w:rFonts w:ascii="Arial" w:cs="Arial" w:eastAsia="Arial" w:hAnsi="Arial"/>
                <w:sz w:val="20"/>
                <w:szCs w:val="20"/>
              </w:rPr>
              <w:t xml:space="preserve">High-LTV B2B buyers in BFSI, healthcare, and edtech feel the product is generic. No vertical-specific trust signals = fewer qualified leads booked.</w:t>
            </w:r>
          </w:p>
        </w:tc>
        <w:tc>
          <w:tcPr>
            <w:tcW w:type="dxa" w:w="3120"/>
            <w:tcBorders>
              <w:top w:val="single" w:color="CCCCCC" w:sz="1"/>
              <w:left w:val="single" w:color="CCCCCC" w:sz="1"/>
              <w:bottom w:val="single" w:color="CCCCCC" w:sz="1"/>
              <w:right w:val="single" w:color="CCCCCC" w:sz="1"/>
            </w:tcBorders>
            <w:shd w:fill="F0FAF0" w:val="clear"/>
            <w:tcMar>
              <w:top w:type="dxa" w:w="100"/>
              <w:left w:type="dxa" w:w="120"/>
              <w:bottom w:type="dxa" w:w="100"/>
              <w:right w:type="dxa" w:w="120"/>
            </w:tcMar>
          </w:tcPr>
          <w:p>
            <w:r>
              <w:rPr>
                <w:rFonts w:ascii="Arial" w:cs="Arial" w:eastAsia="Arial" w:hAnsi="Arial"/>
                <w:sz w:val="20"/>
                <w:szCs w:val="20"/>
              </w:rPr>
              <w:t xml:space="preserve">3 vertical landing pages (/bfsi, /healthcare, /edtech) with vertical hero, pre-built demo call clip, logos, compliance callout, and segment-specific CTA.</w:t>
            </w:r>
          </w:p>
        </w:tc>
      </w:tr>
    </w:tbl>
    <w:p>
      <w:pPr>
        <w:spacing w:after="80" w:before="80"/>
      </w:pPr>
      <w:r>
        <w:t xml:space="preserve"/>
      </w:r>
    </w:p>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Feedback #2 — UX</w:t>
      </w:r>
    </w:p>
    <w:p>
      <w:pPr>
        <w:pStyle w:val="Heading2"/>
        <w:spacing w:after="80" w:before="240"/>
      </w:pPr>
      <w:r>
        <w:rPr>
          <w:rFonts w:ascii="Arial" w:cs="Arial" w:eastAsia="Arial" w:hAnsi="Arial"/>
          <w:b/>
          <w:bCs/>
          <w:color w:val="1F3A8C"/>
          <w:sz w:val="26"/>
          <w:szCs w:val="26"/>
        </w:rPr>
        <w:t xml:space="preserve">No In-Product Demo Before the Sign-Up Wall</w:t>
      </w:r>
    </w:p>
    <w:p>
      <w:pPr>
        <w:spacing w:after="80" w:before="80"/>
      </w:pPr>
      <w:r>
        <w:t xml:space="preserve"/>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single" w:color="E84E3B" w:sz="1"/>
              <w:left w:val="single" w:color="E84E3B" w:sz="1"/>
              <w:bottom w:val="single" w:color="E84E3B" w:sz="1"/>
              <w:right w:val="single" w:color="E84E3B" w:sz="1"/>
            </w:tcBorders>
            <w:shd w:fill="FFF3F2" w:val="clear"/>
            <w:tcMar>
              <w:top w:type="dxa" w:w="40"/>
              <w:left w:type="dxa" w:w="80"/>
              <w:bottom w:type="dxa" w:w="40"/>
              <w:right w:type="dxa" w:w="80"/>
            </w:tcMar>
          </w:tcPr>
          <w:p>
            <w:pPr>
              <w:jc w:val="center"/>
            </w:pPr>
            <w:r>
              <w:rPr>
                <w:rFonts w:ascii="Arial" w:cs="Arial" w:eastAsia="Arial" w:hAnsi="Arial"/>
                <w:b/>
                <w:bCs/>
                <w:color w:val="E84E3B"/>
                <w:sz w:val="18"/>
                <w:szCs w:val="18"/>
              </w:rPr>
              <w:t xml:space="preserve">Pillar: UX</w:t>
            </w:r>
          </w:p>
        </w:tc>
      </w:tr>
    </w:tbl>
    <w:p>
      <w:pPr>
        <w:spacing w:after="80" w:before="80"/>
      </w:pPr>
      <w:r>
        <w:t xml:space="preserve"/>
      </w:r>
    </w:p>
    <w:p>
      <w:pPr>
        <w:spacing w:after="60" w:before="180"/>
      </w:pPr>
      <w:r>
        <w:rPr>
          <w:rFonts w:ascii="Arial" w:cs="Arial" w:eastAsia="Arial" w:hAnsi="Arial"/>
          <w:b/>
          <w:bCs/>
          <w:color w:val="E84E3B"/>
          <w:sz w:val="22"/>
          <w:szCs w:val="22"/>
        </w:rPr>
        <w:t xml:space="preserve">(a) Observed</w:t>
      </w:r>
    </w:p>
    <w:p>
      <w:pPr>
        <w:spacing w:after="80" w:before="60"/>
      </w:pPr>
      <w:r>
        <w:rPr>
          <w:rFonts w:ascii="Arial" w:cs="Arial" w:eastAsia="Arial" w:hAnsi="Arial"/>
          <w:sz w:val="22"/>
          <w:szCs w:val="22"/>
        </w:rPr>
        <w:t xml:space="preserve">The primary CTA on the Vocallabs homepage is 'GET STARTED ⚡ 2 mins'. Clicking it routes to a contact/inquiry form. There is no interactive product demo, no sandbox environment, no embedded demo call to listen to, and no 'try before you sign up' flow anywhere on the website or documentation. The website does feature a video section and a blog, but neither gives a first-time visitor the core product experience — what it actually sounds like, and how the Call Flow Builder works — without going through a sales funnel first. The docs (docs.vocallabs.ai) exist but are not linked prominently from the homepage.</w:t>
      </w:r>
    </w:p>
    <w:p>
      <w:pPr>
        <w:spacing w:after="80" w:before="80"/>
      </w:pPr>
      <w:r>
        <w:t xml:space="preserve"/>
      </w:r>
    </w:p>
    <w:p>
      <w:pPr>
        <w:spacing w:after="60" w:before="180"/>
      </w:pPr>
      <w:r>
        <w:rPr>
          <w:rFonts w:ascii="Arial" w:cs="Arial" w:eastAsia="Arial" w:hAnsi="Arial"/>
          <w:b/>
          <w:bCs/>
          <w:color w:val="E84E3B"/>
          <w:sz w:val="22"/>
          <w:szCs w:val="22"/>
        </w:rPr>
        <w:t xml:space="preserve">(b) Problem</w:t>
      </w:r>
    </w:p>
    <w:p>
      <w:pPr>
        <w:spacing w:after="80" w:before="60"/>
      </w:pPr>
      <w:r>
        <w:rPr>
          <w:rFonts w:ascii="Arial" w:cs="Arial" w:eastAsia="Arial" w:hAnsi="Arial"/>
          <w:sz w:val="22"/>
          <w:szCs w:val="22"/>
        </w:rPr>
        <w:t xml:space="preserve">Voice AI is fundamentally an auditory product. Buying decisions hinge on 'does this sound human enough for my customers?' — and that question cannot be answered by a hero headline or a blog post. Competitors like ElevenLabs and Retell.ai allow visitors to generate a sample call or hear live demos in under 30 seconds with no sign-up required. When Vocallabs gates all product experience behind a contact form, it eliminates the fastest path to conviction for technical evaluators (developers, product managers, CTOs) who want to test the product before booking a sales call. This creates a cold traffic dead-end: visitors who are genuinely interested but not ready to hand over their number simply leave. The 2-minute sign-up promise is also misleading — a contact form is not a product trial.</w:t>
      </w:r>
    </w:p>
    <w:p>
      <w:pPr>
        <w:spacing w:after="80" w:before="80"/>
      </w:pPr>
      <w:r>
        <w:t xml:space="preserve"/>
      </w:r>
    </w:p>
    <w:p>
      <w:pPr>
        <w:spacing w:after="60" w:before="180"/>
      </w:pPr>
      <w:r>
        <w:rPr>
          <w:rFonts w:ascii="Arial" w:cs="Arial" w:eastAsia="Arial" w:hAnsi="Arial"/>
          <w:b/>
          <w:bCs/>
          <w:color w:val="E84E3B"/>
          <w:sz w:val="22"/>
          <w:szCs w:val="22"/>
        </w:rPr>
        <w:t xml:space="preserve">(c) Ship Instead</w:t>
      </w:r>
    </w:p>
    <w:p>
      <w:pPr>
        <w:spacing w:after="80" w:before="60"/>
      </w:pPr>
      <w:r>
        <w:rPr>
          <w:rFonts w:ascii="Arial" w:cs="Arial" w:eastAsia="Arial" w:hAnsi="Arial"/>
          <w:sz w:val="22"/>
          <w:szCs w:val="22"/>
        </w:rPr>
        <w:t xml:space="preserve">Add an embedded 'Try a live demo call' widget on the homepage — a browser-based call that runs a pre-configured agent (e.g., a restaurant booking bot in English and Hindi). Requires no sign-up. The call should demonstrate: natural interruption handling, bilingual switching, and a completed booking flow. Alongside this, add a 'Build your first agent in 5 minutes' sandbox within the Call Flow Builder — pre-loaded with a template (appointment booking), connected to a test phone number, and runnable in-browser. This converts curious visitors into activated users before they ever speak to a salesperson, and reduces the sales cycle length for developer-led buyers.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 Observed</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 Problem</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Ship Instead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'GET STARTED' routes to a contact form — no interactive demo, no sandbox, no sample call. Docs exist but are not surfaced on the main site.</w:t>
            </w:r>
          </w:p>
        </w:tc>
        <w:tc>
          <w:tcPr>
            <w:tcW w:type="dxa" w:w="3120"/>
            <w:tcBorders>
              <w:top w:val="single" w:color="CCCCCC" w:sz="1"/>
              <w:left w:val="single" w:color="CCCCCC" w:sz="1"/>
              <w:bottom w:val="single" w:color="CCCCCC" w:sz="1"/>
              <w:right w:val="single" w:color="CCCCCC" w:sz="1"/>
            </w:tcBorders>
            <w:shd w:fill="FFF3F2" w:val="clear"/>
            <w:tcMar>
              <w:top w:type="dxa" w:w="100"/>
              <w:left w:type="dxa" w:w="120"/>
              <w:bottom w:type="dxa" w:w="100"/>
              <w:right w:type="dxa" w:w="120"/>
            </w:tcMar>
          </w:tcPr>
          <w:p>
            <w:r>
              <w:rPr>
                <w:rFonts w:ascii="Arial" w:cs="Arial" w:eastAsia="Arial" w:hAnsi="Arial"/>
                <w:sz w:val="20"/>
                <w:szCs w:val="20"/>
              </w:rPr>
              <w:t xml:space="preserve">Voice AI is an audio product. Buyers cannot evaluate quality or trust without hearing it. Gating the experience behind a form kills developer-led self-serve acquisition.</w:t>
            </w:r>
          </w:p>
        </w:tc>
        <w:tc>
          <w:tcPr>
            <w:tcW w:type="dxa" w:w="3120"/>
            <w:tcBorders>
              <w:top w:val="single" w:color="CCCCCC" w:sz="1"/>
              <w:left w:val="single" w:color="CCCCCC" w:sz="1"/>
              <w:bottom w:val="single" w:color="CCCCCC" w:sz="1"/>
              <w:right w:val="single" w:color="CCCCCC" w:sz="1"/>
            </w:tcBorders>
            <w:shd w:fill="F0FAF0" w:val="clear"/>
            <w:tcMar>
              <w:top w:type="dxa" w:w="100"/>
              <w:left w:type="dxa" w:w="120"/>
              <w:bottom w:type="dxa" w:w="100"/>
              <w:right w:type="dxa" w:w="120"/>
            </w:tcMar>
          </w:tcPr>
          <w:p>
            <w:r>
              <w:rPr>
                <w:rFonts w:ascii="Arial" w:cs="Arial" w:eastAsia="Arial" w:hAnsi="Arial"/>
                <w:sz w:val="20"/>
                <w:szCs w:val="20"/>
              </w:rPr>
              <w:t xml:space="preserve">Embed a no-signup live demo call on the homepage. Add a sandbox template in the Call Flow Builder. Surface docs prominently. Ship in one sprint.</w:t>
            </w:r>
          </w:p>
        </w:tc>
      </w:tr>
    </w:tbl>
    <w:p>
      <w:pPr>
        <w:spacing w:after="80" w:before="80"/>
      </w:pPr>
      <w:r>
        <w:t xml:space="preserve"/>
      </w:r>
    </w:p>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Feedback #3 — Features / Services</w:t>
      </w:r>
    </w:p>
    <w:p>
      <w:pPr>
        <w:pStyle w:val="Heading2"/>
        <w:spacing w:after="80" w:before="240"/>
      </w:pPr>
      <w:r>
        <w:rPr>
          <w:rFonts w:ascii="Arial" w:cs="Arial" w:eastAsia="Arial" w:hAnsi="Arial"/>
          <w:b/>
          <w:bCs/>
          <w:color w:val="1F3A8C"/>
          <w:sz w:val="26"/>
          <w:szCs w:val="26"/>
        </w:rPr>
        <w:t xml:space="preserve">Voice Analytics Is Buried — Not Monetised as a First-Class Product</w:t>
      </w:r>
    </w:p>
    <w:p>
      <w:pPr>
        <w:spacing w:after="80" w:before="80"/>
      </w:pPr>
      <w:r>
        <w:t xml:space="preserve"/>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single" w:color="E84E3B" w:sz="1"/>
              <w:left w:val="single" w:color="E84E3B" w:sz="1"/>
              <w:bottom w:val="single" w:color="E84E3B" w:sz="1"/>
              <w:right w:val="single" w:color="E84E3B" w:sz="1"/>
            </w:tcBorders>
            <w:shd w:fill="FFF3F2" w:val="clear"/>
            <w:tcMar>
              <w:top w:type="dxa" w:w="40"/>
              <w:left w:type="dxa" w:w="80"/>
              <w:bottom w:type="dxa" w:w="40"/>
              <w:right w:type="dxa" w:w="80"/>
            </w:tcMar>
          </w:tcPr>
          <w:p>
            <w:pPr>
              <w:jc w:val="center"/>
            </w:pPr>
            <w:r>
              <w:rPr>
                <w:rFonts w:ascii="Arial" w:cs="Arial" w:eastAsia="Arial" w:hAnsi="Arial"/>
                <w:b/>
                <w:bCs/>
                <w:color w:val="E84E3B"/>
                <w:sz w:val="18"/>
                <w:szCs w:val="18"/>
              </w:rPr>
              <w:t xml:space="preserve">Pillar: Features / Services</w:t>
            </w:r>
          </w:p>
        </w:tc>
      </w:tr>
    </w:tbl>
    <w:p>
      <w:pPr>
        <w:spacing w:after="80" w:before="80"/>
      </w:pPr>
      <w:r>
        <w:t xml:space="preserve"/>
      </w:r>
    </w:p>
    <w:p>
      <w:pPr>
        <w:spacing w:after="60" w:before="180"/>
      </w:pPr>
      <w:r>
        <w:rPr>
          <w:rFonts w:ascii="Arial" w:cs="Arial" w:eastAsia="Arial" w:hAnsi="Arial"/>
          <w:b/>
          <w:bCs/>
          <w:color w:val="E84E3B"/>
          <w:sz w:val="22"/>
          <w:szCs w:val="22"/>
        </w:rPr>
        <w:t xml:space="preserve">(a) Observed</w:t>
      </w:r>
    </w:p>
    <w:p>
      <w:pPr>
        <w:spacing w:after="80" w:before="60"/>
      </w:pPr>
      <w:r>
        <w:rPr>
          <w:rFonts w:ascii="Arial" w:cs="Arial" w:eastAsia="Arial" w:hAnsi="Arial"/>
          <w:sz w:val="22"/>
          <w:szCs w:val="22"/>
        </w:rPr>
        <w:t xml:space="preserve">Vocallabs advertises 'voice analytics: emotion, intent &amp; tone beyond transcription' as one of five bullet points in its feature list — below the Call Flow Builder and hybrid handoff. The website does not have a dedicated analytics page, no screenshot of the analytics dashboard is shown, no sample report is available, and pricing for analytics is not mentioned. From external coverage (Medium articles, blog), the analytics capabilities include emotion tagging, sentiment mapping, real-time mood shift detection, topic summaries, and visual dashboards — but none of this depth is visible to a first-time website visitor or in the app's onboarding flow.</w:t>
      </w:r>
    </w:p>
    <w:p>
      <w:pPr>
        <w:spacing w:after="80" w:before="80"/>
      </w:pPr>
      <w:r>
        <w:t xml:space="preserve"/>
      </w:r>
    </w:p>
    <w:p>
      <w:pPr>
        <w:spacing w:after="60" w:before="180"/>
      </w:pPr>
      <w:r>
        <w:rPr>
          <w:rFonts w:ascii="Arial" w:cs="Arial" w:eastAsia="Arial" w:hAnsi="Arial"/>
          <w:b/>
          <w:bCs/>
          <w:color w:val="E84E3B"/>
          <w:sz w:val="22"/>
          <w:szCs w:val="22"/>
        </w:rPr>
        <w:t xml:space="preserve">(b) Problem</w:t>
      </w:r>
    </w:p>
    <w:p>
      <w:pPr>
        <w:spacing w:after="80" w:before="60"/>
      </w:pPr>
      <w:r>
        <w:rPr>
          <w:rFonts w:ascii="Arial" w:cs="Arial" w:eastAsia="Arial" w:hAnsi="Arial"/>
          <w:sz w:val="22"/>
          <w:szCs w:val="22"/>
        </w:rPr>
        <w:t xml:space="preserve">Voice analytics — particularly emotion and intent detection at India-relevant scale — is a defensible, high-margin product line in its own right. CX teams, QA managers, and product researchers will pay separately for call intelligence even if they don't want to automate calls yet. By treating analytics as a buried feature rather than a product, Vocallabs misses: (1) a second buyer persona (CX analysts, QA leads) who would never sign up for an 'AI calling platform' but would buy a 'call intelligence tool', (2) a natural upsell motion from analytics-only customers to full automation, and (3) a data flywheel story that could drive enterprise deals. The current positioning also makes it easy for competitors like Observe.AI or CallMiner to own the analytics buyer without Vocallabs even being considered.</w:t>
      </w:r>
    </w:p>
    <w:p>
      <w:pPr>
        <w:spacing w:after="80" w:before="80"/>
      </w:pPr>
      <w:r>
        <w:t xml:space="preserve"/>
      </w:r>
    </w:p>
    <w:p>
      <w:pPr>
        <w:spacing w:after="60" w:before="180"/>
      </w:pPr>
      <w:r>
        <w:rPr>
          <w:rFonts w:ascii="Arial" w:cs="Arial" w:eastAsia="Arial" w:hAnsi="Arial"/>
          <w:b/>
          <w:bCs/>
          <w:color w:val="E84E3B"/>
          <w:sz w:val="22"/>
          <w:szCs w:val="22"/>
        </w:rPr>
        <w:t xml:space="preserve">(c) Ship Instead</w:t>
      </w:r>
    </w:p>
    <w:p>
      <w:pPr>
        <w:spacing w:after="80" w:before="60"/>
      </w:pPr>
      <w:r>
        <w:rPr>
          <w:rFonts w:ascii="Arial" w:cs="Arial" w:eastAsia="Arial" w:hAnsi="Arial"/>
          <w:sz w:val="22"/>
          <w:szCs w:val="22"/>
        </w:rPr>
        <w:t xml:space="preserve">Promote voice analytics as 'VocalInsights' — a standalone product tier with its own landing page, pricing (per seat or per 1,000 call minutes analysed), and onboarding flow. Target this page at CX leaders and QA managers, not just technical buyers. Show a live dashboard mockup with sample data. Offer a free 'analyse 10 calls' trial with no infrastructure setup required — users upload recordings or connect their existing telephony (Exotel, Ozonetel). This creates a low-friction top-of-funnel for enterprise buyers who don't want to replace their calling infrastructure yet, and a clear upsell path to the full AI voice agent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 Observed</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 Problem</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Ship Instead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Analytics is one of five homepage bullets. No dedicated analytics page, no dashboard screenshot, no standalone pricing or trial. Depth is visible only in third-party blog coverage.</w:t>
            </w:r>
          </w:p>
        </w:tc>
        <w:tc>
          <w:tcPr>
            <w:tcW w:type="dxa" w:w="3120"/>
            <w:tcBorders>
              <w:top w:val="single" w:color="CCCCCC" w:sz="1"/>
              <w:left w:val="single" w:color="CCCCCC" w:sz="1"/>
              <w:bottom w:val="single" w:color="CCCCCC" w:sz="1"/>
              <w:right w:val="single" w:color="CCCCCC" w:sz="1"/>
            </w:tcBorders>
            <w:shd w:fill="FFF3F2" w:val="clear"/>
            <w:tcMar>
              <w:top w:type="dxa" w:w="100"/>
              <w:left w:type="dxa" w:w="120"/>
              <w:bottom w:type="dxa" w:w="100"/>
              <w:right w:type="dxa" w:w="120"/>
            </w:tcMar>
          </w:tcPr>
          <w:p>
            <w:r>
              <w:rPr>
                <w:rFonts w:ascii="Arial" w:cs="Arial" w:eastAsia="Arial" w:hAnsi="Arial"/>
                <w:sz w:val="20"/>
                <w:szCs w:val="20"/>
              </w:rPr>
              <w:t xml:space="preserve">A high-margin, separately sellable product is being left on the table. Analytics buyers (CX leads, QA managers) will never discover Vocallabs because it's positioned as a calling platform.</w:t>
            </w:r>
          </w:p>
        </w:tc>
        <w:tc>
          <w:tcPr>
            <w:tcW w:type="dxa" w:w="3120"/>
            <w:tcBorders>
              <w:top w:val="single" w:color="CCCCCC" w:sz="1"/>
              <w:left w:val="single" w:color="CCCCCC" w:sz="1"/>
              <w:bottom w:val="single" w:color="CCCCCC" w:sz="1"/>
              <w:right w:val="single" w:color="CCCCCC" w:sz="1"/>
            </w:tcBorders>
            <w:shd w:fill="F0FAF0" w:val="clear"/>
            <w:tcMar>
              <w:top w:type="dxa" w:w="100"/>
              <w:left w:type="dxa" w:w="120"/>
              <w:bottom w:type="dxa" w:w="100"/>
              <w:right w:type="dxa" w:w="120"/>
            </w:tcMar>
          </w:tcPr>
          <w:p>
            <w:r>
              <w:rPr>
                <w:rFonts w:ascii="Arial" w:cs="Arial" w:eastAsia="Arial" w:hAnsi="Arial"/>
                <w:sz w:val="20"/>
                <w:szCs w:val="20"/>
              </w:rPr>
              <w:t xml:space="preserve">Create 'VocalInsights' — standalone analytics tier with its own page, dashboard mockup, per-call pricing, and a 10-call free upload trial. Upsell to full automation.</w:t>
            </w:r>
          </w:p>
        </w:tc>
      </w:tr>
    </w:tbl>
    <w:p>
      <w:pPr>
        <w:spacing w:after="80" w:before="80"/>
      </w:pPr>
      <w:r>
        <w:t xml:space="preserve"/>
      </w:r>
    </w:p>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Feedback #4 — Competitor Analysis</w:t>
      </w:r>
    </w:p>
    <w:p>
      <w:pPr>
        <w:pStyle w:val="Heading2"/>
        <w:spacing w:after="80" w:before="240"/>
      </w:pPr>
      <w:r>
        <w:rPr>
          <w:rFonts w:ascii="Arial" w:cs="Arial" w:eastAsia="Arial" w:hAnsi="Arial"/>
          <w:b/>
          <w:bCs/>
          <w:color w:val="1F3A8C"/>
          <w:sz w:val="26"/>
          <w:szCs w:val="26"/>
        </w:rPr>
        <w:t xml:space="preserve">No Public Positioning Against India-Specific Competitors</w:t>
      </w:r>
    </w:p>
    <w:p>
      <w:pPr>
        <w:spacing w:after="80" w:before="80"/>
      </w:pPr>
      <w:r>
        <w:t xml:space="preserve"/>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single" w:color="E84E3B" w:sz="1"/>
              <w:left w:val="single" w:color="E84E3B" w:sz="1"/>
              <w:bottom w:val="single" w:color="E84E3B" w:sz="1"/>
              <w:right w:val="single" w:color="E84E3B" w:sz="1"/>
            </w:tcBorders>
            <w:shd w:fill="FFF3F2" w:val="clear"/>
            <w:tcMar>
              <w:top w:type="dxa" w:w="40"/>
              <w:left w:type="dxa" w:w="80"/>
              <w:bottom w:type="dxa" w:w="40"/>
              <w:right w:type="dxa" w:w="80"/>
            </w:tcMar>
          </w:tcPr>
          <w:p>
            <w:pPr>
              <w:jc w:val="center"/>
            </w:pPr>
            <w:r>
              <w:rPr>
                <w:rFonts w:ascii="Arial" w:cs="Arial" w:eastAsia="Arial" w:hAnsi="Arial"/>
                <w:b/>
                <w:bCs/>
                <w:color w:val="E84E3B"/>
                <w:sz w:val="18"/>
                <w:szCs w:val="18"/>
              </w:rPr>
              <w:t xml:space="preserve">Pillar: Competitor Analysis</w:t>
            </w:r>
          </w:p>
        </w:tc>
      </w:tr>
    </w:tbl>
    <w:p>
      <w:pPr>
        <w:spacing w:after="80" w:before="80"/>
      </w:pPr>
      <w:r>
        <w:t xml:space="preserve"/>
      </w:r>
    </w:p>
    <w:p>
      <w:pPr>
        <w:spacing w:after="60" w:before="180"/>
      </w:pPr>
      <w:r>
        <w:rPr>
          <w:rFonts w:ascii="Arial" w:cs="Arial" w:eastAsia="Arial" w:hAnsi="Arial"/>
          <w:b/>
          <w:bCs/>
          <w:color w:val="E84E3B"/>
          <w:sz w:val="22"/>
          <w:szCs w:val="22"/>
        </w:rPr>
        <w:t xml:space="preserve">(a) Observed</w:t>
      </w:r>
    </w:p>
    <w:p>
      <w:pPr>
        <w:spacing w:after="80" w:before="60"/>
      </w:pPr>
      <w:r>
        <w:rPr>
          <w:rFonts w:ascii="Arial" w:cs="Arial" w:eastAsia="Arial" w:hAnsi="Arial"/>
          <w:sz w:val="22"/>
          <w:szCs w:val="22"/>
        </w:rPr>
        <w:t xml:space="preserve">The Vocallabs website makes no mention of competitors — not in positioning copy, not in a comparison page, not in FAQs. The space it operates in is increasingly crowded: Bolna (YC-backed, India-first, 500K+ monthly call minutes), VAPI (US, developer-first, 62M+ monthly calls), Retell.ai (enterprise compliance), and Sarvam.ai (Indian language models). Buyers evaluating Vocallabs will Google these alternatives. When they do, they find comparison content written by Bolna and VAPI positioning themselves — not content from Vocallabs. The 'India-first' claim in Vocallabs's moat list (local languages, accents, workflows) is never substantiated with benchmarks, language coverage data, or latency comparisons anywhere on the website.</w:t>
      </w:r>
    </w:p>
    <w:p>
      <w:pPr>
        <w:spacing w:after="80" w:before="80"/>
      </w:pPr>
      <w:r>
        <w:t xml:space="preserve"/>
      </w:r>
    </w:p>
    <w:p>
      <w:pPr>
        <w:spacing w:after="60" w:before="180"/>
      </w:pPr>
      <w:r>
        <w:rPr>
          <w:rFonts w:ascii="Arial" w:cs="Arial" w:eastAsia="Arial" w:hAnsi="Arial"/>
          <w:b/>
          <w:bCs/>
          <w:color w:val="E84E3B"/>
          <w:sz w:val="22"/>
          <w:szCs w:val="22"/>
        </w:rPr>
        <w:t xml:space="preserve">(b) Problem</w:t>
      </w:r>
    </w:p>
    <w:p>
      <w:pPr>
        <w:spacing w:after="80" w:before="60"/>
      </w:pPr>
      <w:r>
        <w:rPr>
          <w:rFonts w:ascii="Arial" w:cs="Arial" w:eastAsia="Arial" w:hAnsi="Arial"/>
          <w:sz w:val="22"/>
          <w:szCs w:val="22"/>
        </w:rPr>
        <w:t xml:space="preserve">In high-consideration B2B purchases, buyers conduct competitive research before shortlisting vendors. If Vocallabs has no presence in those comparison moments — no comparison page, no 'why us vs Bolna' narrative, no language coverage table — it loses deals it never knew were in play. The India-first positioning is Vocallabs's strongest differentiator, but it's currently an assertion, not a proof. A fintech CTO evaluating Bolna vs Vocallabs has no reason from the Vocallabs site to choose Vocallabs. Bolna, by contrast, publishes sub-500ms latency claims, 10+ language support, and 50+ accent adaptation on its YC launch page — all specific, verifiable, and persuasive. Vocallabs is letting a competitor own the 'India AI calling' narrative.</w:t>
      </w:r>
    </w:p>
    <w:p>
      <w:pPr>
        <w:spacing w:after="80" w:before="80"/>
      </w:pPr>
      <w:r>
        <w:t xml:space="preserve"/>
      </w:r>
    </w:p>
    <w:p>
      <w:pPr>
        <w:spacing w:after="60" w:before="180"/>
      </w:pPr>
      <w:r>
        <w:rPr>
          <w:rFonts w:ascii="Arial" w:cs="Arial" w:eastAsia="Arial" w:hAnsi="Arial"/>
          <w:b/>
          <w:bCs/>
          <w:color w:val="E84E3B"/>
          <w:sz w:val="22"/>
          <w:szCs w:val="22"/>
        </w:rPr>
        <w:t xml:space="preserve">(c) Ship Instead</w:t>
      </w:r>
    </w:p>
    <w:p>
      <w:pPr>
        <w:spacing w:after="80" w:before="60"/>
      </w:pPr>
      <w:r>
        <w:rPr>
          <w:rFonts w:ascii="Arial" w:cs="Arial" w:eastAsia="Arial" w:hAnsi="Arial"/>
          <w:sz w:val="22"/>
          <w:szCs w:val="22"/>
        </w:rPr>
        <w:t xml:space="preserve">Publish a comparison page ('Vocallabs vs the rest') that honestly positions the product against Bolna, VAPI, and Retell on dimensions that matter to Indian enterprise buyers: (1) language coverage (Hindi, Marathi, Tamil, Telugu, Kannada — with audio samples), (2) end-to-end latency on Indian carrier networks (not AWS us-east), (3) data residency (is call data stored in India?), (4) pricing in INR with a per-minute breakdown, and (5) integration with Indian telephony stack (Exotel, Ozonetel, Knowlarity). Publish a benchmark blog post with real numbers. Run it as a keyword SEO play targeting 'voice AI India', 'AI calling platform India', 'Bolna alternative'. This turns the India-first moat into a measurable, ownable market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 Observed</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 Problem</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Ship Instead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No competitor mention, comparison page, or benchmark data anywhere on the site. 'India-first' moat is claimed but not substantiated. Bolna, VAPI, and Retell own the comparison narrative.</w:t>
            </w:r>
          </w:p>
        </w:tc>
        <w:tc>
          <w:tcPr>
            <w:tcW w:type="dxa" w:w="3120"/>
            <w:tcBorders>
              <w:top w:val="single" w:color="CCCCCC" w:sz="1"/>
              <w:left w:val="single" w:color="CCCCCC" w:sz="1"/>
              <w:bottom w:val="single" w:color="CCCCCC" w:sz="1"/>
              <w:right w:val="single" w:color="CCCCCC" w:sz="1"/>
            </w:tcBorders>
            <w:shd w:fill="FFF3F2" w:val="clear"/>
            <w:tcMar>
              <w:top w:type="dxa" w:w="100"/>
              <w:left w:type="dxa" w:w="120"/>
              <w:bottom w:type="dxa" w:w="100"/>
              <w:right w:type="dxa" w:w="120"/>
            </w:tcMar>
          </w:tcPr>
          <w:p>
            <w:r>
              <w:rPr>
                <w:rFonts w:ascii="Arial" w:cs="Arial" w:eastAsia="Arial" w:hAnsi="Arial"/>
                <w:sz w:val="20"/>
                <w:szCs w:val="20"/>
              </w:rPr>
              <w:t xml:space="preserve">Buyers researching alternatives will not find Vocallabs in competitive comparisons. The strongest moat (India-specific performance) is invisible because it's asserted not proven.</w:t>
            </w:r>
          </w:p>
        </w:tc>
        <w:tc>
          <w:tcPr>
            <w:tcW w:type="dxa" w:w="3120"/>
            <w:tcBorders>
              <w:top w:val="single" w:color="CCCCCC" w:sz="1"/>
              <w:left w:val="single" w:color="CCCCCC" w:sz="1"/>
              <w:bottom w:val="single" w:color="CCCCCC" w:sz="1"/>
              <w:right w:val="single" w:color="CCCCCC" w:sz="1"/>
            </w:tcBorders>
            <w:shd w:fill="F0FAF0" w:val="clear"/>
            <w:tcMar>
              <w:top w:type="dxa" w:w="100"/>
              <w:left w:type="dxa" w:w="120"/>
              <w:bottom w:type="dxa" w:w="100"/>
              <w:right w:type="dxa" w:w="120"/>
            </w:tcMar>
          </w:tcPr>
          <w:p>
            <w:r>
              <w:rPr>
                <w:rFonts w:ascii="Arial" w:cs="Arial" w:eastAsia="Arial" w:hAnsi="Arial"/>
                <w:sz w:val="20"/>
                <w:szCs w:val="20"/>
              </w:rPr>
              <w:t xml:space="preserve">Publish 'Vocallabs vs the rest' comparison page with India-specific benchmarks: language coverage, INR pricing, latency on Indian networks, data residency, and local telephony integrations.</w:t>
            </w:r>
          </w:p>
        </w:tc>
      </w:tr>
    </w:tbl>
    <w:p>
      <w:pPr>
        <w:spacing w:after="80" w:before="80"/>
      </w:pPr>
      <w:r>
        <w:t xml:space="preserve"/>
      </w:r>
    </w:p>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Feedback #5 — Potential Collaborations</w:t>
      </w:r>
    </w:p>
    <w:p>
      <w:pPr>
        <w:pStyle w:val="Heading2"/>
        <w:spacing w:after="80" w:before="240"/>
      </w:pPr>
      <w:r>
        <w:rPr>
          <w:rFonts w:ascii="Arial" w:cs="Arial" w:eastAsia="Arial" w:hAnsi="Arial"/>
          <w:b/>
          <w:bCs/>
          <w:color w:val="1F3A8C"/>
          <w:sz w:val="26"/>
          <w:szCs w:val="26"/>
        </w:rPr>
        <w:t xml:space="preserve">Integrations &amp; Ecosystem Partners Are Undiscoverable</w:t>
      </w:r>
    </w:p>
    <w:p>
      <w:pPr>
        <w:spacing w:after="80" w:before="80"/>
      </w:pPr>
      <w:r>
        <w:t xml:space="preserve"/>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single" w:color="E84E3B" w:sz="1"/>
              <w:left w:val="single" w:color="E84E3B" w:sz="1"/>
              <w:bottom w:val="single" w:color="E84E3B" w:sz="1"/>
              <w:right w:val="single" w:color="E84E3B" w:sz="1"/>
            </w:tcBorders>
            <w:shd w:fill="FFF3F2" w:val="clear"/>
            <w:tcMar>
              <w:top w:type="dxa" w:w="40"/>
              <w:left w:type="dxa" w:w="80"/>
              <w:bottom w:type="dxa" w:w="40"/>
              <w:right w:type="dxa" w:w="80"/>
            </w:tcMar>
          </w:tcPr>
          <w:p>
            <w:pPr>
              <w:jc w:val="center"/>
            </w:pPr>
            <w:r>
              <w:rPr>
                <w:rFonts w:ascii="Arial" w:cs="Arial" w:eastAsia="Arial" w:hAnsi="Arial"/>
                <w:b/>
                <w:bCs/>
                <w:color w:val="E84E3B"/>
                <w:sz w:val="18"/>
                <w:szCs w:val="18"/>
              </w:rPr>
              <w:t xml:space="preserve">Pillar: Potential Collaborations</w:t>
            </w:r>
          </w:p>
        </w:tc>
      </w:tr>
    </w:tbl>
    <w:p>
      <w:pPr>
        <w:spacing w:after="80" w:before="80"/>
      </w:pPr>
      <w:r>
        <w:t xml:space="preserve"/>
      </w:r>
    </w:p>
    <w:p>
      <w:pPr>
        <w:spacing w:after="60" w:before="180"/>
      </w:pPr>
      <w:r>
        <w:rPr>
          <w:rFonts w:ascii="Arial" w:cs="Arial" w:eastAsia="Arial" w:hAnsi="Arial"/>
          <w:b/>
          <w:bCs/>
          <w:color w:val="E84E3B"/>
          <w:sz w:val="22"/>
          <w:szCs w:val="22"/>
        </w:rPr>
        <w:t xml:space="preserve">(a) Observed</w:t>
      </w:r>
    </w:p>
    <w:p>
      <w:pPr>
        <w:spacing w:after="80" w:before="60"/>
      </w:pPr>
      <w:r>
        <w:rPr>
          <w:rFonts w:ascii="Arial" w:cs="Arial" w:eastAsia="Arial" w:hAnsi="Arial"/>
          <w:sz w:val="22"/>
          <w:szCs w:val="22"/>
        </w:rPr>
        <w:t xml:space="preserve">Vocallabs lists 'SDK, n8n node &amp; Chrome extension for workflow automation' as features and mentions CRM syncing in blog content ('Push qualified leads directly to your sales CRM'). However, the website has no integrations page, no partner directory, and no published list of supported CRMs, telephony providers, or workflow tools. The n8n node integration is buried in technical documentation. There is no Zapier integration, no Salesforce/HubSpot connector badge, no mention of Exotel, Ozonetel, or Knowlarity. When a mid-market sales ops manager visits the site to evaluate whether Vocallabs will plug into their existing Freshsales + Exotel stack, they cannot find an answer without booking a discovery call.</w:t>
      </w:r>
    </w:p>
    <w:p>
      <w:pPr>
        <w:spacing w:after="80" w:before="80"/>
      </w:pPr>
      <w:r>
        <w:t xml:space="preserve"/>
      </w:r>
    </w:p>
    <w:p>
      <w:pPr>
        <w:spacing w:after="60" w:before="180"/>
      </w:pPr>
      <w:r>
        <w:rPr>
          <w:rFonts w:ascii="Arial" w:cs="Arial" w:eastAsia="Arial" w:hAnsi="Arial"/>
          <w:b/>
          <w:bCs/>
          <w:color w:val="E84E3B"/>
          <w:sz w:val="22"/>
          <w:szCs w:val="22"/>
        </w:rPr>
        <w:t xml:space="preserve">(b) Problem</w:t>
      </w:r>
    </w:p>
    <w:p>
      <w:pPr>
        <w:spacing w:after="80" w:before="60"/>
      </w:pPr>
      <w:r>
        <w:rPr>
          <w:rFonts w:ascii="Arial" w:cs="Arial" w:eastAsia="Arial" w:hAnsi="Arial"/>
          <w:sz w:val="22"/>
          <w:szCs w:val="22"/>
        </w:rPr>
        <w:t xml:space="preserve">For a B2B infrastructure product, the integrations page is often the third page a serious buyer visits (after homepage and pricing). 'Will this work with what we already have?' is a go/no-go question, not a nice-to-have. Hiding integration details behind a sales call creates unnecessary friction and disqualifies the product in the mind of a self-serve evaluator before the first conversation. More strategically, Vocallabs is missing a meaningful GTM motion: co-marketing with CRM and telephony partners (Freshworks, LeadSquared, Exotel, Ozonetel) could drive warm, high-intent referral traffic from their existing customer bases — buyers who are already spending on sales and CX infrastructure and have a clear need for AI calling.</w:t>
      </w:r>
    </w:p>
    <w:p>
      <w:pPr>
        <w:spacing w:after="80" w:before="80"/>
      </w:pPr>
      <w:r>
        <w:t xml:space="preserve"/>
      </w:r>
    </w:p>
    <w:p>
      <w:pPr>
        <w:spacing w:after="60" w:before="180"/>
      </w:pPr>
      <w:r>
        <w:rPr>
          <w:rFonts w:ascii="Arial" w:cs="Arial" w:eastAsia="Arial" w:hAnsi="Arial"/>
          <w:b/>
          <w:bCs/>
          <w:color w:val="E84E3B"/>
          <w:sz w:val="22"/>
          <w:szCs w:val="22"/>
        </w:rPr>
        <w:t xml:space="preserve">(c) Ship Instead</w:t>
      </w:r>
    </w:p>
    <w:p>
      <w:pPr>
        <w:spacing w:after="80" w:before="60"/>
      </w:pPr>
      <w:r>
        <w:rPr>
          <w:rFonts w:ascii="Arial" w:cs="Arial" w:eastAsia="Arial" w:hAnsi="Arial"/>
          <w:sz w:val="22"/>
          <w:szCs w:val="22"/>
        </w:rPr>
        <w:t xml:space="preserve">Build a public '/integrations' page listing all native and API-supported integrations, organised by category: CRM (Salesforce, HubSpot, Freshsales, LeadSquared, Zoho), Telephony (Exotel, Ozonetel, Knowlarity, Twilio), Workflow (n8n, Zapier, Make), and Analytics (Google Looker Studio, Metabase). For each integration, show a one-line description and a 'docs' link. Proactively reach out to Exotel and LeadSquared for co-marketing (joint webinar, joint case study, listing on their partner marketplace). These partnerships are warm asks — they extend Vocallabs's reach to buyers who are already using calling and CRM infrastructure and are the natural next step toward AI automation. This is a 3-week build + 4-week outreach cycle with compounding referral traffic benefits.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 Observed</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 Problem</w:t>
            </w:r>
          </w:p>
        </w:tc>
        <w:tc>
          <w:tcPr>
            <w:tcW w:type="dxa" w:w="3120"/>
            <w:tcBorders>
              <w:top w:val="single" w:color="1F3A8C" w:sz="1"/>
              <w:left w:val="single" w:color="1F3A8C" w:sz="1"/>
              <w:bottom w:val="single" w:color="1F3A8C" w:sz="1"/>
              <w:right w:val="single" w:color="1F3A8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Ship Instead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No integrations page. CRM sync mentioned in blogs only. n8n node buried in docs. No telephony partner mentions (Exotel, Ozonetel). Zero partner co-marketing.</w:t>
            </w:r>
          </w:p>
        </w:tc>
        <w:tc>
          <w:tcPr>
            <w:tcW w:type="dxa" w:w="3120"/>
            <w:tcBorders>
              <w:top w:val="single" w:color="CCCCCC" w:sz="1"/>
              <w:left w:val="single" w:color="CCCCCC" w:sz="1"/>
              <w:bottom w:val="single" w:color="CCCCCC" w:sz="1"/>
              <w:right w:val="single" w:color="CCCCCC" w:sz="1"/>
            </w:tcBorders>
            <w:shd w:fill="FFF3F2" w:val="clear"/>
            <w:tcMar>
              <w:top w:type="dxa" w:w="100"/>
              <w:left w:type="dxa" w:w="120"/>
              <w:bottom w:type="dxa" w:w="100"/>
              <w:right w:type="dxa" w:w="120"/>
            </w:tcMar>
          </w:tcPr>
          <w:p>
            <w:r>
              <w:rPr>
                <w:rFonts w:ascii="Arial" w:cs="Arial" w:eastAsia="Arial" w:hAnsi="Arial"/>
                <w:sz w:val="20"/>
                <w:szCs w:val="20"/>
              </w:rPr>
              <w:t xml:space="preserve">'Will this work with our stack?' is a go/no-go question. Hiding integrations behind a sales call causes silent drop-offs from high-intent evaluators and misses co-marketing GTM opportunities.</w:t>
            </w:r>
          </w:p>
        </w:tc>
        <w:tc>
          <w:tcPr>
            <w:tcW w:type="dxa" w:w="3120"/>
            <w:tcBorders>
              <w:top w:val="single" w:color="CCCCCC" w:sz="1"/>
              <w:left w:val="single" w:color="CCCCCC" w:sz="1"/>
              <w:bottom w:val="single" w:color="CCCCCC" w:sz="1"/>
              <w:right w:val="single" w:color="CCCCCC" w:sz="1"/>
            </w:tcBorders>
            <w:shd w:fill="F0FAF0" w:val="clear"/>
            <w:tcMar>
              <w:top w:type="dxa" w:w="100"/>
              <w:left w:type="dxa" w:w="120"/>
              <w:bottom w:type="dxa" w:w="100"/>
              <w:right w:type="dxa" w:w="120"/>
            </w:tcMar>
          </w:tcPr>
          <w:p>
            <w:r>
              <w:rPr>
                <w:rFonts w:ascii="Arial" w:cs="Arial" w:eastAsia="Arial" w:hAnsi="Arial"/>
                <w:sz w:val="20"/>
                <w:szCs w:val="20"/>
              </w:rPr>
              <w:t xml:space="preserve">Build '/integrations' page (CRM, Telephony, Workflow, Analytics). Partner with Exotel + LeadSquared for co-marketing. List on their partner marketplaces. 3-week build, strong referral upside.</w:t>
            </w:r>
          </w:p>
        </w:tc>
      </w:tr>
    </w:tbl>
    <w:p>
      <w:pPr>
        <w:spacing w:after="80" w:before="80"/>
      </w:pPr>
      <w:r>
        <w:t xml:space="preserve"/>
      </w:r>
    </w:p>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Prioritisation Logic</w:t>
      </w:r>
    </w:p>
    <w:p>
      <w:pPr>
        <w:spacing w:after="80" w:before="60"/>
      </w:pPr>
      <w:r>
        <w:rPr>
          <w:rFonts w:ascii="Arial" w:cs="Arial" w:eastAsia="Arial" w:hAnsi="Arial"/>
          <w:sz w:val="22"/>
          <w:szCs w:val="22"/>
        </w:rPr>
        <w:t xml:space="preserve">All five feedback items are actionable from Day 1. Below is a recommended sequencing by effort vs. business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600"/>
        <w:gridCol w:w="1600"/>
        <w:gridCol w:w="2560"/>
      </w:tblGrid>
      <w:tr>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r>
              <w:rPr>
                <w:rFonts w:ascii="Arial" w:cs="Arial" w:eastAsia="Arial" w:hAnsi="Arial"/>
                <w:b/>
                <w:bCs/>
                <w:color w:val="FFFFFF"/>
                <w:sz w:val="20"/>
                <w:szCs w:val="20"/>
              </w:rPr>
              <w:t xml:space="preserve">Feedback</w:t>
            </w:r>
          </w:p>
        </w:tc>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Effort</w:t>
            </w:r>
          </w:p>
        </w:tc>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c>
          <w:tcPr>
            <w:tcBorders>
              <w:top w:val="single" w:color="1F3A8C" w:sz="1"/>
              <w:left w:val="single" w:color="1F3A8C" w:sz="1"/>
              <w:bottom w:val="single" w:color="1F3A8C" w:sz="1"/>
              <w:right w:val="single" w:color="1F3A8C" w:sz="1"/>
            </w:tcBorders>
            <w:shd w:fill="1F3A8C" w:val="clear"/>
            <w:tcMar>
              <w:top w:type="dxa" w:w="80"/>
              <w:left w:type="dxa" w:w="100"/>
              <w:bottom w:type="dxa" w:w="80"/>
              <w:right w:type="dxa" w:w="100"/>
            </w:tcMar>
          </w:tcPr>
          <w:p>
            <w:r>
              <w:rPr>
                <w:rFonts w:ascii="Arial" w:cs="Arial" w:eastAsia="Arial" w:hAnsi="Arial"/>
                <w:b/>
                <w:bCs/>
                <w:color w:val="FFFFFF"/>
                <w:sz w:val="20"/>
                <w:szCs w:val="20"/>
              </w:rPr>
              <w:t xml:space="preserve">Why First</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Competitor comparison page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High</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SEO + instant narrative ownership; no eng needed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Integrations page + partner outreach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Stops silent drop-offs; unlocks co-marketing channel</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In-product demo / sandbox</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0"/>
                <w:szCs w:val="20"/>
              </w:rPr>
              <w:t xml:space="preserve">Very High</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Unlocks self-serve; reduces sales cycle for devs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Vertical landing pages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Improves paid CAC; segments pipeline quality</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F3A8C"/>
                <w:sz w:val="20"/>
                <w:szCs w:val="20"/>
              </w:rPr>
              <w:t xml:space="preserve">3</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VocalInsights standalone tier</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High</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0"/>
                <w:szCs w:val="20"/>
              </w:rPr>
              <w:t xml:space="preserve">Very High</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New revenue stream + new buyer persona; do after GTM stabilised</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C" w:sz="1"/>
              <w:left w:val="single" w:color="1F3A8C" w:sz="1"/>
              <w:bottom w:val="single" w:color="1F3A8C" w:sz="1"/>
              <w:right w:val="single" w:color="1F3A8C" w:sz="1"/>
            </w:tcBorders>
            <w:shd w:fill="EBF1FA" w:val="clear"/>
            <w:tcMar>
              <w:top w:type="dxa" w:w="140"/>
              <w:left w:type="dxa" w:w="200"/>
              <w:bottom w:type="dxa" w:w="140"/>
              <w:right w:type="dxa" w:w="200"/>
            </w:tcMar>
          </w:tcPr>
          <w:p>
            <w:pPr>
              <w:spacing w:after="60" w:before="0"/>
            </w:pPr>
            <w:r>
              <w:rPr>
                <w:rFonts w:ascii="Arial" w:cs="Arial" w:eastAsia="Arial" w:hAnsi="Arial"/>
                <w:b/>
                <w:bCs/>
                <w:color w:val="1F3A8C"/>
                <w:sz w:val="22"/>
                <w:szCs w:val="22"/>
              </w:rPr>
              <w:t xml:space="preserve">Why this order?</w:t>
            </w:r>
          </w:p>
          <w:p>
            <w:pPr>
              <w:spacing w:after="0" w:before="0"/>
            </w:pPr>
            <w:r>
              <w:rPr>
                <w:rFonts w:ascii="Arial" w:cs="Arial" w:eastAsia="Arial" w:hAnsi="Arial"/>
                <w:sz w:val="20"/>
                <w:szCs w:val="20"/>
              </w:rPr>
              <w:t xml:space="preserve">Items 4 and 5 are pure content/partnership plays — a product intern can start them in week 1 with no engineering dependency. Item 2 (demo/sandbox) is the highest-leverage single change for the product and should be the first engineering sprint. Items 1 and 3 follow as GTM stabilises and a second buyer persona (analytics) is validated.</w:t>
            </w:r>
          </w:p>
        </w:tc>
      </w:tr>
    </w:tbl>
    <w:p>
      <w:pPr>
        <w:spacing w:after="80" w:before="80"/>
      </w:pPr>
      <w:r>
        <w:t xml:space="preserve"/>
      </w:r>
    </w:p>
    <w:p>
      <w:r>
        <w:br w:type="page"/>
      </w:r>
    </w:p>
    <w:p>
      <w:pPr>
        <w:pStyle w:val="Heading1"/>
        <w:pBdr>
          <w:bottom w:val="single" w:color="1F3A8C" w:sz="4" w:space="4"/>
        </w:pBdr>
        <w:spacing w:after="160" w:before="320"/>
      </w:pPr>
      <w:r>
        <w:rPr>
          <w:rFonts w:ascii="Arial" w:cs="Arial" w:eastAsia="Arial" w:hAnsi="Arial"/>
          <w:b/>
          <w:bCs/>
          <w:color w:val="1F3A8C"/>
          <w:sz w:val="32"/>
          <w:szCs w:val="32"/>
        </w:rPr>
        <w:t xml:space="preserve">Frameworks Used</w:t>
      </w:r>
    </w:p>
    <w:p>
      <w:pPr>
        <w:spacing w:after="80" w:before="60"/>
      </w:pPr>
      <w:r>
        <w:rPr>
          <w:rFonts w:ascii="Arial" w:cs="Arial" w:eastAsia="Arial" w:hAnsi="Arial"/>
          <w:sz w:val="22"/>
          <w:szCs w:val="22"/>
        </w:rPr>
        <w:t xml:space="preserve">The five feedback items were developed using a combination of frameworks applied across the product's observable surface:</w:t>
      </w:r>
    </w:p>
    <w:p>
      <w:pPr>
        <w:spacing w:after="80" w:before="80"/>
      </w:pPr>
      <w:r>
        <w:t xml:space="preserve"/>
      </w:r>
    </w:p>
    <w:p>
      <w:pPr>
        <w:pStyle w:val="ListParagraph"/>
        <w:numPr>
          <w:ilvl w:val="0"/>
          <w:numId w:val="2"/>
        </w:numPr>
        <w:spacing w:after="30" w:before="30"/>
      </w:pPr>
      <w:r>
        <w:rPr>
          <w:rFonts w:ascii="Arial" w:cs="Arial" w:eastAsia="Arial" w:hAnsi="Arial"/>
          <w:sz w:val="22"/>
          <w:szCs w:val="22"/>
        </w:rPr>
        <w:t xml:space="preserve">Porter's Five Forces — applied to the competitor landscape (Feedback #4). Used to identify the 'threat of substitutes' gap: Bolna, VAPI, and Retell all own comparison narratives that Vocallabs is absent from.</w:t>
      </w:r>
    </w:p>
    <w:p>
      <w:pPr>
        <w:pStyle w:val="ListParagraph"/>
        <w:numPr>
          <w:ilvl w:val="0"/>
          <w:numId w:val="2"/>
        </w:numPr>
        <w:spacing w:after="30" w:before="30"/>
      </w:pPr>
      <w:r>
        <w:rPr>
          <w:rFonts w:ascii="Arial" w:cs="Arial" w:eastAsia="Arial" w:hAnsi="Arial"/>
          <w:sz w:val="22"/>
          <w:szCs w:val="22"/>
        </w:rPr>
        <w:t xml:space="preserve">7Ps of Marketing — used to assess the GTM layer (Feedback #1, #5). 'Place' (where and how buyers discover the product) and 'Promotion' (how verticals are addressed) revealed the ICP segmentation and integrations gaps.</w:t>
      </w:r>
    </w:p>
    <w:p>
      <w:pPr>
        <w:pStyle w:val="ListParagraph"/>
        <w:numPr>
          <w:ilvl w:val="0"/>
          <w:numId w:val="2"/>
        </w:numPr>
        <w:spacing w:after="30" w:before="30"/>
      </w:pPr>
      <w:r>
        <w:rPr>
          <w:rFonts w:ascii="Arial" w:cs="Arial" w:eastAsia="Arial" w:hAnsi="Arial"/>
          <w:sz w:val="22"/>
          <w:szCs w:val="22"/>
        </w:rPr>
        <w:t xml:space="preserve">Jobs-to-be-Done (JTBD) — underpins Feedback #2 and #3. The 'job' of a CX analytics buyer is different from a call automation buyer; treating them identically loses one persona entirely.</w:t>
      </w:r>
    </w:p>
    <w:p>
      <w:pPr>
        <w:pStyle w:val="ListParagraph"/>
        <w:numPr>
          <w:ilvl w:val="0"/>
          <w:numId w:val="2"/>
        </w:numPr>
        <w:spacing w:after="30" w:before="30"/>
      </w:pPr>
      <w:r>
        <w:rPr>
          <w:rFonts w:ascii="Arial" w:cs="Arial" w:eastAsia="Arial" w:hAnsi="Arial"/>
          <w:sz w:val="22"/>
          <w:szCs w:val="22"/>
        </w:rPr>
        <w:t xml:space="preserve">ICE Scoring (Impact / Confidence / Ease) — used informally to produce the prioritisation table. Items ranked by confidence in impact (based on observed gaps) and implementation complexity.</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C" w:sz="1"/>
              <w:left w:val="single" w:color="1F3A8C" w:sz="1"/>
              <w:bottom w:val="single" w:color="1F3A8C" w:sz="1"/>
              <w:right w:val="single" w:color="1F3A8C" w:sz="1"/>
            </w:tcBorders>
            <w:shd w:fill="F5F5F5" w:val="clear"/>
            <w:tcMar>
              <w:top w:type="dxa" w:w="140"/>
              <w:left w:type="dxa" w:w="200"/>
              <w:bottom w:type="dxa" w:w="140"/>
              <w:right w:type="dxa" w:w="200"/>
            </w:tcMar>
          </w:tcPr>
          <w:p>
            <w:pPr>
              <w:spacing w:after="60" w:before="0"/>
            </w:pPr>
            <w:r>
              <w:rPr>
                <w:rFonts w:ascii="Arial" w:cs="Arial" w:eastAsia="Arial" w:hAnsi="Arial"/>
                <w:b/>
                <w:bCs/>
                <w:color w:val="1F3A8C"/>
                <w:sz w:val="22"/>
                <w:szCs w:val="22"/>
              </w:rPr>
              <w:t xml:space="preserve">A note on method</w:t>
            </w:r>
          </w:p>
          <w:p>
            <w:pPr>
              <w:spacing w:after="0" w:before="0"/>
            </w:pPr>
            <w:r>
              <w:rPr>
                <w:rFonts w:ascii="Arial" w:cs="Arial" w:eastAsia="Arial" w:hAnsi="Arial"/>
                <w:sz w:val="20"/>
                <w:szCs w:val="20"/>
              </w:rPr>
              <w:t xml:space="preserve">This teardown was based on: (1) direct navigation and interaction with vocallabs.ai, docs.vocallabs.ai, and the blog, (2) review of published competitor positioning (Bolna YC launch, VAPI docs, Retell.ai), (3) industry context on India voice AI market dynamics, and (4) first-principles product thinking on conversion, ICP design, and B2B SaaS growth motions. All feedback is directly traceable to observed product state.</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8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2026-05-30T13:59:48.257Z</dcterms:created>
  <dcterms:modified xsi:type="dcterms:W3CDTF">2026-05-30T13:59:48.257Z</dcterms:modified>
</cp:coreProperties>
</file>

<file path=docProps/custom.xml><?xml version="1.0" encoding="utf-8"?>
<Properties xmlns="http://schemas.openxmlformats.org/officeDocument/2006/custom-properties" xmlns:vt="http://schemas.openxmlformats.org/officeDocument/2006/docPropsVTypes"/>
</file>