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F2E8" w14:textId="77777777" w:rsidR="00D77B5F" w:rsidRDefault="00D77B5F" w:rsidP="00F140DC">
      <w:pPr>
        <w:jc w:val="center"/>
        <w:rPr>
          <w:b/>
          <w:sz w:val="40"/>
          <w:szCs w:val="40"/>
          <w:u w:val="single"/>
        </w:rPr>
      </w:pPr>
    </w:p>
    <w:p w14:paraId="031EA2AE" w14:textId="77777777" w:rsidR="00491552" w:rsidRDefault="00491552" w:rsidP="00F140DC">
      <w:pPr>
        <w:jc w:val="center"/>
        <w:rPr>
          <w:b/>
          <w:sz w:val="56"/>
          <w:szCs w:val="56"/>
          <w:u w:val="single"/>
        </w:rPr>
      </w:pPr>
    </w:p>
    <w:p w14:paraId="3890967D" w14:textId="77777777" w:rsidR="00491552" w:rsidRDefault="00491552" w:rsidP="00F140DC">
      <w:pPr>
        <w:jc w:val="center"/>
        <w:rPr>
          <w:b/>
          <w:sz w:val="56"/>
          <w:szCs w:val="56"/>
          <w:u w:val="single"/>
        </w:rPr>
      </w:pPr>
    </w:p>
    <w:p w14:paraId="11A144FE" w14:textId="77777777" w:rsidR="00491552" w:rsidRDefault="00491552" w:rsidP="00F140DC">
      <w:pPr>
        <w:jc w:val="center"/>
        <w:rPr>
          <w:b/>
          <w:sz w:val="56"/>
          <w:szCs w:val="56"/>
          <w:u w:val="single"/>
        </w:rPr>
      </w:pPr>
    </w:p>
    <w:p w14:paraId="65FC7A8F" w14:textId="77805747" w:rsidR="00843698" w:rsidRDefault="00F140DC" w:rsidP="00F140DC">
      <w:pPr>
        <w:jc w:val="center"/>
        <w:rPr>
          <w:b/>
          <w:sz w:val="56"/>
          <w:szCs w:val="56"/>
          <w:u w:val="single"/>
        </w:rPr>
      </w:pPr>
      <w:r w:rsidRPr="00876F7B">
        <w:rPr>
          <w:b/>
          <w:sz w:val="56"/>
          <w:szCs w:val="56"/>
          <w:u w:val="single"/>
        </w:rPr>
        <w:t xml:space="preserve">BSA/AML &amp; OFAC </w:t>
      </w:r>
    </w:p>
    <w:p w14:paraId="21F6A1D8" w14:textId="77777777" w:rsidR="00F140DC" w:rsidRPr="00876F7B" w:rsidRDefault="00F140DC" w:rsidP="00F140DC">
      <w:pPr>
        <w:jc w:val="center"/>
        <w:rPr>
          <w:b/>
          <w:sz w:val="56"/>
          <w:szCs w:val="56"/>
          <w:u w:val="single"/>
        </w:rPr>
      </w:pPr>
      <w:r w:rsidRPr="00876F7B">
        <w:rPr>
          <w:b/>
          <w:sz w:val="56"/>
          <w:szCs w:val="56"/>
          <w:u w:val="single"/>
        </w:rPr>
        <w:t>Annual Risk Assessments</w:t>
      </w:r>
    </w:p>
    <w:p w14:paraId="0DABAE31" w14:textId="77777777" w:rsidR="00F140DC" w:rsidRPr="00876F7B" w:rsidRDefault="00F140DC" w:rsidP="00F140DC">
      <w:pPr>
        <w:jc w:val="center"/>
        <w:rPr>
          <w:b/>
          <w:sz w:val="56"/>
          <w:szCs w:val="56"/>
        </w:rPr>
      </w:pPr>
      <w:r w:rsidRPr="00876F7B">
        <w:rPr>
          <w:b/>
          <w:sz w:val="56"/>
          <w:szCs w:val="56"/>
        </w:rPr>
        <w:t xml:space="preserve">Assessment Period: </w:t>
      </w:r>
      <w:r w:rsidRPr="00876F7B">
        <w:rPr>
          <w:sz w:val="56"/>
          <w:szCs w:val="56"/>
        </w:rPr>
        <w:t xml:space="preserve">July 1, </w:t>
      </w:r>
      <w:proofErr w:type="gramStart"/>
      <w:r w:rsidRPr="00876F7B">
        <w:rPr>
          <w:sz w:val="56"/>
          <w:szCs w:val="56"/>
        </w:rPr>
        <w:t>201</w:t>
      </w:r>
      <w:r w:rsidR="00C25586" w:rsidRPr="00876F7B">
        <w:rPr>
          <w:sz w:val="56"/>
          <w:szCs w:val="56"/>
        </w:rPr>
        <w:t>5</w:t>
      </w:r>
      <w:proofErr w:type="gramEnd"/>
      <w:r w:rsidRPr="00876F7B">
        <w:rPr>
          <w:sz w:val="56"/>
          <w:szCs w:val="56"/>
        </w:rPr>
        <w:t xml:space="preserve"> through June 30, 201</w:t>
      </w:r>
      <w:r w:rsidR="00614B86" w:rsidRPr="00876F7B">
        <w:rPr>
          <w:sz w:val="56"/>
          <w:szCs w:val="56"/>
        </w:rPr>
        <w:t>6</w:t>
      </w:r>
    </w:p>
    <w:p w14:paraId="0E4655A9" w14:textId="77777777" w:rsidR="00F140DC" w:rsidRDefault="00F140DC" w:rsidP="005A3137">
      <w:pPr>
        <w:jc w:val="center"/>
        <w:rPr>
          <w:b/>
          <w:u w:val="single"/>
        </w:rPr>
      </w:pPr>
    </w:p>
    <w:p w14:paraId="3B50EF4A" w14:textId="418DEF8A" w:rsidR="00F140DC" w:rsidRDefault="00F140DC">
      <w:pPr>
        <w:rPr>
          <w:b/>
          <w:u w:val="single"/>
        </w:rPr>
      </w:pPr>
    </w:p>
    <w:p w14:paraId="2AF8BAE2" w14:textId="77777777" w:rsidR="00876F7B" w:rsidRDefault="00876F7B" w:rsidP="00A95E97">
      <w:pPr>
        <w:rPr>
          <w:b/>
          <w:highlight w:val="yellow"/>
        </w:rPr>
      </w:pPr>
    </w:p>
    <w:p w14:paraId="23263124" w14:textId="77777777" w:rsidR="0058183E" w:rsidRDefault="0058183E" w:rsidP="00A95E97">
      <w:pPr>
        <w:rPr>
          <w:b/>
          <w:highlight w:val="yellow"/>
        </w:rPr>
      </w:pPr>
    </w:p>
    <w:p w14:paraId="0B37FF08" w14:textId="77777777" w:rsidR="0058183E" w:rsidRPr="004D02B6" w:rsidRDefault="0058183E" w:rsidP="00A95E97">
      <w:pPr>
        <w:rPr>
          <w:highlight w:val="yellow"/>
        </w:rPr>
      </w:pPr>
    </w:p>
    <w:p w14:paraId="7E3F9E49" w14:textId="77777777" w:rsidR="0058183E" w:rsidRDefault="0058183E" w:rsidP="00A95E97">
      <w:pPr>
        <w:rPr>
          <w:b/>
          <w:highlight w:val="yellow"/>
        </w:rPr>
      </w:pPr>
    </w:p>
    <w:p w14:paraId="50A59D36" w14:textId="77777777" w:rsidR="00491552" w:rsidRDefault="00491552" w:rsidP="00A95E97">
      <w:pPr>
        <w:rPr>
          <w:b/>
        </w:rPr>
      </w:pPr>
    </w:p>
    <w:p w14:paraId="42742A3E" w14:textId="77777777" w:rsidR="00491552" w:rsidRDefault="00491552" w:rsidP="00A95E97">
      <w:pPr>
        <w:rPr>
          <w:b/>
        </w:rPr>
      </w:pPr>
    </w:p>
    <w:p w14:paraId="02B2D31F" w14:textId="77777777" w:rsidR="00491552" w:rsidRDefault="00491552" w:rsidP="00A95E97">
      <w:pPr>
        <w:rPr>
          <w:b/>
        </w:rPr>
      </w:pPr>
    </w:p>
    <w:p w14:paraId="6C1CC08D" w14:textId="77777777" w:rsidR="00491552" w:rsidRDefault="00491552" w:rsidP="00A95E97">
      <w:pPr>
        <w:rPr>
          <w:b/>
        </w:rPr>
      </w:pPr>
    </w:p>
    <w:p w14:paraId="2860D529" w14:textId="77777777" w:rsidR="00491552" w:rsidRDefault="00491552" w:rsidP="00A95E97">
      <w:pPr>
        <w:rPr>
          <w:b/>
        </w:rPr>
      </w:pPr>
    </w:p>
    <w:p w14:paraId="69A84230" w14:textId="02739D29" w:rsidR="00A95E97" w:rsidRPr="00F31693" w:rsidRDefault="00A95E97" w:rsidP="00A95E97">
      <w:pPr>
        <w:rPr>
          <w:b/>
        </w:rPr>
      </w:pPr>
      <w:r w:rsidRPr="00F31693">
        <w:rPr>
          <w:b/>
        </w:rPr>
        <w:lastRenderedPageBreak/>
        <w:t>Overview</w:t>
      </w:r>
    </w:p>
    <w:p w14:paraId="77002C63" w14:textId="4DBB1ED3" w:rsidR="00EC22A7" w:rsidRPr="00F31693" w:rsidRDefault="006473DB" w:rsidP="00A95E97">
      <w:r>
        <w:t xml:space="preserve">J. Wallace Bank </w:t>
      </w:r>
      <w:r w:rsidR="00A95E97" w:rsidRPr="00F31693">
        <w:t xml:space="preserve">was founded in 1911 and is headquartered in </w:t>
      </w:r>
      <w:r w:rsidR="008056F3" w:rsidRPr="00F31693">
        <w:t xml:space="preserve">the </w:t>
      </w:r>
      <w:r w:rsidR="00A95E97" w:rsidRPr="00F31693">
        <w:t xml:space="preserve">Township of Washington, New Jersey. </w:t>
      </w:r>
      <w:r w:rsidR="00F31693" w:rsidRPr="00F31693">
        <w:t>Its</w:t>
      </w:r>
      <w:r w:rsidR="00EC22A7" w:rsidRPr="00F31693">
        <w:t xml:space="preserve"> parent company, </w:t>
      </w:r>
      <w:r>
        <w:t xml:space="preserve">J. Wallace </w:t>
      </w:r>
      <w:r w:rsidR="00A95E97" w:rsidRPr="00F31693">
        <w:t xml:space="preserve">Financial Corp. operates as a savings and loan holding company for </w:t>
      </w:r>
      <w:r>
        <w:t xml:space="preserve">J. Wallace Bank </w:t>
      </w:r>
      <w:r w:rsidR="00A95E97" w:rsidRPr="00F31693">
        <w:t>(“</w:t>
      </w:r>
      <w:r w:rsidR="000C1EAE">
        <w:t>J. Wallace</w:t>
      </w:r>
      <w:r w:rsidR="00A95E97" w:rsidRPr="00F31693">
        <w:t>”) that provides retail and commercial banking services to individual and business customers in the United States. As of June 30, 201</w:t>
      </w:r>
      <w:r w:rsidR="00CA03CB" w:rsidRPr="00F31693">
        <w:t>6</w:t>
      </w:r>
      <w:r w:rsidR="00A95E97" w:rsidRPr="00F31693">
        <w:t xml:space="preserve">, it operates </w:t>
      </w:r>
      <w:r w:rsidR="00491552">
        <w:t>99</w:t>
      </w:r>
      <w:r w:rsidR="00A95E97" w:rsidRPr="00F31693">
        <w:t xml:space="preserve"> </w:t>
      </w:r>
      <w:proofErr w:type="gramStart"/>
      <w:r w:rsidR="00A95E97" w:rsidRPr="00F31693">
        <w:t>full service</w:t>
      </w:r>
      <w:proofErr w:type="gramEnd"/>
      <w:r w:rsidR="00A95E97" w:rsidRPr="00F31693">
        <w:t xml:space="preserve"> branches in Bergen, Hudson, Essex, and Passaic counties, New Jersey. </w:t>
      </w:r>
      <w:r>
        <w:t xml:space="preserve">J. Wallace </w:t>
      </w:r>
      <w:r w:rsidR="00A95E97" w:rsidRPr="00F31693">
        <w:t xml:space="preserve">qualifies as a “qualified thrift lender” and has </w:t>
      </w:r>
      <w:proofErr w:type="gramStart"/>
      <w:r w:rsidR="00A95E97" w:rsidRPr="00F31693">
        <w:t>elected</w:t>
      </w:r>
      <w:proofErr w:type="gramEnd"/>
      <w:r w:rsidR="00A95E97" w:rsidRPr="00F31693">
        <w:t xml:space="preserve"> to be treated as a savings association for purposes of the savings and loan holding company provisions of the Home Owners’ Loan Act. This allows </w:t>
      </w:r>
      <w:r>
        <w:t xml:space="preserve">J. Wallace </w:t>
      </w:r>
      <w:r w:rsidR="00A95E97" w:rsidRPr="00F31693">
        <w:t xml:space="preserve">Financial Corp. to be regulated as a savings and loan holding company rather than as a bank holding company. </w:t>
      </w:r>
    </w:p>
    <w:p w14:paraId="5CB3C2F5" w14:textId="2DA81A7A" w:rsidR="00A95E97" w:rsidRPr="00F31693" w:rsidRDefault="006473DB" w:rsidP="00A95E97">
      <w:r>
        <w:t xml:space="preserve">J. Wallace </w:t>
      </w:r>
      <w:r w:rsidR="00A95E97" w:rsidRPr="00F31693">
        <w:t xml:space="preserve">offers a range of deposit products, including non-interest and interest-bearing demand and NOW checking accounts, money market deposit accounts, savings accounts, retirement accounts, and time deposits. </w:t>
      </w:r>
      <w:r>
        <w:t xml:space="preserve">J. Wallace </w:t>
      </w:r>
      <w:r w:rsidR="00A95E97" w:rsidRPr="00F31693">
        <w:t xml:space="preserve">provides multifamily loans that consists of mortgage loans secured by apartment buildings; commercial real estate loans comprising mortgage loans secured by commercial offices, retail space, warehouses, and mixed-use buildings; residential real estate mortgage loans, such as one to four family residential real property and consumer loans; and construction loans, which include one to four family and commercial development project loans. Its loan products also include second mortgage and equity loans; home equity lines of credit; and other loans, including business loans secured by cash and other business assets, account loans, and commercial line of credit loans. In addition, the company invests in securities and real estate properties. </w:t>
      </w:r>
    </w:p>
    <w:p w14:paraId="774B078B" w14:textId="250C7691" w:rsidR="00A95E97" w:rsidRPr="00F31693" w:rsidRDefault="00A95E97" w:rsidP="00A95E97">
      <w:r w:rsidRPr="00F31693">
        <w:t xml:space="preserve">Developing a Bank Secrecy Act (BSA) / Anti-Money Laundering (AML) / Office of Foreign Assets Control (OFAC) risk profile is the foundation in establishing an appropriate and effective BSA/AML/OFAC Program (Policy and Procedures). It also assists </w:t>
      </w:r>
      <w:proofErr w:type="gramStart"/>
      <w:r w:rsidRPr="00F31693">
        <w:t>Management</w:t>
      </w:r>
      <w:proofErr w:type="gramEnd"/>
      <w:r w:rsidRPr="00F31693">
        <w:t xml:space="preserve"> of </w:t>
      </w:r>
      <w:r w:rsidR="006473DB">
        <w:t xml:space="preserve">J. Wallace </w:t>
      </w:r>
      <w:r w:rsidRPr="00F31693">
        <w:t>in aligning appropriate resources to the BSA function.</w:t>
      </w:r>
    </w:p>
    <w:p w14:paraId="146D57D5" w14:textId="6A2D4DA6" w:rsidR="00A95E97" w:rsidRPr="00F31693" w:rsidRDefault="00A95E97" w:rsidP="00A95E97">
      <w:proofErr w:type="gramStart"/>
      <w:r w:rsidRPr="00F31693">
        <w:t>Management</w:t>
      </w:r>
      <w:proofErr w:type="gramEnd"/>
      <w:r w:rsidRPr="00F31693">
        <w:t xml:space="preserve"> of </w:t>
      </w:r>
      <w:r w:rsidR="006473DB">
        <w:t xml:space="preserve">J. Wallace </w:t>
      </w:r>
      <w:r w:rsidRPr="00F31693">
        <w:t xml:space="preserve">recently performed its annual BSA/AML Risk Assessment and OFAC Risk Assessment respectively in accordance with the guidance provided within the FFIEC Bank Secrecy Act Anti-Money Laundering Examination Manual released December 2014. The risk assessments are based on identification and measurement of the BSA/AML/OFAC risks associated with the bank’s products, services, customers, and geographic locations. This report reflects the bank’s level of risk exposure to being used by criminals to further their illegal activity and terrorist financing, </w:t>
      </w:r>
      <w:proofErr w:type="gramStart"/>
      <w:r w:rsidRPr="00F31693">
        <w:t>as well as,</w:t>
      </w:r>
      <w:proofErr w:type="gramEnd"/>
      <w:r w:rsidRPr="00F31693">
        <w:t xml:space="preserve"> possible OFAC violations as of June 30, 201</w:t>
      </w:r>
      <w:r w:rsidR="00602B5F" w:rsidRPr="00F31693">
        <w:t>6</w:t>
      </w:r>
      <w:r w:rsidRPr="00F31693">
        <w:t xml:space="preserve">. It also serves as a basis for the development of risk- based policies, procedures, training, testing where appropriate and for allocation of resources to </w:t>
      </w:r>
      <w:r w:rsidR="00444419" w:rsidRPr="00F31693">
        <w:t xml:space="preserve">the </w:t>
      </w:r>
      <w:r w:rsidRPr="00F31693">
        <w:t>BSA function.</w:t>
      </w:r>
    </w:p>
    <w:p w14:paraId="41CF556E" w14:textId="6708C340" w:rsidR="00A95E97" w:rsidRPr="00F31693" w:rsidRDefault="00A95E97" w:rsidP="00A95E97">
      <w:r w:rsidRPr="00F31693">
        <w:t>The BSA/AML Risk Assessment takes into consideration 1</w:t>
      </w:r>
      <w:r w:rsidR="003F419F" w:rsidRPr="00F31693">
        <w:t xml:space="preserve">2 </w:t>
      </w:r>
      <w:r w:rsidRPr="00F31693">
        <w:t xml:space="preserve">different risk factors and the OFAC Risk Assessment takes into consideration </w:t>
      </w:r>
      <w:r w:rsidR="00C15390" w:rsidRPr="00F31693">
        <w:t>7</w:t>
      </w:r>
      <w:r w:rsidRPr="00F31693">
        <w:t xml:space="preserve"> different risk factors, which comprise the “Inherent Quantity of Risk” ratings. Each factor is important for purposes of establishing an appropriate and effective BSA/AML/OFAC Program, but each factor does not, by itself, reflect the complete picture of the risk of </w:t>
      </w:r>
      <w:r w:rsidR="006473DB">
        <w:t xml:space="preserve">J. WALLACE </w:t>
      </w:r>
      <w:r w:rsidRPr="00F31693">
        <w:t xml:space="preserve">being used for illegal activity or terrorist financing. Consequently, a high rating on an individual factor does not mean the bank is high risk; it only means that </w:t>
      </w:r>
      <w:proofErr w:type="gramStart"/>
      <w:r w:rsidRPr="00F31693">
        <w:t>particular area</w:t>
      </w:r>
      <w:proofErr w:type="gramEnd"/>
      <w:r w:rsidRPr="00F31693">
        <w:t xml:space="preserve"> of the bank is high risk and that appropriate controls should be in place to mitigate the risk.</w:t>
      </w:r>
    </w:p>
    <w:p w14:paraId="4A0D28A3" w14:textId="77777777" w:rsidR="00A95E97" w:rsidRPr="00F31693" w:rsidRDefault="00A95E97" w:rsidP="00A95E97">
      <w:r w:rsidRPr="00F31693">
        <w:lastRenderedPageBreak/>
        <w:t xml:space="preserve">The quantity of BSA/AML and OFAC </w:t>
      </w:r>
      <w:r w:rsidR="0059479D" w:rsidRPr="00F31693">
        <w:t>r</w:t>
      </w:r>
      <w:r w:rsidRPr="00F31693">
        <w:t xml:space="preserve">isks assigned </w:t>
      </w:r>
      <w:r w:rsidR="00495609" w:rsidRPr="00F31693">
        <w:t xml:space="preserve">herein </w:t>
      </w:r>
      <w:r w:rsidRPr="00F31693">
        <w:t xml:space="preserve">do not take into consideration factors contributing to the bank’s risk of non-compliance with applicable BSA/AML/OFAC regulations, regulatory examination violations, or past or recent enforcement actions. Moreover, the Quantity of Risk does not evaluate the effectiveness of controls. The effectiveness of controls is evaluated during </w:t>
      </w:r>
      <w:r w:rsidR="0059479D" w:rsidRPr="00F31693">
        <w:t>the annual</w:t>
      </w:r>
      <w:r w:rsidRPr="00F31693">
        <w:t xml:space="preserve"> BSA Independent Testing Audit.</w:t>
      </w:r>
    </w:p>
    <w:p w14:paraId="75DCE096" w14:textId="5637684F" w:rsidR="00A95E97" w:rsidRPr="00F31693" w:rsidRDefault="00A95E97" w:rsidP="00A95E97">
      <w:r w:rsidRPr="00F31693">
        <w:t xml:space="preserve">Inherent Quantity of Risk ratings do not </w:t>
      </w:r>
      <w:proofErr w:type="gramStart"/>
      <w:r w:rsidRPr="00F31693">
        <w:t>take into account</w:t>
      </w:r>
      <w:proofErr w:type="gramEnd"/>
      <w:r w:rsidRPr="00F31693">
        <w:t xml:space="preserve"> any mitigating controls. The </w:t>
      </w:r>
      <w:r w:rsidR="00FD591B" w:rsidRPr="00F31693">
        <w:t>m</w:t>
      </w:r>
      <w:r w:rsidRPr="00F31693">
        <w:t xml:space="preserve">atrices </w:t>
      </w:r>
      <w:r w:rsidR="00B31354" w:rsidRPr="00F31693">
        <w:t xml:space="preserve">herein </w:t>
      </w:r>
      <w:r w:rsidRPr="00F31693">
        <w:t xml:space="preserve">detail </w:t>
      </w:r>
      <w:r w:rsidR="000C3328" w:rsidRPr="00F31693">
        <w:t>controls, processes, training, testing and experience</w:t>
      </w:r>
      <w:r w:rsidRPr="00F31693">
        <w:t xml:space="preserve"> that allow Management to further assess </w:t>
      </w:r>
      <w:r w:rsidR="006473DB">
        <w:t xml:space="preserve">J. Wallace </w:t>
      </w:r>
      <w:r w:rsidRPr="00F31693">
        <w:t>Residual Risks. This</w:t>
      </w:r>
      <w:r w:rsidR="00E12D2D" w:rsidRPr="00F31693">
        <w:t xml:space="preserve"> </w:t>
      </w:r>
      <w:r w:rsidRPr="00F31693">
        <w:t xml:space="preserve">assists in determining whether the BSA/AML/OFAC Program is appropriate for the risk profile of the bank and whether adequate resources necessary to effectively administer the Program </w:t>
      </w:r>
      <w:r w:rsidR="005223AD" w:rsidRPr="00F31693">
        <w:t>are</w:t>
      </w:r>
      <w:r w:rsidRPr="00F31693">
        <w:t xml:space="preserve"> in place. The Residual Risks provide the bank’s Management and the Board</w:t>
      </w:r>
      <w:r w:rsidR="000C3328" w:rsidRPr="00F31693">
        <w:t xml:space="preserve"> of Directors</w:t>
      </w:r>
      <w:r w:rsidRPr="00F31693">
        <w:t xml:space="preserve"> with a more accurate representation of the bank’s overall BSA/AML/OFAC risk exposure after addressing the mitigating controls</w:t>
      </w:r>
      <w:r w:rsidR="00846A6C" w:rsidRPr="00F31693">
        <w:t xml:space="preserve"> in place</w:t>
      </w:r>
      <w:r w:rsidRPr="00F31693">
        <w:t>.</w:t>
      </w:r>
    </w:p>
    <w:p w14:paraId="35A0BF7F" w14:textId="77777777" w:rsidR="00A95E97" w:rsidRPr="00F31693" w:rsidRDefault="00A95E97" w:rsidP="00A95E97"/>
    <w:p w14:paraId="72DF3F47" w14:textId="77777777" w:rsidR="00A95E97" w:rsidRPr="00F31693" w:rsidRDefault="00A95E97" w:rsidP="00A95E97"/>
    <w:p w14:paraId="798B8651" w14:textId="77777777" w:rsidR="00A95E97" w:rsidRPr="00F31693" w:rsidRDefault="00A95E97" w:rsidP="00A95E97"/>
    <w:p w14:paraId="78ACD79F" w14:textId="77777777" w:rsidR="00A95E97" w:rsidRPr="00F31693" w:rsidRDefault="00A95E97" w:rsidP="00A95E97"/>
    <w:p w14:paraId="19D8D4E4" w14:textId="77777777" w:rsidR="00A95E97" w:rsidRPr="00F31693" w:rsidRDefault="00A95E97" w:rsidP="00A95E97"/>
    <w:p w14:paraId="2E6BF87C" w14:textId="77777777" w:rsidR="00A95E97" w:rsidRPr="00F31693" w:rsidRDefault="00A95E97" w:rsidP="00A95E97"/>
    <w:p w14:paraId="7F2875B9" w14:textId="77777777" w:rsidR="00A95E97" w:rsidRPr="00F31693" w:rsidRDefault="00A95E97" w:rsidP="00A95E97"/>
    <w:p w14:paraId="4E3941C0" w14:textId="77777777" w:rsidR="00A95E97" w:rsidRPr="00F31693" w:rsidRDefault="00A95E97" w:rsidP="00A95E97"/>
    <w:p w14:paraId="059C5339" w14:textId="77777777" w:rsidR="00A95E97" w:rsidRPr="00F31693" w:rsidRDefault="00A95E97" w:rsidP="00A95E97"/>
    <w:p w14:paraId="59315778" w14:textId="77777777" w:rsidR="00A95E97" w:rsidRPr="00F31693" w:rsidRDefault="00A95E97" w:rsidP="00A95E97"/>
    <w:p w14:paraId="54F58569" w14:textId="77777777" w:rsidR="00A95E97" w:rsidRPr="00F31693" w:rsidRDefault="00A95E97" w:rsidP="00A95E97"/>
    <w:p w14:paraId="6A0BFFC8" w14:textId="77777777" w:rsidR="00A95E97" w:rsidRPr="00F31693" w:rsidRDefault="00A95E97" w:rsidP="00A95E97"/>
    <w:p w14:paraId="69609869" w14:textId="77777777" w:rsidR="00A95E97" w:rsidRPr="00F31693" w:rsidRDefault="00A95E97" w:rsidP="00A95E97"/>
    <w:p w14:paraId="39C3DE8B" w14:textId="77777777" w:rsidR="00A95E97" w:rsidRPr="00F31693" w:rsidRDefault="00A95E97" w:rsidP="00A95E97"/>
    <w:p w14:paraId="2A3D51A4" w14:textId="77777777" w:rsidR="00A95E97" w:rsidRPr="00F31693" w:rsidRDefault="00A95E97" w:rsidP="00A95E97"/>
    <w:p w14:paraId="0D71BD93" w14:textId="77777777" w:rsidR="009D4657" w:rsidRPr="00F31693" w:rsidRDefault="009D4657" w:rsidP="00A95E97">
      <w:pPr>
        <w:rPr>
          <w:b/>
        </w:rPr>
      </w:pPr>
    </w:p>
    <w:p w14:paraId="5F825E55" w14:textId="77777777" w:rsidR="009D4657" w:rsidRPr="00F31693" w:rsidRDefault="009D4657" w:rsidP="00A95E97">
      <w:pPr>
        <w:rPr>
          <w:b/>
        </w:rPr>
      </w:pPr>
    </w:p>
    <w:p w14:paraId="2769C9FB" w14:textId="77777777" w:rsidR="00A95E97" w:rsidRPr="00F31693" w:rsidRDefault="00A95E97" w:rsidP="00A95E97">
      <w:pPr>
        <w:rPr>
          <w:b/>
        </w:rPr>
      </w:pPr>
      <w:r w:rsidRPr="00F31693">
        <w:rPr>
          <w:b/>
        </w:rPr>
        <w:lastRenderedPageBreak/>
        <w:t>Executive Summary</w:t>
      </w:r>
    </w:p>
    <w:p w14:paraId="207679A1" w14:textId="3EB7533D" w:rsidR="00A95E97" w:rsidRPr="00F31693" w:rsidRDefault="00A95E97" w:rsidP="00A95E97">
      <w:r w:rsidRPr="00F31693">
        <w:t>The risk of non-compliance with BSA/AML or OFAC arising from violations of, or non-conformance with BSA/AML</w:t>
      </w:r>
      <w:r w:rsidR="00BF1CA9" w:rsidRPr="00F31693">
        <w:t xml:space="preserve"> and </w:t>
      </w:r>
      <w:r w:rsidRPr="00F31693">
        <w:t xml:space="preserve">OFAC laws, rules, regulations, regulatory requirements, or internal policies and procedures is a risk to earnings, capital, reputation, franchise value, or growth opportunities. This risk exposes </w:t>
      </w:r>
      <w:r w:rsidR="006473DB">
        <w:t xml:space="preserve">J. Wallace </w:t>
      </w:r>
      <w:r w:rsidRPr="00F31693">
        <w:t>to potential enforcement actions, civil money penalties, payment of damages, and the voiding of contracts.</w:t>
      </w:r>
    </w:p>
    <w:p w14:paraId="7C24C7FD" w14:textId="77777777" w:rsidR="00A95E97" w:rsidRPr="00F31693" w:rsidRDefault="00A95E97" w:rsidP="00A95E97">
      <w:r w:rsidRPr="00F31693">
        <w:t>It is important to note that the BSA/AML and OFAC risk assessments did not evaluate the bank’s risk of non-compliance with the minimum regulatory requirements of a BSA/AML/OFAC Program; rather, it identified the money laundering, terrorist financing, and OFAC risks associated with the bank’s customers, products, services, and geographies.</w:t>
      </w:r>
    </w:p>
    <w:p w14:paraId="2A191F16" w14:textId="1DC96A92" w:rsidR="00A95E97" w:rsidRPr="00F31693" w:rsidRDefault="00A95E97" w:rsidP="00A95E97">
      <w:r w:rsidRPr="00F31693">
        <w:t xml:space="preserve">As a result of the </w:t>
      </w:r>
      <w:r w:rsidRPr="00F31693">
        <w:rPr>
          <w:b/>
        </w:rPr>
        <w:t>BSA/AML Risk Assessment</w:t>
      </w:r>
      <w:r w:rsidRPr="00F31693">
        <w:t xml:space="preserve">, </w:t>
      </w:r>
      <w:r w:rsidR="00491552">
        <w:t xml:space="preserve">J. Wallace Bank’s </w:t>
      </w:r>
      <w:r w:rsidRPr="00F31693">
        <w:rPr>
          <w:b/>
        </w:rPr>
        <w:t>Inherent Quantity of Risk</w:t>
      </w:r>
      <w:r w:rsidRPr="00F31693">
        <w:t xml:space="preserve"> is considered</w:t>
      </w:r>
      <w:r w:rsidRPr="00F31693">
        <w:rPr>
          <w:b/>
        </w:rPr>
        <w:t xml:space="preserve"> </w:t>
      </w:r>
      <w:r w:rsidR="002D4931" w:rsidRPr="00F31693">
        <w:rPr>
          <w:b/>
        </w:rPr>
        <w:t>HIGH</w:t>
      </w:r>
      <w:r w:rsidRPr="00F31693">
        <w:t xml:space="preserve"> for the Bank Secrecy Act and potential money laundering activities mainly due to the following:</w:t>
      </w:r>
    </w:p>
    <w:p w14:paraId="20CA514E" w14:textId="77777777" w:rsidR="00A95E97" w:rsidRPr="00F31693" w:rsidRDefault="00A95E97" w:rsidP="00E12D2D">
      <w:pPr>
        <w:pStyle w:val="ListParagraph"/>
        <w:numPr>
          <w:ilvl w:val="0"/>
          <w:numId w:val="1"/>
        </w:numPr>
      </w:pPr>
      <w:r w:rsidRPr="00F31693">
        <w:t xml:space="preserve">Number of cash-intensive business </w:t>
      </w:r>
      <w:proofErr w:type="gramStart"/>
      <w:r w:rsidRPr="00F31693">
        <w:t>customers;</w:t>
      </w:r>
      <w:proofErr w:type="gramEnd"/>
    </w:p>
    <w:p w14:paraId="0C9DEDAA" w14:textId="77777777" w:rsidR="00A95E97" w:rsidRPr="00F31693" w:rsidRDefault="00A95E97" w:rsidP="00E12D2D">
      <w:pPr>
        <w:pStyle w:val="ListParagraph"/>
        <w:numPr>
          <w:ilvl w:val="0"/>
          <w:numId w:val="1"/>
        </w:numPr>
      </w:pPr>
      <w:r w:rsidRPr="00F31693">
        <w:t xml:space="preserve">Number of SARs filed for cash </w:t>
      </w:r>
      <w:proofErr w:type="gramStart"/>
      <w:r w:rsidRPr="00F31693">
        <w:t>structuring;</w:t>
      </w:r>
      <w:proofErr w:type="gramEnd"/>
    </w:p>
    <w:p w14:paraId="21B33B72" w14:textId="77777777" w:rsidR="00A95E97" w:rsidRPr="00F31693" w:rsidRDefault="00A95E97" w:rsidP="00E12D2D">
      <w:pPr>
        <w:pStyle w:val="ListParagraph"/>
        <w:numPr>
          <w:ilvl w:val="0"/>
          <w:numId w:val="1"/>
        </w:numPr>
      </w:pPr>
      <w:r w:rsidRPr="00F31693">
        <w:t xml:space="preserve">Branches in </w:t>
      </w:r>
      <w:proofErr w:type="gramStart"/>
      <w:r w:rsidRPr="00F31693">
        <w:t>high risk</w:t>
      </w:r>
      <w:proofErr w:type="gramEnd"/>
      <w:r w:rsidRPr="00F31693">
        <w:t xml:space="preserve"> jurisdictions as defined by HIDTA and HIFCA;</w:t>
      </w:r>
    </w:p>
    <w:p w14:paraId="73FC5017" w14:textId="77777777" w:rsidR="00A95E97" w:rsidRPr="00F31693" w:rsidRDefault="00A95E97" w:rsidP="00E12D2D">
      <w:pPr>
        <w:pStyle w:val="ListParagraph"/>
        <w:numPr>
          <w:ilvl w:val="0"/>
          <w:numId w:val="1"/>
        </w:numPr>
      </w:pPr>
      <w:r w:rsidRPr="00F31693">
        <w:t xml:space="preserve">Number of customers who are </w:t>
      </w:r>
      <w:r w:rsidR="005E279F" w:rsidRPr="00F31693">
        <w:t>Nonresident Aliens</w:t>
      </w:r>
      <w:r w:rsidRPr="00F31693">
        <w:t xml:space="preserve"> (NRAs</w:t>
      </w:r>
      <w:proofErr w:type="gramStart"/>
      <w:r w:rsidRPr="00F31693">
        <w:t>)</w:t>
      </w:r>
      <w:r w:rsidR="003E5DE3" w:rsidRPr="00F31693">
        <w:t>;</w:t>
      </w:r>
      <w:proofErr w:type="gramEnd"/>
      <w:r w:rsidRPr="00F31693">
        <w:t xml:space="preserve"> </w:t>
      </w:r>
    </w:p>
    <w:p w14:paraId="31996DBB" w14:textId="77777777" w:rsidR="000A6D5E" w:rsidRPr="00F31693" w:rsidRDefault="000A6D5E" w:rsidP="00E12D2D">
      <w:pPr>
        <w:pStyle w:val="ListParagraph"/>
        <w:numPr>
          <w:ilvl w:val="0"/>
          <w:numId w:val="1"/>
        </w:numPr>
      </w:pPr>
      <w:r w:rsidRPr="00F31693">
        <w:t xml:space="preserve">High risk products: Mobile deposit and remote deposit </w:t>
      </w:r>
      <w:proofErr w:type="gramStart"/>
      <w:r w:rsidRPr="00F31693">
        <w:t>capture;</w:t>
      </w:r>
      <w:proofErr w:type="gramEnd"/>
    </w:p>
    <w:p w14:paraId="0FFC846C" w14:textId="77777777" w:rsidR="00A95E97" w:rsidRPr="00F31693" w:rsidRDefault="00A95E97" w:rsidP="00E12D2D">
      <w:pPr>
        <w:pStyle w:val="ListParagraph"/>
        <w:numPr>
          <w:ilvl w:val="0"/>
          <w:numId w:val="1"/>
        </w:numPr>
      </w:pPr>
      <w:r w:rsidRPr="00F31693">
        <w:t>Number and volume of international wires to a</w:t>
      </w:r>
      <w:r w:rsidR="003E5DE3" w:rsidRPr="00F31693">
        <w:t>nd from international locations.</w:t>
      </w:r>
    </w:p>
    <w:p w14:paraId="6570D1EA" w14:textId="49A531E9" w:rsidR="00A95E97" w:rsidRPr="00F31693" w:rsidRDefault="00A95E97" w:rsidP="00A95E97">
      <w:r w:rsidRPr="00F31693">
        <w:t xml:space="preserve">Due to the mitigating controls </w:t>
      </w:r>
      <w:r w:rsidR="006473DB">
        <w:t xml:space="preserve">J. Wallace </w:t>
      </w:r>
      <w:r w:rsidRPr="00F31693">
        <w:t xml:space="preserve">has put in place, the </w:t>
      </w:r>
      <w:r w:rsidRPr="00F31693">
        <w:rPr>
          <w:b/>
        </w:rPr>
        <w:t>Residual Risk</w:t>
      </w:r>
      <w:r w:rsidRPr="00F31693">
        <w:t xml:space="preserve"> is considered</w:t>
      </w:r>
      <w:r w:rsidRPr="00F31693">
        <w:rPr>
          <w:b/>
        </w:rPr>
        <w:t xml:space="preserve"> </w:t>
      </w:r>
      <w:r w:rsidR="002D4931" w:rsidRPr="00F31693">
        <w:rPr>
          <w:b/>
        </w:rPr>
        <w:t>MODERATE</w:t>
      </w:r>
      <w:r w:rsidR="002D4931" w:rsidRPr="00F31693">
        <w:t>.</w:t>
      </w:r>
    </w:p>
    <w:p w14:paraId="3431DE11" w14:textId="48F9CA7D" w:rsidR="00A95E97" w:rsidRPr="00F31693" w:rsidRDefault="00A95E97" w:rsidP="00A95E97">
      <w:r w:rsidRPr="00F31693">
        <w:t xml:space="preserve">As a result of the </w:t>
      </w:r>
      <w:r w:rsidRPr="00F31693">
        <w:rPr>
          <w:b/>
        </w:rPr>
        <w:t>OFAC Risk Assessment</w:t>
      </w:r>
      <w:r w:rsidRPr="00F31693">
        <w:t xml:space="preserve">, </w:t>
      </w:r>
      <w:r w:rsidR="00491552">
        <w:t xml:space="preserve">J. Wallace Bank’s </w:t>
      </w:r>
      <w:r w:rsidRPr="00F31693">
        <w:rPr>
          <w:b/>
        </w:rPr>
        <w:t>Inherent Quantity of Risk</w:t>
      </w:r>
      <w:r w:rsidRPr="00F31693">
        <w:t xml:space="preserve"> is considered </w:t>
      </w:r>
      <w:r w:rsidRPr="00F31693">
        <w:rPr>
          <w:b/>
        </w:rPr>
        <w:t>MODERATE</w:t>
      </w:r>
      <w:r w:rsidRPr="00F31693">
        <w:t xml:space="preserve"> for OFAC risk exposure mainly due to the following:</w:t>
      </w:r>
    </w:p>
    <w:p w14:paraId="782106C4" w14:textId="77777777" w:rsidR="00A95E97" w:rsidRPr="00F31693" w:rsidRDefault="00A95E97" w:rsidP="00AF35A1">
      <w:pPr>
        <w:pStyle w:val="ListParagraph"/>
        <w:numPr>
          <w:ilvl w:val="0"/>
          <w:numId w:val="2"/>
        </w:numPr>
      </w:pPr>
      <w:r w:rsidRPr="00F31693">
        <w:t xml:space="preserve">Volume of higher risk </w:t>
      </w:r>
      <w:r w:rsidR="009F76D2" w:rsidRPr="00F31693">
        <w:t xml:space="preserve">NRA </w:t>
      </w:r>
      <w:proofErr w:type="gramStart"/>
      <w:r w:rsidR="009F76D2" w:rsidRPr="00F31693">
        <w:t>customer</w:t>
      </w:r>
      <w:r w:rsidR="000A6D5E" w:rsidRPr="00F31693">
        <w:t>s</w:t>
      </w:r>
      <w:r w:rsidRPr="00F31693">
        <w:t>;</w:t>
      </w:r>
      <w:proofErr w:type="gramEnd"/>
    </w:p>
    <w:p w14:paraId="260D902E" w14:textId="77777777" w:rsidR="00A95E97" w:rsidRPr="00F31693" w:rsidRDefault="00A95E97" w:rsidP="00AF35A1">
      <w:pPr>
        <w:pStyle w:val="ListParagraph"/>
        <w:numPr>
          <w:ilvl w:val="0"/>
          <w:numId w:val="2"/>
        </w:numPr>
      </w:pPr>
      <w:r w:rsidRPr="00F31693">
        <w:t xml:space="preserve">Wire transfers from international </w:t>
      </w:r>
      <w:proofErr w:type="gramStart"/>
      <w:r w:rsidRPr="00F31693">
        <w:t>locations;</w:t>
      </w:r>
      <w:proofErr w:type="gramEnd"/>
    </w:p>
    <w:p w14:paraId="7160FBAA" w14:textId="77777777" w:rsidR="009F76D2" w:rsidRPr="00F31693" w:rsidRDefault="009F76D2" w:rsidP="00AF35A1">
      <w:pPr>
        <w:pStyle w:val="ListParagraph"/>
        <w:numPr>
          <w:ilvl w:val="0"/>
          <w:numId w:val="2"/>
        </w:numPr>
      </w:pPr>
      <w:r w:rsidRPr="00F31693">
        <w:t>International ACH transactions</w:t>
      </w:r>
    </w:p>
    <w:p w14:paraId="30A3A97C" w14:textId="61789A19" w:rsidR="00A95E97" w:rsidRPr="00F31693" w:rsidRDefault="00A95E97" w:rsidP="00A95E97">
      <w:r w:rsidRPr="00F31693">
        <w:t xml:space="preserve">However, due to the mitigating controls </w:t>
      </w:r>
      <w:r w:rsidR="006473DB">
        <w:t xml:space="preserve">J. Wallace </w:t>
      </w:r>
      <w:r w:rsidRPr="00F31693">
        <w:t xml:space="preserve">has put in place, the </w:t>
      </w:r>
      <w:r w:rsidRPr="00F31693">
        <w:rPr>
          <w:b/>
        </w:rPr>
        <w:t>Residual Risk</w:t>
      </w:r>
      <w:r w:rsidRPr="00F31693">
        <w:t xml:space="preserve"> is considered </w:t>
      </w:r>
      <w:r w:rsidRPr="00F31693">
        <w:rPr>
          <w:b/>
        </w:rPr>
        <w:t>LOW</w:t>
      </w:r>
      <w:r w:rsidRPr="00F31693">
        <w:t>.</w:t>
      </w:r>
    </w:p>
    <w:p w14:paraId="11A9D649" w14:textId="77777777" w:rsidR="00A95E97" w:rsidRPr="00F31693" w:rsidRDefault="00A95E97" w:rsidP="00A95E97">
      <w:r w:rsidRPr="00F31693">
        <w:t xml:space="preserve">These ratings suggest that the bank’s customers, entities, products, services, </w:t>
      </w:r>
      <w:proofErr w:type="gramStart"/>
      <w:r w:rsidRPr="00F31693">
        <w:t>geographies</w:t>
      </w:r>
      <w:proofErr w:type="gramEnd"/>
      <w:r w:rsidRPr="00F31693">
        <w:t xml:space="preserve"> and activities currently have an elevated risk of being utilized for money laundering and terrorist financing and an average risk of encountering OFAC issues.</w:t>
      </w:r>
    </w:p>
    <w:p w14:paraId="3B8E7900" w14:textId="620CE4A8" w:rsidR="00A95E97" w:rsidRPr="00F31693" w:rsidRDefault="00A95E97" w:rsidP="00A95E97">
      <w:r w:rsidRPr="00F31693">
        <w:t xml:space="preserve">The Board of Directors and </w:t>
      </w:r>
      <w:r w:rsidR="00AE2AFA" w:rsidRPr="00F31693">
        <w:t>M</w:t>
      </w:r>
      <w:r w:rsidRPr="00F31693">
        <w:t xml:space="preserve">anagement of </w:t>
      </w:r>
      <w:r w:rsidR="006473DB">
        <w:t xml:space="preserve">J. Wallace </w:t>
      </w:r>
      <w:r w:rsidRPr="00F31693">
        <w:t>understand their BSA and OFAC</w:t>
      </w:r>
      <w:r w:rsidR="00AF35A1" w:rsidRPr="00F31693">
        <w:t xml:space="preserve"> </w:t>
      </w:r>
      <w:r w:rsidRPr="00F31693">
        <w:t>responsibilities and are committed to implement and maintain an effective on-going BSA and</w:t>
      </w:r>
      <w:r w:rsidR="00AF35A1" w:rsidRPr="00F31693">
        <w:t xml:space="preserve"> </w:t>
      </w:r>
      <w:r w:rsidRPr="00F31693">
        <w:t>OFAC compliance program commensurate with the Bank’s risk profile. Such a program</w:t>
      </w:r>
      <w:r w:rsidR="00AF35A1" w:rsidRPr="00F31693">
        <w:t xml:space="preserve"> </w:t>
      </w:r>
      <w:r w:rsidRPr="00F31693">
        <w:t>includes effective administration of the Customer Identification Program, Customer Due</w:t>
      </w:r>
      <w:r w:rsidR="00AF35A1" w:rsidRPr="00F31693">
        <w:t xml:space="preserve"> </w:t>
      </w:r>
      <w:r w:rsidRPr="00F31693">
        <w:t>Diligence Procedures and Enhanced Due Diligence Procedures to address appropriately the risks</w:t>
      </w:r>
      <w:r w:rsidR="00AF35A1" w:rsidRPr="00F31693">
        <w:t xml:space="preserve"> </w:t>
      </w:r>
      <w:r w:rsidRPr="00F31693">
        <w:t>identified, as well as robust programs for training Bank staff and for the independent testing of</w:t>
      </w:r>
      <w:r w:rsidR="00AF35A1" w:rsidRPr="00F31693">
        <w:t xml:space="preserve"> </w:t>
      </w:r>
      <w:r w:rsidRPr="00F31693">
        <w:t>the BSA/AML/OFAC programs.</w:t>
      </w:r>
    </w:p>
    <w:p w14:paraId="63C4BD9B" w14:textId="77777777" w:rsidR="00A95E97" w:rsidRPr="00F31693" w:rsidRDefault="00A95E97" w:rsidP="00A95E97">
      <w:r w:rsidRPr="00F31693">
        <w:lastRenderedPageBreak/>
        <w:t>To ensure that the Bank’s controls remain at least adequate to maintain the residual risks of its</w:t>
      </w:r>
      <w:r w:rsidR="00AF35A1" w:rsidRPr="00F31693">
        <w:t xml:space="preserve"> </w:t>
      </w:r>
      <w:r w:rsidRPr="00F31693">
        <w:t>activities within tolerable levels, the BSA/AML/OFAC program includes the following</w:t>
      </w:r>
      <w:r w:rsidR="00AF35A1" w:rsidRPr="00F31693">
        <w:t xml:space="preserve"> </w:t>
      </w:r>
      <w:r w:rsidRPr="00F31693">
        <w:t>priorities:</w:t>
      </w:r>
    </w:p>
    <w:p w14:paraId="0DAABD87" w14:textId="77777777" w:rsidR="00A95E97" w:rsidRPr="00F31693" w:rsidRDefault="00A95E97" w:rsidP="00790F7D">
      <w:pPr>
        <w:pStyle w:val="ListParagraph"/>
        <w:numPr>
          <w:ilvl w:val="0"/>
          <w:numId w:val="5"/>
        </w:numPr>
      </w:pPr>
      <w:r w:rsidRPr="00F31693">
        <w:t>Maintain rigorous programs to increase compliance awareness bank wide</w:t>
      </w:r>
      <w:r w:rsidR="008E64A8" w:rsidRPr="00F31693">
        <w:t>.</w:t>
      </w:r>
    </w:p>
    <w:p w14:paraId="6A358BD4" w14:textId="77777777" w:rsidR="00A95E97" w:rsidRPr="00F31693" w:rsidRDefault="00A95E97" w:rsidP="00790F7D">
      <w:pPr>
        <w:pStyle w:val="ListParagraph"/>
        <w:numPr>
          <w:ilvl w:val="0"/>
          <w:numId w:val="5"/>
        </w:numPr>
      </w:pPr>
      <w:r w:rsidRPr="00F31693">
        <w:t>Provide advanced BSA AML business line training</w:t>
      </w:r>
      <w:r w:rsidR="004615A2" w:rsidRPr="00F31693">
        <w:t xml:space="preserve"> on an ongoing basis.</w:t>
      </w:r>
    </w:p>
    <w:p w14:paraId="23422F2A" w14:textId="77777777" w:rsidR="00A95E97" w:rsidRPr="00F31693" w:rsidRDefault="00A95E97" w:rsidP="00790F7D">
      <w:pPr>
        <w:pStyle w:val="ListParagraph"/>
        <w:numPr>
          <w:ilvl w:val="0"/>
          <w:numId w:val="5"/>
        </w:numPr>
      </w:pPr>
      <w:r w:rsidRPr="00F31693">
        <w:t>Maintain programs to embed responsibility for BSA AML compliance in each of the Bank’s lines of business.</w:t>
      </w:r>
    </w:p>
    <w:p w14:paraId="3D182E5B" w14:textId="77777777" w:rsidR="00A95E97" w:rsidRPr="00F31693" w:rsidRDefault="00A95E97" w:rsidP="00790F7D">
      <w:pPr>
        <w:pStyle w:val="ListParagraph"/>
        <w:numPr>
          <w:ilvl w:val="0"/>
          <w:numId w:val="5"/>
        </w:numPr>
      </w:pPr>
      <w:r w:rsidRPr="00F31693">
        <w:t>Maintain robust KYC/CDD/EDD processes</w:t>
      </w:r>
      <w:r w:rsidR="004615A2" w:rsidRPr="00F31693">
        <w:t>.</w:t>
      </w:r>
    </w:p>
    <w:p w14:paraId="63B73990" w14:textId="77777777" w:rsidR="00A95E97" w:rsidRPr="00F31693" w:rsidRDefault="00A95E97" w:rsidP="00790F7D">
      <w:pPr>
        <w:pStyle w:val="ListParagraph"/>
        <w:numPr>
          <w:ilvl w:val="0"/>
          <w:numId w:val="5"/>
        </w:numPr>
      </w:pPr>
      <w:r w:rsidRPr="00F31693">
        <w:t>Maintain rigorous CIP and SAR procedures</w:t>
      </w:r>
      <w:r w:rsidR="004615A2" w:rsidRPr="00F31693">
        <w:t>.</w:t>
      </w:r>
    </w:p>
    <w:p w14:paraId="072847B8" w14:textId="77777777" w:rsidR="00A95E97" w:rsidRPr="00F31693" w:rsidRDefault="00A95E97" w:rsidP="00790F7D">
      <w:pPr>
        <w:pStyle w:val="ListParagraph"/>
        <w:numPr>
          <w:ilvl w:val="0"/>
          <w:numId w:val="5"/>
        </w:numPr>
      </w:pPr>
      <w:r w:rsidRPr="00F31693">
        <w:t>Maintain robust transaction monitoring for higher risk customers / products</w:t>
      </w:r>
      <w:r w:rsidR="004615A2" w:rsidRPr="00F31693">
        <w:t>.</w:t>
      </w:r>
    </w:p>
    <w:p w14:paraId="2F5421BB" w14:textId="77777777" w:rsidR="00A95E97" w:rsidRPr="00F31693" w:rsidRDefault="00A95E97" w:rsidP="00790F7D">
      <w:pPr>
        <w:pStyle w:val="ListParagraph"/>
        <w:numPr>
          <w:ilvl w:val="0"/>
          <w:numId w:val="5"/>
        </w:numPr>
      </w:pPr>
      <w:r w:rsidRPr="00F31693">
        <w:t>Continue to evaluate the adequacy of reporting to management and the Board of Directors</w:t>
      </w:r>
      <w:r w:rsidR="004615A2" w:rsidRPr="00F31693">
        <w:t>.</w:t>
      </w:r>
    </w:p>
    <w:p w14:paraId="499ECC23" w14:textId="77777777" w:rsidR="00A95E97" w:rsidRPr="00F31693" w:rsidRDefault="00A95E97" w:rsidP="00790F7D">
      <w:pPr>
        <w:pStyle w:val="ListParagraph"/>
        <w:numPr>
          <w:ilvl w:val="0"/>
          <w:numId w:val="5"/>
        </w:numPr>
      </w:pPr>
      <w:r w:rsidRPr="00F31693">
        <w:t>Continue to evaluate the effectiveness of the Bank’s BSA AML transaction monitoring system, Patriot Officer</w:t>
      </w:r>
      <w:r w:rsidR="001C2BD8" w:rsidRPr="00F31693">
        <w:t xml:space="preserve"> and soon to be migrated to FIS PRIME</w:t>
      </w:r>
      <w:r w:rsidRPr="00F31693">
        <w:t>.</w:t>
      </w:r>
    </w:p>
    <w:p w14:paraId="6C0A464F" w14:textId="77777777" w:rsidR="00A95E97" w:rsidRPr="00F31693" w:rsidRDefault="001C2BD8" w:rsidP="00A95E97">
      <w:r w:rsidRPr="00F31693">
        <w:t xml:space="preserve">During the last fiscal year, </w:t>
      </w:r>
      <w:proofErr w:type="spellStart"/>
      <w:r w:rsidR="00A95E97" w:rsidRPr="00F31693">
        <w:t>Mercadien</w:t>
      </w:r>
      <w:proofErr w:type="spellEnd"/>
      <w:r w:rsidR="00A95E97" w:rsidRPr="00F31693">
        <w:t>, P.C., Certified Public Accountants (“</w:t>
      </w:r>
      <w:proofErr w:type="spellStart"/>
      <w:r w:rsidR="00A95E97" w:rsidRPr="00F31693">
        <w:t>Mercadien</w:t>
      </w:r>
      <w:proofErr w:type="spellEnd"/>
      <w:r w:rsidR="00A95E97" w:rsidRPr="00F31693">
        <w:t>”) completed a BSA AML System Optimization for the Bank. The independent review included procedures to verify the quality of alerts being generated for the purposes of monitoring at the Bank.</w:t>
      </w:r>
    </w:p>
    <w:p w14:paraId="61383E9B" w14:textId="77777777" w:rsidR="00A95E97" w:rsidRPr="00F31693" w:rsidRDefault="00A95E97" w:rsidP="00A95E97">
      <w:proofErr w:type="spellStart"/>
      <w:r w:rsidRPr="00F31693">
        <w:t>Mercadien</w:t>
      </w:r>
      <w:proofErr w:type="spellEnd"/>
      <w:r w:rsidRPr="00F31693">
        <w:t xml:space="preserve"> concluded that the Bank’s transaction monitoring system parameters appear adequate, as established, to detect potentially suspicious activity for review. </w:t>
      </w:r>
      <w:proofErr w:type="spellStart"/>
      <w:r w:rsidRPr="00F31693">
        <w:t>Mercadien</w:t>
      </w:r>
      <w:proofErr w:type="spellEnd"/>
      <w:r w:rsidRPr="00F31693">
        <w:t xml:space="preserve"> recommended deletions and additions to the scenarios being run by Patriot </w:t>
      </w:r>
      <w:proofErr w:type="gramStart"/>
      <w:r w:rsidRPr="00F31693">
        <w:t>in an effort to</w:t>
      </w:r>
      <w:proofErr w:type="gramEnd"/>
      <w:r w:rsidRPr="00F31693">
        <w:t xml:space="preserve"> reduce redundant rules and enhance the Bank’s coverage.</w:t>
      </w:r>
      <w:r w:rsidR="000E30D8" w:rsidRPr="00F31693">
        <w:t xml:space="preserve"> These recommendations were implemented in </w:t>
      </w:r>
      <w:r w:rsidR="00127B41" w:rsidRPr="00F31693">
        <w:t>the 4</w:t>
      </w:r>
      <w:r w:rsidR="00127B41" w:rsidRPr="00F31693">
        <w:rPr>
          <w:vertAlign w:val="superscript"/>
        </w:rPr>
        <w:t>th</w:t>
      </w:r>
      <w:r w:rsidR="00127B41" w:rsidRPr="00F31693">
        <w:t xml:space="preserve"> quarter of FY</w:t>
      </w:r>
      <w:r w:rsidR="00CB609C">
        <w:t>E</w:t>
      </w:r>
      <w:r w:rsidR="00127B41" w:rsidRPr="00F31693">
        <w:t xml:space="preserve"> 15</w:t>
      </w:r>
      <w:r w:rsidR="00CB609C">
        <w:t>’</w:t>
      </w:r>
      <w:r w:rsidR="00C44B97" w:rsidRPr="00F31693">
        <w:t>, which</w:t>
      </w:r>
      <w:r w:rsidRPr="00F31693">
        <w:t xml:space="preserve"> led to more efficiency in the Bank’s transaction monitoring for suspicious activity.</w:t>
      </w:r>
    </w:p>
    <w:p w14:paraId="45C6AE87" w14:textId="77777777" w:rsidR="00C81B63" w:rsidRPr="00F31693" w:rsidRDefault="00637CB5" w:rsidP="001C2BD8">
      <w:r w:rsidRPr="00F31693">
        <w:t>GRC Risk Solutions, LLC</w:t>
      </w:r>
      <w:r w:rsidR="001C2BD8" w:rsidRPr="00F31693">
        <w:t xml:space="preserve"> (“</w:t>
      </w:r>
      <w:r w:rsidRPr="00F31693">
        <w:t>GRC</w:t>
      </w:r>
      <w:r w:rsidR="001C2BD8" w:rsidRPr="00F31693">
        <w:t xml:space="preserve">”) completed a </w:t>
      </w:r>
      <w:r w:rsidRPr="00F31693">
        <w:t xml:space="preserve">validation of the </w:t>
      </w:r>
      <w:r w:rsidR="00C81B63" w:rsidRPr="00F31693">
        <w:t>AML transaction monitoring system, Patriot Officer</w:t>
      </w:r>
      <w:r w:rsidR="001C2BD8" w:rsidRPr="00F31693">
        <w:t xml:space="preserve">. The independent </w:t>
      </w:r>
      <w:r w:rsidR="00C81B63" w:rsidRPr="00F31693">
        <w:t xml:space="preserve">validation </w:t>
      </w:r>
      <w:r w:rsidR="001C2BD8" w:rsidRPr="00F31693">
        <w:t xml:space="preserve">included </w:t>
      </w:r>
      <w:r w:rsidR="00C81B63" w:rsidRPr="00F31693">
        <w:t>the following:</w:t>
      </w:r>
    </w:p>
    <w:p w14:paraId="7222524C" w14:textId="77777777" w:rsidR="00C81B63" w:rsidRPr="00F31693" w:rsidRDefault="00C81B63" w:rsidP="00C81B63">
      <w:pPr>
        <w:pStyle w:val="ListParagraph"/>
        <w:numPr>
          <w:ilvl w:val="0"/>
          <w:numId w:val="34"/>
        </w:numPr>
        <w:autoSpaceDE w:val="0"/>
        <w:autoSpaceDN w:val="0"/>
        <w:adjustRightInd w:val="0"/>
        <w:spacing w:after="28" w:line="240" w:lineRule="auto"/>
        <w:rPr>
          <w:rFonts w:ascii="Calibri" w:hAnsi="Calibri" w:cs="Calibri"/>
          <w:color w:val="000000"/>
        </w:rPr>
      </w:pPr>
      <w:r w:rsidRPr="00F31693">
        <w:rPr>
          <w:rFonts w:ascii="Calibri" w:hAnsi="Calibri" w:cs="Calibri"/>
          <w:color w:val="000000"/>
        </w:rPr>
        <w:t xml:space="preserve">Review of BSA/AML System Design </w:t>
      </w:r>
    </w:p>
    <w:p w14:paraId="29BC24F9" w14:textId="77777777" w:rsidR="00C81B63" w:rsidRPr="00F31693" w:rsidRDefault="00C81B63" w:rsidP="00C81B63">
      <w:pPr>
        <w:pStyle w:val="ListParagraph"/>
        <w:numPr>
          <w:ilvl w:val="0"/>
          <w:numId w:val="34"/>
        </w:numPr>
        <w:autoSpaceDE w:val="0"/>
        <w:autoSpaceDN w:val="0"/>
        <w:adjustRightInd w:val="0"/>
        <w:spacing w:after="28" w:line="240" w:lineRule="auto"/>
        <w:rPr>
          <w:rFonts w:ascii="Calibri" w:hAnsi="Calibri" w:cs="Calibri"/>
          <w:color w:val="000000"/>
        </w:rPr>
      </w:pPr>
      <w:r w:rsidRPr="00F31693">
        <w:rPr>
          <w:rFonts w:ascii="Calibri" w:hAnsi="Calibri" w:cs="Calibri"/>
          <w:color w:val="000000"/>
        </w:rPr>
        <w:t xml:space="preserve">Review BSA/AML Workflow Processing </w:t>
      </w:r>
    </w:p>
    <w:p w14:paraId="31E32592" w14:textId="77777777" w:rsidR="00C81B63" w:rsidRPr="00F31693" w:rsidRDefault="00C81B63" w:rsidP="00C81B63">
      <w:pPr>
        <w:pStyle w:val="ListParagraph"/>
        <w:numPr>
          <w:ilvl w:val="0"/>
          <w:numId w:val="34"/>
        </w:numPr>
        <w:autoSpaceDE w:val="0"/>
        <w:autoSpaceDN w:val="0"/>
        <w:adjustRightInd w:val="0"/>
        <w:spacing w:after="28" w:line="240" w:lineRule="auto"/>
        <w:rPr>
          <w:rFonts w:ascii="Calibri" w:hAnsi="Calibri" w:cs="Calibri"/>
          <w:color w:val="000000"/>
        </w:rPr>
      </w:pPr>
      <w:r w:rsidRPr="00F31693">
        <w:rPr>
          <w:rFonts w:ascii="Calibri" w:hAnsi="Calibri" w:cs="Calibri"/>
          <w:color w:val="000000"/>
        </w:rPr>
        <w:t xml:space="preserve">Review of List Monitoring Alerts </w:t>
      </w:r>
    </w:p>
    <w:p w14:paraId="722525F5" w14:textId="77777777" w:rsidR="00C81B63" w:rsidRPr="00F31693" w:rsidRDefault="00C81B63" w:rsidP="00C81B63">
      <w:pPr>
        <w:pStyle w:val="ListParagraph"/>
        <w:numPr>
          <w:ilvl w:val="0"/>
          <w:numId w:val="34"/>
        </w:numPr>
        <w:autoSpaceDE w:val="0"/>
        <w:autoSpaceDN w:val="0"/>
        <w:adjustRightInd w:val="0"/>
        <w:spacing w:after="28" w:line="240" w:lineRule="auto"/>
        <w:rPr>
          <w:rFonts w:ascii="Calibri" w:hAnsi="Calibri" w:cs="Calibri"/>
          <w:color w:val="000000"/>
        </w:rPr>
      </w:pPr>
      <w:r w:rsidRPr="00F31693">
        <w:rPr>
          <w:rFonts w:ascii="Calibri" w:hAnsi="Calibri" w:cs="Calibri"/>
          <w:color w:val="000000"/>
        </w:rPr>
        <w:t xml:space="preserve">Performance of a detailed, system-driven Transaction Code Mapping exercise for transaction codes identified during the three-month </w:t>
      </w:r>
      <w:proofErr w:type="gramStart"/>
      <w:r w:rsidRPr="00F31693">
        <w:rPr>
          <w:rFonts w:ascii="Calibri" w:hAnsi="Calibri" w:cs="Calibri"/>
          <w:color w:val="000000"/>
        </w:rPr>
        <w:t>period</w:t>
      </w:r>
      <w:proofErr w:type="gramEnd"/>
      <w:r w:rsidRPr="00F31693">
        <w:rPr>
          <w:rFonts w:ascii="Calibri" w:hAnsi="Calibri" w:cs="Calibri"/>
          <w:color w:val="000000"/>
        </w:rPr>
        <w:t xml:space="preserve"> </w:t>
      </w:r>
    </w:p>
    <w:p w14:paraId="162E12A1" w14:textId="77777777" w:rsidR="00C81B63" w:rsidRPr="00F31693" w:rsidRDefault="00C81B63" w:rsidP="00C81B63">
      <w:pPr>
        <w:pStyle w:val="ListParagraph"/>
        <w:numPr>
          <w:ilvl w:val="0"/>
          <w:numId w:val="34"/>
        </w:numPr>
        <w:autoSpaceDE w:val="0"/>
        <w:autoSpaceDN w:val="0"/>
        <w:adjustRightInd w:val="0"/>
        <w:spacing w:after="0" w:line="240" w:lineRule="auto"/>
        <w:rPr>
          <w:rFonts w:ascii="Calibri" w:hAnsi="Calibri" w:cs="Calibri"/>
          <w:color w:val="000000"/>
        </w:rPr>
      </w:pPr>
      <w:r w:rsidRPr="00F31693">
        <w:rPr>
          <w:rFonts w:ascii="Calibri" w:hAnsi="Calibri" w:cs="Calibri"/>
          <w:color w:val="000000"/>
        </w:rPr>
        <w:t xml:space="preserve">Performance of Alert Detection scenario coverage verification. </w:t>
      </w:r>
    </w:p>
    <w:p w14:paraId="008D7040" w14:textId="77777777" w:rsidR="003D0305" w:rsidRPr="00F31693" w:rsidRDefault="003D0305" w:rsidP="003D0305">
      <w:pPr>
        <w:autoSpaceDE w:val="0"/>
        <w:autoSpaceDN w:val="0"/>
        <w:adjustRightInd w:val="0"/>
        <w:spacing w:after="0" w:line="240" w:lineRule="auto"/>
        <w:rPr>
          <w:rFonts w:ascii="Calibri" w:hAnsi="Calibri" w:cs="Calibri"/>
          <w:color w:val="000000"/>
        </w:rPr>
      </w:pPr>
    </w:p>
    <w:p w14:paraId="4D17FED9" w14:textId="77777777" w:rsidR="003D0305" w:rsidRPr="00F31693" w:rsidRDefault="003D0305" w:rsidP="003D0305">
      <w:pPr>
        <w:autoSpaceDE w:val="0"/>
        <w:autoSpaceDN w:val="0"/>
        <w:adjustRightInd w:val="0"/>
        <w:spacing w:after="0" w:line="240" w:lineRule="auto"/>
        <w:rPr>
          <w:rFonts w:ascii="Calibri" w:hAnsi="Calibri" w:cs="Calibri"/>
          <w:color w:val="000000"/>
        </w:rPr>
      </w:pPr>
      <w:r w:rsidRPr="00F31693">
        <w:rPr>
          <w:rFonts w:ascii="Calibri" w:hAnsi="Calibri" w:cs="Calibri"/>
          <w:color w:val="000000"/>
        </w:rPr>
        <w:t>The validation concluded the following:</w:t>
      </w:r>
    </w:p>
    <w:p w14:paraId="2C989C22" w14:textId="77777777" w:rsidR="003D0305" w:rsidRPr="00F31693" w:rsidRDefault="003D0305" w:rsidP="003D0305">
      <w:pPr>
        <w:autoSpaceDE w:val="0"/>
        <w:autoSpaceDN w:val="0"/>
        <w:adjustRightInd w:val="0"/>
        <w:spacing w:after="0" w:line="240" w:lineRule="auto"/>
        <w:rPr>
          <w:rFonts w:ascii="Calibri" w:hAnsi="Calibri" w:cs="Calibri"/>
          <w:color w:val="000000"/>
        </w:rPr>
      </w:pPr>
    </w:p>
    <w:p w14:paraId="75AA865C" w14:textId="77777777" w:rsidR="003D0305" w:rsidRPr="00F31693" w:rsidRDefault="003D0305" w:rsidP="003D0305">
      <w:pPr>
        <w:pStyle w:val="ListParagraph"/>
        <w:numPr>
          <w:ilvl w:val="0"/>
          <w:numId w:val="36"/>
        </w:numPr>
        <w:autoSpaceDE w:val="0"/>
        <w:autoSpaceDN w:val="0"/>
        <w:adjustRightInd w:val="0"/>
        <w:spacing w:after="28" w:line="240" w:lineRule="auto"/>
        <w:rPr>
          <w:rFonts w:ascii="Calibri" w:hAnsi="Calibri" w:cs="Calibri"/>
          <w:color w:val="000000"/>
        </w:rPr>
      </w:pPr>
      <w:r w:rsidRPr="00F31693">
        <w:rPr>
          <w:rFonts w:ascii="Calibri" w:hAnsi="Calibri" w:cs="Calibri"/>
          <w:color w:val="000000"/>
        </w:rPr>
        <w:t xml:space="preserve">Bank customers, non-customers, accounts, and transactions are scrubbed through the appropriate sanction screening lists. </w:t>
      </w:r>
    </w:p>
    <w:p w14:paraId="29F1789A" w14:textId="77777777" w:rsidR="003D0305" w:rsidRPr="00F31693" w:rsidRDefault="003D0305" w:rsidP="003D0305">
      <w:pPr>
        <w:pStyle w:val="ListParagraph"/>
        <w:numPr>
          <w:ilvl w:val="0"/>
          <w:numId w:val="36"/>
        </w:numPr>
        <w:autoSpaceDE w:val="0"/>
        <w:autoSpaceDN w:val="0"/>
        <w:adjustRightInd w:val="0"/>
        <w:spacing w:after="28" w:line="240" w:lineRule="auto"/>
        <w:rPr>
          <w:rFonts w:ascii="Calibri" w:hAnsi="Calibri" w:cs="Calibri"/>
          <w:color w:val="000000"/>
        </w:rPr>
      </w:pPr>
      <w:r w:rsidRPr="00F31693">
        <w:rPr>
          <w:rFonts w:ascii="Calibri" w:hAnsi="Calibri" w:cs="Calibri"/>
          <w:color w:val="000000"/>
        </w:rPr>
        <w:t xml:space="preserve">All transaction codes are properly mapped between the core system (i.e., FIS </w:t>
      </w:r>
      <w:proofErr w:type="spellStart"/>
      <w:r w:rsidRPr="00F31693">
        <w:rPr>
          <w:rFonts w:ascii="Calibri" w:hAnsi="Calibri" w:cs="Calibri"/>
          <w:color w:val="000000"/>
        </w:rPr>
        <w:t>Bankway</w:t>
      </w:r>
      <w:proofErr w:type="spellEnd"/>
      <w:r w:rsidRPr="00F31693">
        <w:rPr>
          <w:rFonts w:ascii="Calibri" w:hAnsi="Calibri" w:cs="Calibri"/>
          <w:color w:val="000000"/>
        </w:rPr>
        <w:t xml:space="preserve">) and the BSA/AML system (i.e., Patriot Officer). </w:t>
      </w:r>
    </w:p>
    <w:p w14:paraId="2FAC651E" w14:textId="77777777" w:rsidR="003D0305" w:rsidRPr="00F31693" w:rsidRDefault="003D0305" w:rsidP="003D0305">
      <w:pPr>
        <w:pStyle w:val="ListParagraph"/>
        <w:numPr>
          <w:ilvl w:val="0"/>
          <w:numId w:val="36"/>
        </w:numPr>
        <w:autoSpaceDE w:val="0"/>
        <w:autoSpaceDN w:val="0"/>
        <w:adjustRightInd w:val="0"/>
        <w:spacing w:after="28" w:line="240" w:lineRule="auto"/>
        <w:rPr>
          <w:rFonts w:ascii="Calibri" w:hAnsi="Calibri" w:cs="Calibri"/>
          <w:color w:val="000000"/>
        </w:rPr>
      </w:pPr>
      <w:r w:rsidRPr="00F31693">
        <w:rPr>
          <w:rFonts w:ascii="Calibri" w:hAnsi="Calibri" w:cs="Calibri"/>
          <w:color w:val="000000"/>
        </w:rPr>
        <w:t xml:space="preserve">All wire transactions, foreign and domestic, are properly mapped between FIS </w:t>
      </w:r>
      <w:proofErr w:type="spellStart"/>
      <w:r w:rsidRPr="00F31693">
        <w:rPr>
          <w:rFonts w:ascii="Calibri" w:hAnsi="Calibri" w:cs="Calibri"/>
          <w:color w:val="000000"/>
        </w:rPr>
        <w:t>Bankway</w:t>
      </w:r>
      <w:proofErr w:type="spellEnd"/>
      <w:r w:rsidRPr="00F31693">
        <w:rPr>
          <w:rFonts w:ascii="Calibri" w:hAnsi="Calibri" w:cs="Calibri"/>
          <w:color w:val="000000"/>
        </w:rPr>
        <w:t xml:space="preserve"> and Patriot Officer. </w:t>
      </w:r>
    </w:p>
    <w:p w14:paraId="03AFFA15" w14:textId="77777777" w:rsidR="003D0305" w:rsidRPr="00F31693" w:rsidRDefault="003D0305" w:rsidP="003D0305">
      <w:pPr>
        <w:pStyle w:val="ListParagraph"/>
        <w:numPr>
          <w:ilvl w:val="0"/>
          <w:numId w:val="36"/>
        </w:numPr>
        <w:autoSpaceDE w:val="0"/>
        <w:autoSpaceDN w:val="0"/>
        <w:adjustRightInd w:val="0"/>
        <w:spacing w:after="0" w:line="240" w:lineRule="auto"/>
        <w:rPr>
          <w:rFonts w:ascii="Calibri" w:hAnsi="Calibri" w:cs="Calibri"/>
          <w:color w:val="000000"/>
        </w:rPr>
      </w:pPr>
      <w:r w:rsidRPr="00F31693">
        <w:rPr>
          <w:rFonts w:ascii="Calibri" w:hAnsi="Calibri" w:cs="Calibri"/>
          <w:color w:val="000000"/>
        </w:rPr>
        <w:t xml:space="preserve">The Patriot Officer system has adequate transaction coverage across the Bank’s products and services. However, some minor recommendations are noted below. </w:t>
      </w:r>
    </w:p>
    <w:p w14:paraId="1119A45D" w14:textId="77777777" w:rsidR="00A95E97" w:rsidRPr="00F31693" w:rsidRDefault="00A95E97" w:rsidP="00A95E97">
      <w:pPr>
        <w:rPr>
          <w:b/>
        </w:rPr>
      </w:pPr>
      <w:r w:rsidRPr="00F31693">
        <w:rPr>
          <w:b/>
        </w:rPr>
        <w:lastRenderedPageBreak/>
        <w:t>Methodology</w:t>
      </w:r>
    </w:p>
    <w:p w14:paraId="1FC3481F" w14:textId="14CC22F2" w:rsidR="00A95E97" w:rsidRPr="00F31693" w:rsidRDefault="00A95E97" w:rsidP="00A95E97">
      <w:r w:rsidRPr="00F31693">
        <w:t xml:space="preserve">The BSA/AML/OFAC risk assessment follows guidance in the most current edition of the FFIEC Bank Secrecy Act Anti-Money Laundering Examination Manual (the “FFIEC Manual”) last updated in December 2014. This report sets forth the results of the risk assessments as of </w:t>
      </w:r>
      <w:r w:rsidR="002307C8" w:rsidRPr="00F31693">
        <w:t>June 30, 201</w:t>
      </w:r>
      <w:r w:rsidR="00CA03CB" w:rsidRPr="00F31693">
        <w:t>6</w:t>
      </w:r>
      <w:r w:rsidRPr="00F31693">
        <w:t xml:space="preserve">. It estimates </w:t>
      </w:r>
      <w:r w:rsidR="00491552">
        <w:t xml:space="preserve">J. Wallace Bank’s </w:t>
      </w:r>
      <w:r w:rsidRPr="00F31693">
        <w:t xml:space="preserve">vulnerability to illegal activity (including terrorist financing), as well as to possible OFAC violations </w:t>
      </w:r>
      <w:proofErr w:type="gramStart"/>
      <w:r w:rsidRPr="00F31693">
        <w:t>taking into account</w:t>
      </w:r>
      <w:proofErr w:type="gramEnd"/>
      <w:r w:rsidRPr="00F31693">
        <w:t xml:space="preserve"> the identification and measurement of the BSA/AML/OFAC risks associated with its products, services, customers, and the geographic locations of its operations and its customers. This report concludes with a discussion of the need, if any, for enhancements to the Bank’s policies, procedures or programs for training and testing possibly warranted </w:t>
      </w:r>
      <w:proofErr w:type="gramStart"/>
      <w:r w:rsidRPr="00F31693">
        <w:t>taking into account</w:t>
      </w:r>
      <w:proofErr w:type="gramEnd"/>
      <w:r w:rsidRPr="00F31693">
        <w:t xml:space="preserve"> both the Bank’s current operations and its near-term growth plans, including the planned introduction of new products and services, as well as whether the Bank appropriately allocates resources to the BSA/AML/OFAC compliance functions. Non-compliance with BSA/AML/OFAC laws, regulations, </w:t>
      </w:r>
      <w:proofErr w:type="gramStart"/>
      <w:r w:rsidRPr="00F31693">
        <w:t>rules</w:t>
      </w:r>
      <w:proofErr w:type="gramEnd"/>
      <w:r w:rsidRPr="00F31693">
        <w:t xml:space="preserve"> or regulatory requirements – and non-compliance with internal policies and procedures adopted to achieve compliance with them – is likely to have a significant adver</w:t>
      </w:r>
      <w:r w:rsidR="00276A1E" w:rsidRPr="00F31693">
        <w:t>se effect on earnings, capital,</w:t>
      </w:r>
      <w:r w:rsidR="00137964" w:rsidRPr="00F31693">
        <w:t xml:space="preserve"> </w:t>
      </w:r>
      <w:r w:rsidRPr="00F31693">
        <w:t xml:space="preserve">reputation, franchise value and growth opportunities. Such non-compliance exposes </w:t>
      </w:r>
      <w:r w:rsidR="006473DB">
        <w:t xml:space="preserve">J. Wallace </w:t>
      </w:r>
      <w:r w:rsidRPr="00F31693">
        <w:t>to enforcement actions, civil money penalties, payments of damages and the voiding of contracts.</w:t>
      </w:r>
    </w:p>
    <w:p w14:paraId="21B299EA" w14:textId="77777777" w:rsidR="006A26C1" w:rsidRPr="00F31693" w:rsidRDefault="006A26C1" w:rsidP="00A95E97">
      <w:r w:rsidRPr="00F31693">
        <w:t xml:space="preserve">The Bank prepared a baseline risk assessment profile relating its preparedness and exposure to </w:t>
      </w:r>
      <w:proofErr w:type="gramStart"/>
      <w:r w:rsidRPr="00F31693">
        <w:t>respond</w:t>
      </w:r>
      <w:proofErr w:type="gramEnd"/>
      <w:r w:rsidRPr="00F31693">
        <w:t xml:space="preserve"> to a broad set of BSA/AML conditions – specifically concerning its own business risk.  The Bank considered information about its current products, services, geographic areas for service, customers, and international presence in determining its risk exposure to money-laundering and terrorist financing activity.  Based upon this assessment the Bank developed appropriate customer due diligence, suspicious activity monitoring, reporting, and recordkeeping controls appropriate to manage its risk exposure.</w:t>
      </w:r>
    </w:p>
    <w:p w14:paraId="5BC778E1" w14:textId="77777777" w:rsidR="00FA4DE2" w:rsidRPr="00F31693" w:rsidRDefault="00FA4DE2" w:rsidP="00FA4DE2">
      <w:r w:rsidRPr="00F31693">
        <w:t xml:space="preserve">Within the Risk Assessment </w:t>
      </w:r>
      <w:r w:rsidR="00137964" w:rsidRPr="00F31693">
        <w:t>p</w:t>
      </w:r>
      <w:r w:rsidRPr="00F31693">
        <w:t xml:space="preserve">rofile there are numerous risk exposure characteristics that were considered in which the Bank weighed the probability of money laundering or terrorist financing activity occurring.  Additionally, independent of probability, the Bank estimated the scope of impact and relevant scale of the impact to the business that would result if the event actually </w:t>
      </w:r>
      <w:proofErr w:type="gramStart"/>
      <w:r w:rsidRPr="00F31693">
        <w:t>occurred</w:t>
      </w:r>
      <w:proofErr w:type="gramEnd"/>
      <w:r w:rsidRPr="00F31693">
        <w:t xml:space="preserve"> or a deficiency was made known in our BSA/AML program. </w:t>
      </w:r>
    </w:p>
    <w:p w14:paraId="0E752589" w14:textId="77777777" w:rsidR="00FA4DE2" w:rsidRPr="00F31693" w:rsidRDefault="00FA4DE2" w:rsidP="00FA4DE2">
      <w:r w:rsidRPr="00F31693">
        <w:t>Furthermore, the assessment considered the Bank’s resources and readiness to comply with BSA/AML requirements</w:t>
      </w:r>
      <w:r w:rsidR="00B85E9C" w:rsidRPr="00F31693">
        <w:t>,</w:t>
      </w:r>
      <w:r w:rsidRPr="00F31693">
        <w:t xml:space="preserve"> our policy, procedures, and controls by weighing:</w:t>
      </w:r>
    </w:p>
    <w:p w14:paraId="3F2DAB6C" w14:textId="77777777" w:rsidR="00FA4DE2" w:rsidRPr="00F31693" w:rsidRDefault="00FA4DE2" w:rsidP="00FA4DE2">
      <w:pPr>
        <w:pStyle w:val="ListParagraph"/>
        <w:numPr>
          <w:ilvl w:val="0"/>
          <w:numId w:val="21"/>
        </w:numPr>
      </w:pPr>
      <w:r w:rsidRPr="00F31693">
        <w:t>Experience – Level of knowledge and experience by staff in managing BSA compliance programs, analytical experience in detecting money laundering and terrorist financing schemes, and administration management in reporting and recordkeeping.</w:t>
      </w:r>
    </w:p>
    <w:p w14:paraId="56161FFB" w14:textId="77777777" w:rsidR="00FA4DE2" w:rsidRPr="00F31693" w:rsidRDefault="00FA4DE2" w:rsidP="00FA4DE2">
      <w:pPr>
        <w:pStyle w:val="ListParagraph"/>
        <w:numPr>
          <w:ilvl w:val="0"/>
          <w:numId w:val="21"/>
        </w:numPr>
      </w:pPr>
      <w:r w:rsidRPr="00F31693">
        <w:t xml:space="preserve">Training – Depth, frequency, and comprehensiveness of training to general staff, personnel with BSA responsibilities, and BSA Department personnel. </w:t>
      </w:r>
    </w:p>
    <w:p w14:paraId="29D5C08B" w14:textId="77777777" w:rsidR="00FA4DE2" w:rsidRPr="00F31693" w:rsidRDefault="00FA4DE2" w:rsidP="00FA4DE2">
      <w:pPr>
        <w:pStyle w:val="ListParagraph"/>
        <w:numPr>
          <w:ilvl w:val="0"/>
          <w:numId w:val="21"/>
        </w:numPr>
      </w:pPr>
      <w:r w:rsidRPr="00F31693">
        <w:t xml:space="preserve">Testing – Validation of the BSA/AML program through independent testing. </w:t>
      </w:r>
    </w:p>
    <w:p w14:paraId="08485E9B" w14:textId="77777777" w:rsidR="00FA4DE2" w:rsidRPr="00F31693" w:rsidRDefault="00FA4DE2" w:rsidP="00FA4DE2">
      <w:pPr>
        <w:pStyle w:val="ListParagraph"/>
        <w:numPr>
          <w:ilvl w:val="0"/>
          <w:numId w:val="21"/>
        </w:numPr>
      </w:pPr>
      <w:r w:rsidRPr="00F31693">
        <w:lastRenderedPageBreak/>
        <w:t>Program – Comprehensiveness of Policy, procedures, and controls necessary to manage the risk exposure in those areas of greatest risk and attaining compliance with the regulations and laws.</w:t>
      </w:r>
    </w:p>
    <w:p w14:paraId="5B620612" w14:textId="77777777" w:rsidR="00FA4DE2" w:rsidRPr="00F31693" w:rsidRDefault="00FA4DE2" w:rsidP="00FA4DE2">
      <w:pPr>
        <w:pStyle w:val="STFrame"/>
        <w:rPr>
          <w:rFonts w:cs="Times New Roman"/>
          <w:szCs w:val="22"/>
        </w:rPr>
      </w:pPr>
      <w:r w:rsidRPr="00F31693">
        <w:rPr>
          <w:rFonts w:cs="Times New Roman"/>
          <w:szCs w:val="22"/>
        </w:rPr>
        <w:t xml:space="preserve">In reviewing the </w:t>
      </w:r>
      <w:r w:rsidRPr="00F31693">
        <w:rPr>
          <w:rStyle w:val="Standout"/>
          <w:rFonts w:cs="Times New Roman"/>
          <w:b/>
          <w:bCs/>
        </w:rPr>
        <w:t>Probability</w:t>
      </w:r>
      <w:r w:rsidRPr="00F31693">
        <w:rPr>
          <w:rFonts w:cs="Times New Roman"/>
          <w:szCs w:val="22"/>
        </w:rPr>
        <w:t xml:space="preserve"> of an event due to the nature of customer, product, and service against its potential </w:t>
      </w:r>
      <w:r w:rsidRPr="00F31693">
        <w:rPr>
          <w:rStyle w:val="Standout"/>
          <w:rFonts w:cs="Times New Roman"/>
          <w:b/>
          <w:bCs/>
        </w:rPr>
        <w:t>Impact</w:t>
      </w:r>
      <w:r w:rsidRPr="00F31693">
        <w:rPr>
          <w:rFonts w:cs="Times New Roman"/>
          <w:szCs w:val="22"/>
        </w:rPr>
        <w:t xml:space="preserve"> and the need for the Bank to maintain a strong </w:t>
      </w:r>
      <w:r w:rsidRPr="00F31693">
        <w:rPr>
          <w:rStyle w:val="Standout"/>
          <w:rFonts w:cs="Times New Roman"/>
          <w:b/>
          <w:bCs/>
        </w:rPr>
        <w:t>Readiness</w:t>
      </w:r>
      <w:r w:rsidRPr="00F31693">
        <w:rPr>
          <w:rFonts w:cs="Times New Roman"/>
          <w:bCs/>
          <w:szCs w:val="22"/>
        </w:rPr>
        <w:t xml:space="preserve"> </w:t>
      </w:r>
      <w:r w:rsidRPr="00F31693">
        <w:rPr>
          <w:rFonts w:cs="Times New Roman"/>
          <w:szCs w:val="22"/>
        </w:rPr>
        <w:t xml:space="preserve">response capability; the Bank derived </w:t>
      </w:r>
      <w:r w:rsidRPr="00F31693">
        <w:rPr>
          <w:rStyle w:val="Standout"/>
          <w:rFonts w:cs="Times New Roman"/>
          <w:b/>
          <w:bCs/>
        </w:rPr>
        <w:t>overall Risk Exposure prioritization ratings</w:t>
      </w:r>
      <w:r w:rsidRPr="00F31693">
        <w:rPr>
          <w:rFonts w:cs="Times New Roman"/>
          <w:szCs w:val="22"/>
        </w:rPr>
        <w:t xml:space="preserve"> that reflect the Bank’s </w:t>
      </w:r>
      <w:r w:rsidRPr="00F31693">
        <w:rPr>
          <w:rFonts w:cs="Times New Roman"/>
          <w:szCs w:val="22"/>
          <w:u w:val="single"/>
        </w:rPr>
        <w:t xml:space="preserve">priority to </w:t>
      </w:r>
      <w:proofErr w:type="gramStart"/>
      <w:r w:rsidRPr="00F31693">
        <w:rPr>
          <w:rFonts w:cs="Times New Roman"/>
          <w:szCs w:val="22"/>
          <w:u w:val="single"/>
        </w:rPr>
        <w:t>take action</w:t>
      </w:r>
      <w:proofErr w:type="gramEnd"/>
      <w:r w:rsidRPr="00F31693">
        <w:rPr>
          <w:rFonts w:cs="Times New Roman"/>
          <w:szCs w:val="22"/>
        </w:rPr>
        <w:t xml:space="preserve"> in establishing programs to effectively manage the risk to an acceptable level. </w:t>
      </w:r>
    </w:p>
    <w:p w14:paraId="5A8FCF5B" w14:textId="77777777" w:rsidR="00065C2F" w:rsidRPr="00F31693" w:rsidRDefault="00065C2F" w:rsidP="009E6402">
      <w:pPr>
        <w:pStyle w:val="NoSpacing"/>
      </w:pPr>
    </w:p>
    <w:p w14:paraId="5A12C8B3" w14:textId="77777777" w:rsidR="00A95E97" w:rsidRPr="00F31693" w:rsidRDefault="00A95E97" w:rsidP="00A95E97">
      <w:pPr>
        <w:rPr>
          <w:b/>
        </w:rPr>
      </w:pPr>
      <w:r w:rsidRPr="00F31693">
        <w:rPr>
          <w:b/>
        </w:rPr>
        <w:t>Caveats</w:t>
      </w:r>
    </w:p>
    <w:p w14:paraId="1DAA516C" w14:textId="77777777" w:rsidR="00A95E97" w:rsidRPr="00F31693" w:rsidRDefault="00A95E97" w:rsidP="00A95E97">
      <w:r w:rsidRPr="00F31693">
        <w:t xml:space="preserve">These risk assessments include subjective assessments of the magnitude of inherent risk and of the effectiveness of mitigating controls. Neither the risk assessments themselves nor the procedures for developing them, however, provide a validation of these assessments. The Bank’s internal audit service provider performs such a validation through its independent testing of the Bank’s exposure to BSA/AML/OFAC risks and the effectiveness of its controls in mitigating those risks. These subjective assessments, however, do </w:t>
      </w:r>
      <w:proofErr w:type="gramStart"/>
      <w:r w:rsidRPr="00F31693">
        <w:t>take into account</w:t>
      </w:r>
      <w:proofErr w:type="gramEnd"/>
      <w:r w:rsidRPr="00F31693">
        <w:t xml:space="preserve"> the service provider’s results, as well as the results of supervisory examinations, including identified violations of law and enforcement actions.</w:t>
      </w:r>
    </w:p>
    <w:p w14:paraId="2A026045" w14:textId="77777777" w:rsidR="00A95E97" w:rsidRPr="00F31693" w:rsidRDefault="00A95E97" w:rsidP="00A95E97">
      <w:r w:rsidRPr="00F31693">
        <w:t>Not all activities are clearly illegal/improper or clearly legitimate/proper, until appropriate authorities designate such activity as legal or illegal.</w:t>
      </w:r>
    </w:p>
    <w:p w14:paraId="38340E35" w14:textId="77777777" w:rsidR="00A95E97" w:rsidRPr="00F31693" w:rsidRDefault="00A95E97" w:rsidP="00A95E97"/>
    <w:p w14:paraId="4011EA9C" w14:textId="77777777" w:rsidR="00A95E97" w:rsidRPr="00F31693" w:rsidRDefault="00A95E97" w:rsidP="00A95E97"/>
    <w:p w14:paraId="0A6236F8" w14:textId="77777777" w:rsidR="00A95E97" w:rsidRPr="00F31693" w:rsidRDefault="00A95E97" w:rsidP="00A95E97"/>
    <w:p w14:paraId="74E388D4" w14:textId="77777777" w:rsidR="00065C2F" w:rsidRPr="00F31693" w:rsidRDefault="00065C2F" w:rsidP="00A95E97">
      <w:pPr>
        <w:rPr>
          <w:b/>
        </w:rPr>
      </w:pPr>
    </w:p>
    <w:p w14:paraId="58052AD2" w14:textId="77777777" w:rsidR="00065C2F" w:rsidRPr="00F31693" w:rsidRDefault="00065C2F" w:rsidP="00A95E97">
      <w:pPr>
        <w:rPr>
          <w:b/>
        </w:rPr>
      </w:pPr>
    </w:p>
    <w:p w14:paraId="5948933A" w14:textId="77777777" w:rsidR="00065C2F" w:rsidRPr="00F31693" w:rsidRDefault="00065C2F" w:rsidP="00A95E97">
      <w:pPr>
        <w:rPr>
          <w:b/>
        </w:rPr>
      </w:pPr>
    </w:p>
    <w:p w14:paraId="50450936" w14:textId="77777777" w:rsidR="00065C2F" w:rsidRPr="00F31693" w:rsidRDefault="00065C2F" w:rsidP="00A95E97">
      <w:pPr>
        <w:rPr>
          <w:b/>
        </w:rPr>
      </w:pPr>
    </w:p>
    <w:p w14:paraId="037F411A" w14:textId="77777777" w:rsidR="00065C2F" w:rsidRPr="00F31693" w:rsidRDefault="00065C2F" w:rsidP="00A95E97">
      <w:pPr>
        <w:rPr>
          <w:b/>
        </w:rPr>
      </w:pPr>
    </w:p>
    <w:p w14:paraId="43F125D0" w14:textId="77777777" w:rsidR="00065C2F" w:rsidRPr="00F31693" w:rsidRDefault="00065C2F" w:rsidP="00A95E97">
      <w:pPr>
        <w:rPr>
          <w:b/>
        </w:rPr>
      </w:pPr>
    </w:p>
    <w:p w14:paraId="15446C37" w14:textId="77777777" w:rsidR="00065C2F" w:rsidRPr="00F31693" w:rsidRDefault="00065C2F" w:rsidP="00A95E97">
      <w:pPr>
        <w:rPr>
          <w:b/>
        </w:rPr>
      </w:pPr>
    </w:p>
    <w:p w14:paraId="7CF830AD" w14:textId="77777777" w:rsidR="00065C2F" w:rsidRPr="00F31693" w:rsidRDefault="00065C2F" w:rsidP="00A95E97">
      <w:pPr>
        <w:rPr>
          <w:b/>
        </w:rPr>
      </w:pPr>
    </w:p>
    <w:p w14:paraId="58704D9D" w14:textId="77777777" w:rsidR="00065C2F" w:rsidRPr="00F31693" w:rsidRDefault="00065C2F" w:rsidP="00A95E97">
      <w:pPr>
        <w:rPr>
          <w:b/>
        </w:rPr>
      </w:pPr>
    </w:p>
    <w:p w14:paraId="675E681C" w14:textId="77777777" w:rsidR="00A95E97" w:rsidRPr="00F31693" w:rsidRDefault="00A95E97" w:rsidP="00A95E97">
      <w:pPr>
        <w:rPr>
          <w:b/>
        </w:rPr>
      </w:pPr>
      <w:r w:rsidRPr="00F31693">
        <w:rPr>
          <w:b/>
        </w:rPr>
        <w:lastRenderedPageBreak/>
        <w:t>Forward Looking Risk</w:t>
      </w:r>
    </w:p>
    <w:p w14:paraId="2BCCDF7A" w14:textId="3E0CB85E" w:rsidR="00A95E97" w:rsidRPr="00F31693" w:rsidRDefault="00A95E97" w:rsidP="00A95E97">
      <w:r w:rsidRPr="00F31693">
        <w:t xml:space="preserve">There have been no significant changes in </w:t>
      </w:r>
      <w:r w:rsidR="006473DB">
        <w:t xml:space="preserve">J. Wallace </w:t>
      </w:r>
      <w:r w:rsidRPr="00F31693">
        <w:t xml:space="preserve">existing products, services, and business strategy during the assessment period. The bank </w:t>
      </w:r>
      <w:r w:rsidR="0066161E" w:rsidRPr="00F31693">
        <w:t xml:space="preserve">is de-emphasizing retail and </w:t>
      </w:r>
      <w:r w:rsidRPr="00F31693">
        <w:t>continues to seek aggressive growth primarily in commercial businesses</w:t>
      </w:r>
      <w:r w:rsidR="0066161E" w:rsidRPr="00F31693">
        <w:t>, with a particular emphasis on financing multi-family</w:t>
      </w:r>
      <w:r w:rsidR="009410D8" w:rsidRPr="00F31693">
        <w:t xml:space="preserve"> apartments</w:t>
      </w:r>
      <w:r w:rsidRPr="00F31693">
        <w:t>.</w:t>
      </w:r>
    </w:p>
    <w:p w14:paraId="6DA614F9" w14:textId="77777777" w:rsidR="00A95E97" w:rsidRPr="00F31693" w:rsidRDefault="00A95E97" w:rsidP="00A95E97">
      <w:r w:rsidRPr="00F31693">
        <w:t xml:space="preserve">The following is </w:t>
      </w:r>
      <w:r w:rsidR="0089618C" w:rsidRPr="00F31693">
        <w:t>a</w:t>
      </w:r>
      <w:r w:rsidRPr="00F31693">
        <w:t xml:space="preserve"> </w:t>
      </w:r>
      <w:proofErr w:type="gramStart"/>
      <w:r w:rsidRPr="00F31693">
        <w:t>high level</w:t>
      </w:r>
      <w:proofErr w:type="gramEnd"/>
      <w:r w:rsidRPr="00F31693">
        <w:t xml:space="preserve"> summary of modeled strategic scenarios</w:t>
      </w:r>
      <w:r w:rsidR="0089618C" w:rsidRPr="00F31693">
        <w:t xml:space="preserve"> that the Bank may consider in the future.</w:t>
      </w:r>
    </w:p>
    <w:p w14:paraId="177F8381" w14:textId="77777777" w:rsidR="00A95E97" w:rsidRPr="00F31693" w:rsidRDefault="00A95E97" w:rsidP="00A95E97">
      <w:r w:rsidRPr="00F31693">
        <w:t>Scenario 1: Organic Growth Scenario</w:t>
      </w:r>
    </w:p>
    <w:p w14:paraId="11E4A6D6" w14:textId="77777777" w:rsidR="00113A76" w:rsidRPr="00F31693" w:rsidRDefault="00113A76" w:rsidP="001C41AC">
      <w:pPr>
        <w:pStyle w:val="ListParagraph"/>
        <w:numPr>
          <w:ilvl w:val="0"/>
          <w:numId w:val="37"/>
        </w:numPr>
      </w:pPr>
      <w:r w:rsidRPr="00F31693">
        <w:t>Organic Growth Scenario</w:t>
      </w:r>
    </w:p>
    <w:p w14:paraId="0BE11159" w14:textId="77777777" w:rsidR="00113A76" w:rsidRPr="00F31693" w:rsidRDefault="00113A76" w:rsidP="001C41AC">
      <w:pPr>
        <w:pStyle w:val="ListParagraph"/>
        <w:numPr>
          <w:ilvl w:val="0"/>
          <w:numId w:val="37"/>
        </w:numPr>
      </w:pPr>
      <w:r w:rsidRPr="00F31693">
        <w:t xml:space="preserve">Continued loan platform in CRE, but maintain concentration below Board </w:t>
      </w:r>
      <w:proofErr w:type="gramStart"/>
      <w:r w:rsidRPr="00F31693">
        <w:t>limits</w:t>
      </w:r>
      <w:proofErr w:type="gramEnd"/>
    </w:p>
    <w:p w14:paraId="5463403F" w14:textId="77777777" w:rsidR="001C41AC" w:rsidRPr="00F31693" w:rsidRDefault="00113A76" w:rsidP="001C41AC">
      <w:pPr>
        <w:pStyle w:val="ListParagraph"/>
        <w:numPr>
          <w:ilvl w:val="0"/>
          <w:numId w:val="37"/>
        </w:numPr>
      </w:pPr>
      <w:r w:rsidRPr="00F31693">
        <w:t>Payment of regular quarterly cash dividends and special dividends each December</w:t>
      </w:r>
    </w:p>
    <w:p w14:paraId="7EA4A493" w14:textId="77777777" w:rsidR="00A95E97" w:rsidRPr="00F31693" w:rsidRDefault="00A95E97" w:rsidP="00113A76">
      <w:r w:rsidRPr="00F31693">
        <w:t>Scenario 2: Scenario 1 plus</w:t>
      </w:r>
    </w:p>
    <w:p w14:paraId="0D4A86A1" w14:textId="77777777" w:rsidR="001C41AC" w:rsidRPr="00F31693" w:rsidRDefault="001C41AC" w:rsidP="001C41AC">
      <w:pPr>
        <w:pStyle w:val="ListParagraph"/>
        <w:numPr>
          <w:ilvl w:val="0"/>
          <w:numId w:val="38"/>
        </w:numPr>
      </w:pPr>
      <w:r w:rsidRPr="00F31693">
        <w:t>Fed Forecast Rate Environment</w:t>
      </w:r>
    </w:p>
    <w:p w14:paraId="7F1B7F43" w14:textId="77777777" w:rsidR="001C41AC" w:rsidRPr="00F31693" w:rsidRDefault="001C41AC" w:rsidP="001C41AC">
      <w:pPr>
        <w:pStyle w:val="ListParagraph"/>
        <w:numPr>
          <w:ilvl w:val="0"/>
          <w:numId w:val="38"/>
        </w:numPr>
      </w:pPr>
      <w:r w:rsidRPr="00F31693">
        <w:t>CRE loan originations decline by 10% (since prepayment speed slow and loans extend)</w:t>
      </w:r>
    </w:p>
    <w:p w14:paraId="5CEE370E" w14:textId="77777777" w:rsidR="00A95E97" w:rsidRPr="00F31693" w:rsidRDefault="00A95E97" w:rsidP="001C41AC">
      <w:r w:rsidRPr="00F31693">
        <w:t>Scenario 3: Scenario 1 plus</w:t>
      </w:r>
    </w:p>
    <w:p w14:paraId="39C30EE5" w14:textId="77777777" w:rsidR="001C41AC" w:rsidRPr="00F31693" w:rsidRDefault="001C41AC" w:rsidP="001C41AC">
      <w:pPr>
        <w:pStyle w:val="ListParagraph"/>
        <w:numPr>
          <w:ilvl w:val="0"/>
          <w:numId w:val="40"/>
        </w:numPr>
        <w:ind w:left="1440"/>
      </w:pPr>
      <w:r w:rsidRPr="00F31693">
        <w:t>Scenario 1 with a reduction in all loan originations of 15% and deposit growth of 10%</w:t>
      </w:r>
    </w:p>
    <w:p w14:paraId="0B1F35DF" w14:textId="77777777" w:rsidR="00A95E97" w:rsidRPr="00F31693" w:rsidRDefault="00A95E97" w:rsidP="00A95E97"/>
    <w:p w14:paraId="476254D9" w14:textId="77777777" w:rsidR="00A95E97" w:rsidRPr="00F31693" w:rsidRDefault="00A95E97" w:rsidP="00A95E97"/>
    <w:p w14:paraId="225DE273" w14:textId="77777777" w:rsidR="00A95E97" w:rsidRPr="00F31693" w:rsidRDefault="00A95E97" w:rsidP="00A95E97"/>
    <w:p w14:paraId="06C5128C" w14:textId="77777777" w:rsidR="00A95E97" w:rsidRPr="00F31693" w:rsidRDefault="00A95E97" w:rsidP="00A95E97"/>
    <w:p w14:paraId="5165443F" w14:textId="77777777" w:rsidR="00A95E97" w:rsidRPr="00F31693" w:rsidRDefault="00A95E97" w:rsidP="00A95E97"/>
    <w:p w14:paraId="34F8185A" w14:textId="77777777" w:rsidR="00A95E97" w:rsidRPr="00F31693" w:rsidRDefault="00A95E97" w:rsidP="00A95E97"/>
    <w:p w14:paraId="2CCB0B04" w14:textId="77777777" w:rsidR="00A95E97" w:rsidRPr="00F31693" w:rsidRDefault="00A95E97" w:rsidP="00A95E97"/>
    <w:p w14:paraId="04725586" w14:textId="77777777" w:rsidR="00A95E97" w:rsidRPr="00F31693" w:rsidRDefault="00A95E97" w:rsidP="00A95E97"/>
    <w:p w14:paraId="3147AA95" w14:textId="77777777" w:rsidR="00A95E97" w:rsidRPr="00F31693" w:rsidRDefault="00A95E97" w:rsidP="00A95E97"/>
    <w:p w14:paraId="2567D2BF" w14:textId="77777777" w:rsidR="00A95E97" w:rsidRPr="00F31693" w:rsidRDefault="00A95E97" w:rsidP="00A95E97"/>
    <w:p w14:paraId="1B0CC135" w14:textId="77777777" w:rsidR="00A95E97" w:rsidRPr="00F31693" w:rsidRDefault="00A95E97" w:rsidP="00A95E97"/>
    <w:p w14:paraId="535CBD3C" w14:textId="77777777" w:rsidR="00DB5037" w:rsidRPr="00F31693" w:rsidRDefault="00DB5037" w:rsidP="00A95E97">
      <w:pPr>
        <w:rPr>
          <w:b/>
        </w:rPr>
      </w:pPr>
    </w:p>
    <w:p w14:paraId="27D47C5E" w14:textId="77777777" w:rsidR="00A95E97" w:rsidRPr="00F31693" w:rsidRDefault="00A95E97" w:rsidP="00A95E97">
      <w:pPr>
        <w:rPr>
          <w:b/>
        </w:rPr>
      </w:pPr>
      <w:r w:rsidRPr="00F31693">
        <w:rPr>
          <w:b/>
        </w:rPr>
        <w:lastRenderedPageBreak/>
        <w:t>BSA/AML Direction of Risk</w:t>
      </w:r>
    </w:p>
    <w:p w14:paraId="1DB3E643" w14:textId="0909C30C" w:rsidR="00A95E97" w:rsidRPr="00F31693" w:rsidRDefault="00A95E97" w:rsidP="00A95E97">
      <w:r w:rsidRPr="00F31693">
        <w:t xml:space="preserve">The </w:t>
      </w:r>
      <w:r w:rsidR="006473DB">
        <w:t xml:space="preserve">J. Wallace </w:t>
      </w:r>
      <w:r w:rsidRPr="00F31693">
        <w:t xml:space="preserve">BSA/AML Risk Assessment performed as of </w:t>
      </w:r>
      <w:r w:rsidR="0089618C" w:rsidRPr="00F31693">
        <w:t xml:space="preserve">June </w:t>
      </w:r>
      <w:r w:rsidR="005A046A" w:rsidRPr="00F31693">
        <w:t>3</w:t>
      </w:r>
      <w:r w:rsidR="0089618C" w:rsidRPr="00F31693">
        <w:t xml:space="preserve">0, </w:t>
      </w:r>
      <w:proofErr w:type="gramStart"/>
      <w:r w:rsidR="0089618C" w:rsidRPr="00F31693">
        <w:t>201</w:t>
      </w:r>
      <w:r w:rsidR="00CA03CB" w:rsidRPr="00F31693">
        <w:t>6</w:t>
      </w:r>
      <w:proofErr w:type="gramEnd"/>
      <w:r w:rsidRPr="00F31693">
        <w:t xml:space="preserve"> yielded a </w:t>
      </w:r>
      <w:r w:rsidR="0089618C" w:rsidRPr="00F31693">
        <w:rPr>
          <w:b/>
        </w:rPr>
        <w:t>HIGH</w:t>
      </w:r>
      <w:r w:rsidRPr="00F31693">
        <w:t xml:space="preserve"> Inherent Risk Rating and a </w:t>
      </w:r>
      <w:r w:rsidR="0089618C" w:rsidRPr="00F31693">
        <w:rPr>
          <w:b/>
        </w:rPr>
        <w:t>MODERATE</w:t>
      </w:r>
      <w:r w:rsidR="0089618C" w:rsidRPr="00F31693">
        <w:t xml:space="preserve"> </w:t>
      </w:r>
      <w:r w:rsidRPr="00F31693">
        <w:t xml:space="preserve">Residual Risk Rating, which is consistent with the risk rating of the previous assessment. The direction of Risk over the next 12 months is expected to be trending slightly higher </w:t>
      </w:r>
      <w:proofErr w:type="gramStart"/>
      <w:r w:rsidRPr="00F31693">
        <w:t>as a result of</w:t>
      </w:r>
      <w:proofErr w:type="gramEnd"/>
      <w:r w:rsidRPr="00F31693">
        <w:t xml:space="preserve"> the following:</w:t>
      </w:r>
    </w:p>
    <w:p w14:paraId="19955017" w14:textId="77777777" w:rsidR="00A95E97" w:rsidRPr="00F31693" w:rsidRDefault="00A95E97" w:rsidP="00EE6196">
      <w:pPr>
        <w:pStyle w:val="ListParagraph"/>
        <w:numPr>
          <w:ilvl w:val="0"/>
          <w:numId w:val="10"/>
        </w:numPr>
      </w:pPr>
      <w:r w:rsidRPr="00F31693">
        <w:t xml:space="preserve">Moderate turnover at the management </w:t>
      </w:r>
      <w:proofErr w:type="gramStart"/>
      <w:r w:rsidRPr="00F31693">
        <w:t>level;</w:t>
      </w:r>
      <w:proofErr w:type="gramEnd"/>
    </w:p>
    <w:p w14:paraId="102E3B3B" w14:textId="77777777" w:rsidR="00A95E97" w:rsidRPr="00F31693" w:rsidRDefault="00A95E97" w:rsidP="00EE6196">
      <w:pPr>
        <w:pStyle w:val="ListParagraph"/>
        <w:numPr>
          <w:ilvl w:val="0"/>
          <w:numId w:val="10"/>
        </w:numPr>
      </w:pPr>
      <w:r w:rsidRPr="00F31693">
        <w:t xml:space="preserve">Moderate turnover in </w:t>
      </w:r>
      <w:proofErr w:type="gramStart"/>
      <w:r w:rsidR="00BD6B52" w:rsidRPr="00F31693">
        <w:t>Corporate</w:t>
      </w:r>
      <w:proofErr w:type="gramEnd"/>
      <w:r w:rsidR="00BD6B52" w:rsidRPr="00F31693">
        <w:t xml:space="preserve"> </w:t>
      </w:r>
      <w:r w:rsidRPr="00F31693">
        <w:t>staff positions;</w:t>
      </w:r>
    </w:p>
    <w:p w14:paraId="58A2F4BD" w14:textId="77777777" w:rsidR="00BD6B52" w:rsidRPr="00F31693" w:rsidRDefault="002271DB" w:rsidP="00EE6196">
      <w:pPr>
        <w:pStyle w:val="ListParagraph"/>
        <w:numPr>
          <w:ilvl w:val="0"/>
          <w:numId w:val="10"/>
        </w:numPr>
      </w:pPr>
      <w:r w:rsidRPr="00F31693">
        <w:t xml:space="preserve">High and critical turnover in </w:t>
      </w:r>
      <w:r w:rsidR="00BD6B52" w:rsidRPr="00F31693">
        <w:t>Branch staff positions (Tellers</w:t>
      </w:r>
      <w:proofErr w:type="gramStart"/>
      <w:r w:rsidR="00BD6B52" w:rsidRPr="00F31693">
        <w:t>)</w:t>
      </w:r>
      <w:r w:rsidR="00D34A8C" w:rsidRPr="00F31693">
        <w:t>;</w:t>
      </w:r>
      <w:proofErr w:type="gramEnd"/>
    </w:p>
    <w:p w14:paraId="7E93DA3D" w14:textId="77777777" w:rsidR="00A95E97" w:rsidRPr="00F31693" w:rsidRDefault="00A95E97" w:rsidP="00EE6196">
      <w:pPr>
        <w:pStyle w:val="ListParagraph"/>
        <w:numPr>
          <w:ilvl w:val="0"/>
          <w:numId w:val="10"/>
        </w:numPr>
      </w:pPr>
      <w:r w:rsidRPr="00F31693">
        <w:t xml:space="preserve">Moderate increase in incoming international wire </w:t>
      </w:r>
      <w:proofErr w:type="gramStart"/>
      <w:r w:rsidRPr="00F31693">
        <w:t>activity;</w:t>
      </w:r>
      <w:proofErr w:type="gramEnd"/>
    </w:p>
    <w:p w14:paraId="09283F5D" w14:textId="77777777" w:rsidR="00D34A8C" w:rsidRPr="00F31693" w:rsidRDefault="00D34A8C" w:rsidP="00EE6196">
      <w:pPr>
        <w:pStyle w:val="ListParagraph"/>
        <w:numPr>
          <w:ilvl w:val="0"/>
          <w:numId w:val="10"/>
        </w:numPr>
      </w:pPr>
      <w:r w:rsidRPr="00F31693">
        <w:t xml:space="preserve">Moderate increase in high risk </w:t>
      </w:r>
      <w:proofErr w:type="gramStart"/>
      <w:r w:rsidRPr="00F31693">
        <w:t>customers;</w:t>
      </w:r>
      <w:proofErr w:type="gramEnd"/>
    </w:p>
    <w:p w14:paraId="68138728" w14:textId="77777777" w:rsidR="00A95E97" w:rsidRPr="00F31693" w:rsidRDefault="00A95E97" w:rsidP="00EE6196">
      <w:pPr>
        <w:pStyle w:val="ListParagraph"/>
        <w:numPr>
          <w:ilvl w:val="0"/>
          <w:numId w:val="10"/>
        </w:numPr>
      </w:pPr>
      <w:r w:rsidRPr="00F31693">
        <w:t xml:space="preserve">Aggressive growth in lending, retail and commercial </w:t>
      </w:r>
      <w:proofErr w:type="gramStart"/>
      <w:r w:rsidRPr="00F31693">
        <w:t>banking</w:t>
      </w:r>
      <w:r w:rsidR="00454A51" w:rsidRPr="00F31693">
        <w:t>;</w:t>
      </w:r>
      <w:proofErr w:type="gramEnd"/>
    </w:p>
    <w:p w14:paraId="50350876" w14:textId="77777777" w:rsidR="002271DB" w:rsidRPr="00F31693" w:rsidRDefault="002271DB" w:rsidP="00EE6196">
      <w:pPr>
        <w:pStyle w:val="ListParagraph"/>
        <w:numPr>
          <w:ilvl w:val="0"/>
          <w:numId w:val="10"/>
        </w:numPr>
      </w:pPr>
      <w:r w:rsidRPr="00F31693">
        <w:t xml:space="preserve">Moderate to high increase in </w:t>
      </w:r>
      <w:proofErr w:type="spellStart"/>
      <w:r w:rsidRPr="00F31693">
        <w:t>eBanking</w:t>
      </w:r>
      <w:proofErr w:type="spellEnd"/>
      <w:r w:rsidRPr="00F31693">
        <w:t xml:space="preserve"> and RDC</w:t>
      </w:r>
      <w:r w:rsidR="00454A51" w:rsidRPr="00F31693">
        <w:t xml:space="preserve"> product lines.</w:t>
      </w:r>
    </w:p>
    <w:p w14:paraId="1D92652B" w14:textId="77777777" w:rsidR="00A95E97" w:rsidRPr="00F31693" w:rsidRDefault="00A95E97" w:rsidP="00A95E97"/>
    <w:p w14:paraId="143FF558" w14:textId="77777777" w:rsidR="00A95E97" w:rsidRPr="00F31693" w:rsidRDefault="00A95E97" w:rsidP="00A95E97"/>
    <w:p w14:paraId="74B3F8D2" w14:textId="77777777" w:rsidR="00A95E97" w:rsidRPr="00F31693" w:rsidRDefault="00A95E97" w:rsidP="00A95E97"/>
    <w:p w14:paraId="375D97E9" w14:textId="77777777" w:rsidR="00A95E97" w:rsidRPr="00F31693" w:rsidRDefault="00A95E97" w:rsidP="00A95E97"/>
    <w:p w14:paraId="1C9996CB" w14:textId="77777777" w:rsidR="00A95E97" w:rsidRPr="00F31693" w:rsidRDefault="00A95E97" w:rsidP="00A95E97"/>
    <w:p w14:paraId="4B3AB8B8" w14:textId="77777777" w:rsidR="00A95E97" w:rsidRPr="00F31693" w:rsidRDefault="00A95E97" w:rsidP="00A95E97"/>
    <w:p w14:paraId="26CD55EB" w14:textId="77777777" w:rsidR="00A95E97" w:rsidRPr="00F31693" w:rsidRDefault="00A95E97" w:rsidP="00A95E97"/>
    <w:p w14:paraId="2E65E181" w14:textId="77777777" w:rsidR="00A95E97" w:rsidRPr="00F31693" w:rsidRDefault="00A95E97" w:rsidP="00A95E97"/>
    <w:p w14:paraId="1588D022" w14:textId="77777777" w:rsidR="00A95E97" w:rsidRPr="00F31693" w:rsidRDefault="00A95E97" w:rsidP="00A95E97"/>
    <w:p w14:paraId="3CA559A8" w14:textId="77777777" w:rsidR="00A95E97" w:rsidRPr="00F31693" w:rsidRDefault="00A95E97" w:rsidP="00A95E97"/>
    <w:p w14:paraId="2E6D4970" w14:textId="77777777" w:rsidR="00A95E97" w:rsidRPr="00F31693" w:rsidRDefault="00A95E97" w:rsidP="00A95E97"/>
    <w:p w14:paraId="31A72B80" w14:textId="77777777" w:rsidR="00A95E97" w:rsidRPr="00F31693" w:rsidRDefault="00A95E97" w:rsidP="00A95E97"/>
    <w:p w14:paraId="753C90DC" w14:textId="77777777" w:rsidR="00A95E97" w:rsidRPr="00F31693" w:rsidRDefault="00A95E97" w:rsidP="00A95E97"/>
    <w:p w14:paraId="2F8E2D14" w14:textId="77777777" w:rsidR="00A95E97" w:rsidRPr="00F31693" w:rsidRDefault="00A95E97" w:rsidP="00A95E97"/>
    <w:p w14:paraId="7C641421" w14:textId="77777777" w:rsidR="00A95E97" w:rsidRPr="00F31693" w:rsidRDefault="00A95E97" w:rsidP="00A95E97"/>
    <w:p w14:paraId="26653B36" w14:textId="77777777" w:rsidR="00A95E97" w:rsidRPr="00F31693" w:rsidRDefault="00A95E97" w:rsidP="00A95E97"/>
    <w:p w14:paraId="149D5EF6" w14:textId="77777777" w:rsidR="00B23D3C" w:rsidRPr="00F31693" w:rsidRDefault="00B23D3C" w:rsidP="00A95E97">
      <w:pPr>
        <w:rPr>
          <w:b/>
        </w:rPr>
      </w:pPr>
    </w:p>
    <w:p w14:paraId="7450BCC2" w14:textId="77777777" w:rsidR="00A95E97" w:rsidRPr="00F31693" w:rsidRDefault="00A95E97" w:rsidP="00A95E97">
      <w:pPr>
        <w:rPr>
          <w:b/>
        </w:rPr>
      </w:pPr>
      <w:r w:rsidRPr="00F31693">
        <w:rPr>
          <w:b/>
        </w:rPr>
        <w:lastRenderedPageBreak/>
        <w:t>Bank Size</w:t>
      </w:r>
    </w:p>
    <w:p w14:paraId="586663EC" w14:textId="475F75B4" w:rsidR="00A95E97" w:rsidRPr="00F31693" w:rsidRDefault="006473DB" w:rsidP="00A95E97">
      <w:r>
        <w:t xml:space="preserve">J. Wallace </w:t>
      </w:r>
      <w:r w:rsidR="00A95E97" w:rsidRPr="00F31693">
        <w:t xml:space="preserve">falls under Uniform Bank Performance Report (UBPR) 101S SUPPLEMENTAL PEER GROUP, defined as all Stock-owned insured savings banks </w:t>
      </w:r>
      <w:proofErr w:type="gramStart"/>
      <w:r w:rsidR="00A95E97" w:rsidRPr="00F31693">
        <w:t>in excess of</w:t>
      </w:r>
      <w:proofErr w:type="gramEnd"/>
      <w:r w:rsidR="00A95E97" w:rsidRPr="00F31693">
        <w:t xml:space="preserve"> $1 billion. As of June 30, 201</w:t>
      </w:r>
      <w:r w:rsidR="00CA03CB" w:rsidRPr="00F31693">
        <w:t>6</w:t>
      </w:r>
      <w:r w:rsidR="00A95E97" w:rsidRPr="00F31693">
        <w:t xml:space="preserve">, total asset size of </w:t>
      </w:r>
      <w:r>
        <w:t xml:space="preserve">J. Wallace </w:t>
      </w:r>
      <w:r w:rsidR="00A95E97" w:rsidRPr="00F31693">
        <w:t>was $</w:t>
      </w:r>
      <w:r w:rsidR="005D020B" w:rsidRPr="00F31693">
        <w:t>3,</w:t>
      </w:r>
      <w:r w:rsidR="00D12A09" w:rsidRPr="00F31693">
        <w:t>669,338,000</w:t>
      </w:r>
      <w:r w:rsidR="00A95E97" w:rsidRPr="00F31693">
        <w:t>. From the last assessment period with an asset size of $</w:t>
      </w:r>
      <w:r w:rsidR="005D020B" w:rsidRPr="00F31693">
        <w:t>3,</w:t>
      </w:r>
      <w:r w:rsidR="00D12A09" w:rsidRPr="00F31693">
        <w:t>353,065</w:t>
      </w:r>
      <w:r w:rsidR="005D020B" w:rsidRPr="00F31693">
        <w:t>,000</w:t>
      </w:r>
      <w:r w:rsidR="00A95E97" w:rsidRPr="00F31693">
        <w:t xml:space="preserve">, the bank has grown </w:t>
      </w:r>
      <w:r w:rsidR="009310A6" w:rsidRPr="00F31693">
        <w:t>about 1%</w:t>
      </w:r>
      <w:r w:rsidR="00A95E97" w:rsidRPr="00F31693">
        <w:t xml:space="preserve"> and management continues to seek aggressive growth.</w:t>
      </w:r>
    </w:p>
    <w:p w14:paraId="6B1441E7" w14:textId="77777777" w:rsidR="00A95E97" w:rsidRPr="00F31693" w:rsidRDefault="00A95E97" w:rsidP="00A95E97">
      <w:pPr>
        <w:rPr>
          <w:b/>
        </w:rPr>
      </w:pPr>
      <w:r w:rsidRPr="00F31693">
        <w:rPr>
          <w:b/>
        </w:rPr>
        <w:t>Branch Locations</w:t>
      </w:r>
    </w:p>
    <w:p w14:paraId="03312DB6" w14:textId="4859346C" w:rsidR="00A95E97" w:rsidRPr="00F31693" w:rsidRDefault="00A95E97" w:rsidP="00A95E97">
      <w:r w:rsidRPr="00F31693">
        <w:t xml:space="preserve">The number of </w:t>
      </w:r>
      <w:r w:rsidR="006473DB">
        <w:t xml:space="preserve">J. Wallace </w:t>
      </w:r>
      <w:r w:rsidRPr="00F31693">
        <w:t xml:space="preserve">branches </w:t>
      </w:r>
      <w:r w:rsidR="00937895">
        <w:t>increased</w:t>
      </w:r>
      <w:r w:rsidR="00B646B0">
        <w:t xml:space="preserve"> by one</w:t>
      </w:r>
      <w:r w:rsidR="00937895">
        <w:t xml:space="preserve"> to </w:t>
      </w:r>
      <w:r w:rsidR="00491552">
        <w:t>99</w:t>
      </w:r>
      <w:r w:rsidR="00937895">
        <w:t xml:space="preserve"> with the addition of the Westwood branch</w:t>
      </w:r>
      <w:r w:rsidRPr="00F31693">
        <w:t xml:space="preserve">. All </w:t>
      </w:r>
      <w:r w:rsidR="006473DB">
        <w:t xml:space="preserve">J. Wallace </w:t>
      </w:r>
      <w:r w:rsidRPr="00F31693">
        <w:t xml:space="preserve">branches </w:t>
      </w:r>
      <w:proofErr w:type="gramStart"/>
      <w:r w:rsidRPr="00F31693">
        <w:t>are located in</w:t>
      </w:r>
      <w:proofErr w:type="gramEnd"/>
      <w:r w:rsidRPr="00F31693">
        <w:t xml:space="preserve"> both HIDTA / HIFCA </w:t>
      </w:r>
      <w:proofErr w:type="gramStart"/>
      <w:r w:rsidRPr="00F31693">
        <w:t>zone</w:t>
      </w:r>
      <w:proofErr w:type="gramEnd"/>
      <w:r w:rsidRPr="00F31693">
        <w:t xml:space="preserve">. HIFCA stands for High Intensity Financial Crime Area. HIDTA stands for High Intensity Drug Trafficking Areas. HIFCA areas were created through legislation as a means of concentrating law enforcement efforts at the federal, state, and local levels in high intensity money laundering zones. The number of branches located in HIDTA/HIFCA zones has not changed since </w:t>
      </w:r>
      <w:proofErr w:type="gramStart"/>
      <w:r w:rsidRPr="00F31693">
        <w:t>last</w:t>
      </w:r>
      <w:proofErr w:type="gramEnd"/>
      <w:r w:rsidRPr="00F31693">
        <w:t xml:space="preserve"> assessment period. </w:t>
      </w:r>
      <w:r w:rsidR="006473DB">
        <w:t xml:space="preserve">J. Wallace </w:t>
      </w:r>
      <w:r w:rsidRPr="00F31693">
        <w:t>provides deposit, retail banking and commercial banking.</w:t>
      </w:r>
    </w:p>
    <w:p w14:paraId="10B35D16" w14:textId="02044793" w:rsidR="00A95E97" w:rsidRPr="00F31693" w:rsidRDefault="00BA4963" w:rsidP="00A95E97">
      <w:r w:rsidRPr="00F31693">
        <w:t xml:space="preserve">The Bank’s </w:t>
      </w:r>
      <w:r w:rsidR="00491552">
        <w:t>99</w:t>
      </w:r>
      <w:r w:rsidR="00A95E97" w:rsidRPr="00F31693">
        <w:t xml:space="preserve"> branch offices </w:t>
      </w:r>
      <w:proofErr w:type="gramStart"/>
      <w:r w:rsidR="00A95E97" w:rsidRPr="00F31693">
        <w:t>are located in</w:t>
      </w:r>
      <w:proofErr w:type="gramEnd"/>
      <w:r w:rsidR="00A95E97" w:rsidRPr="00F31693">
        <w:t xml:space="preserve"> 4 Northern NJ Counties</w:t>
      </w:r>
      <w:r w:rsidR="00516A36" w:rsidRPr="00F31693">
        <w:t>:</w:t>
      </w:r>
      <w:r w:rsidR="00A95E97" w:rsidRPr="00F31693">
        <w:t xml:space="preserve"> Bergen, Hudson, Passaic and Essex Counties. The bank has considered the areas serviced by its offices and areas of its customers’ residences and business locations. Comprehensive training for all departments was completed during the year with these factors in mind. </w:t>
      </w:r>
    </w:p>
    <w:p w14:paraId="4C06D0C9" w14:textId="77777777" w:rsidR="00A95E97" w:rsidRPr="00F31693" w:rsidRDefault="00A95E97" w:rsidP="00A95E97">
      <w:r w:rsidRPr="00F31693">
        <w:t xml:space="preserve">The </w:t>
      </w:r>
      <w:proofErr w:type="gramStart"/>
      <w:r w:rsidRPr="00F31693">
        <w:t>uses</w:t>
      </w:r>
      <w:proofErr w:type="gramEnd"/>
      <w:r w:rsidRPr="00F31693">
        <w:t xml:space="preserve"> of the Patriot Officer Automated Anti-Money Laundering System and employee training have increased awareness and detection of suspicious </w:t>
      </w:r>
      <w:proofErr w:type="gramStart"/>
      <w:r w:rsidRPr="00F31693">
        <w:t>activity</w:t>
      </w:r>
      <w:proofErr w:type="gramEnd"/>
      <w:r w:rsidRPr="00F31693">
        <w:t xml:space="preserve"> but the </w:t>
      </w:r>
      <w:r w:rsidR="00A9175B" w:rsidRPr="00F31693">
        <w:t xml:space="preserve">Bank’s inherent risk </w:t>
      </w:r>
      <w:r w:rsidRPr="00F31693">
        <w:t xml:space="preserve">remains </w:t>
      </w:r>
      <w:r w:rsidRPr="00F31693">
        <w:rPr>
          <w:b/>
        </w:rPr>
        <w:t>High</w:t>
      </w:r>
      <w:r w:rsidRPr="00F31693">
        <w:t xml:space="preserve"> due to the area designations.</w:t>
      </w:r>
    </w:p>
    <w:p w14:paraId="3C849DEA" w14:textId="77777777" w:rsidR="00A95E97" w:rsidRPr="00F31693" w:rsidRDefault="00A95E97" w:rsidP="00A95E97">
      <w:pPr>
        <w:rPr>
          <w:b/>
        </w:rPr>
      </w:pPr>
      <w:r w:rsidRPr="00F31693">
        <w:rPr>
          <w:b/>
        </w:rPr>
        <w:t>Overseas Branches/Parallel Banking</w:t>
      </w:r>
    </w:p>
    <w:p w14:paraId="46AAED41" w14:textId="2AC9F0AE" w:rsidR="00A95E97" w:rsidRPr="00F31693" w:rsidRDefault="006473DB" w:rsidP="00A95E97">
      <w:r>
        <w:t xml:space="preserve">J. Wallace </w:t>
      </w:r>
      <w:r w:rsidR="00A95E97" w:rsidRPr="00F31693">
        <w:t xml:space="preserve">does not have overseas branches, nor does it maintain any Parallel Banking relationships. Management does not seek to open any overseas branches </w:t>
      </w:r>
      <w:proofErr w:type="gramStart"/>
      <w:r w:rsidR="00A95E97" w:rsidRPr="00F31693">
        <w:t>at this time</w:t>
      </w:r>
      <w:proofErr w:type="gramEnd"/>
      <w:r w:rsidR="00A95E97" w:rsidRPr="00F31693">
        <w:t xml:space="preserve"> or enter into any parallel banking relationships.</w:t>
      </w:r>
    </w:p>
    <w:p w14:paraId="265CA8E3" w14:textId="77777777" w:rsidR="00A95E97" w:rsidRPr="00F31693" w:rsidRDefault="00A95E97" w:rsidP="00A95E97">
      <w:pPr>
        <w:rPr>
          <w:b/>
        </w:rPr>
      </w:pPr>
      <w:r w:rsidRPr="00F31693">
        <w:rPr>
          <w:b/>
        </w:rPr>
        <w:t xml:space="preserve">Mergers &amp; </w:t>
      </w:r>
      <w:r w:rsidR="00EA2E00" w:rsidRPr="00F31693">
        <w:rPr>
          <w:b/>
        </w:rPr>
        <w:t>Acquisitions</w:t>
      </w:r>
    </w:p>
    <w:p w14:paraId="4BC7D0E0" w14:textId="77777777" w:rsidR="00A95E97" w:rsidRPr="00F31693" w:rsidRDefault="00A95E97" w:rsidP="00A95E97">
      <w:r w:rsidRPr="00F31693">
        <w:t xml:space="preserve">There have not been any mergers or acquisitions during the assessment period and management does not foresee any such activity </w:t>
      </w:r>
      <w:proofErr w:type="gramStart"/>
      <w:r w:rsidRPr="00F31693">
        <w:t>in the near future</w:t>
      </w:r>
      <w:proofErr w:type="gramEnd"/>
      <w:r w:rsidRPr="00F31693">
        <w:t>.</w:t>
      </w:r>
    </w:p>
    <w:p w14:paraId="4BA4F4FF" w14:textId="77777777" w:rsidR="00DA24EB" w:rsidRPr="00F31693" w:rsidRDefault="00DA24EB" w:rsidP="00A95E97">
      <w:pPr>
        <w:rPr>
          <w:b/>
        </w:rPr>
      </w:pPr>
      <w:r w:rsidRPr="00F31693">
        <w:rPr>
          <w:b/>
        </w:rPr>
        <w:t>Potential or Pending Legal Proceedings</w:t>
      </w:r>
    </w:p>
    <w:p w14:paraId="1257A964" w14:textId="7CF91A95" w:rsidR="00DA24EB" w:rsidRPr="00F31693" w:rsidRDefault="006113E5" w:rsidP="00A95E97">
      <w:r w:rsidRPr="00F31693">
        <w:t xml:space="preserve">As of June 30, </w:t>
      </w:r>
      <w:proofErr w:type="gramStart"/>
      <w:r w:rsidRPr="00F31693">
        <w:t>2016</w:t>
      </w:r>
      <w:proofErr w:type="gramEnd"/>
      <w:r w:rsidR="00DA24EB" w:rsidRPr="00F31693">
        <w:t xml:space="preserve"> there </w:t>
      </w:r>
      <w:r w:rsidR="00AB4529" w:rsidRPr="00F31693">
        <w:t>is</w:t>
      </w:r>
      <w:r w:rsidR="00DA24EB" w:rsidRPr="00F31693">
        <w:t xml:space="preserve"> no material pending or material potential legal proceeding involving </w:t>
      </w:r>
      <w:r w:rsidR="006473DB">
        <w:t xml:space="preserve">J. Wallace </w:t>
      </w:r>
      <w:r w:rsidR="00DA24EB" w:rsidRPr="00F31693">
        <w:t xml:space="preserve">Financial Corp., </w:t>
      </w:r>
      <w:r w:rsidR="006473DB">
        <w:t xml:space="preserve">J. Wallace </w:t>
      </w:r>
      <w:r w:rsidR="00DA24EB" w:rsidRPr="00F31693">
        <w:t>Bank, or its subsidiaries.</w:t>
      </w:r>
    </w:p>
    <w:p w14:paraId="480A1122" w14:textId="77777777" w:rsidR="00A9210C" w:rsidRPr="00F31693" w:rsidRDefault="00A95E97" w:rsidP="00A95E97">
      <w:r w:rsidRPr="00F31693">
        <w:t xml:space="preserve"> </w:t>
      </w:r>
    </w:p>
    <w:p w14:paraId="45401AD8" w14:textId="77777777" w:rsidR="00A9210C" w:rsidRPr="00F31693" w:rsidRDefault="00A9210C" w:rsidP="00A95E97"/>
    <w:p w14:paraId="4752B3F9" w14:textId="77777777" w:rsidR="007C6F6A" w:rsidRPr="00F31693" w:rsidRDefault="007C6F6A" w:rsidP="00A95E97">
      <w:pPr>
        <w:rPr>
          <w:b/>
        </w:rPr>
      </w:pPr>
    </w:p>
    <w:p w14:paraId="4ACF39B0" w14:textId="77777777" w:rsidR="00A95E97" w:rsidRPr="00F31693" w:rsidRDefault="00A95E97" w:rsidP="00A95E97">
      <w:pPr>
        <w:rPr>
          <w:b/>
        </w:rPr>
      </w:pPr>
      <w:r w:rsidRPr="00F31693">
        <w:rPr>
          <w:b/>
        </w:rPr>
        <w:lastRenderedPageBreak/>
        <w:t>Customer Base</w:t>
      </w:r>
    </w:p>
    <w:p w14:paraId="0AE4F3CD" w14:textId="77777777" w:rsidR="00A95E97" w:rsidRPr="00F31693" w:rsidRDefault="00A95E97" w:rsidP="00A95E97">
      <w:r w:rsidRPr="00F31693">
        <w:t xml:space="preserve">The Bank considered the nature of its customers and the type of account opening activity, longevity of accounts, and transitory nature of its customers.  The Bank has been established as a community Bank since 1911 and supports a growing customer base within its market area. In addition, the commercial lending department has expanded our market area to surrounding states. The Bank has a total of </w:t>
      </w:r>
      <w:r w:rsidR="006113E5" w:rsidRPr="00F31693">
        <w:t>6</w:t>
      </w:r>
      <w:r w:rsidRPr="00F31693">
        <w:t xml:space="preserve"> Non</w:t>
      </w:r>
      <w:r w:rsidR="005E279F" w:rsidRPr="00F31693">
        <w:t>r</w:t>
      </w:r>
      <w:r w:rsidRPr="00F31693">
        <w:t>esident Alien account owners</w:t>
      </w:r>
      <w:r w:rsidR="00B779EA" w:rsidRPr="00F31693">
        <w:t xml:space="preserve"> with </w:t>
      </w:r>
      <w:r w:rsidR="006113E5" w:rsidRPr="00F31693">
        <w:t>6</w:t>
      </w:r>
      <w:r w:rsidR="00B779EA" w:rsidRPr="00F31693">
        <w:t xml:space="preserve"> total accounts</w:t>
      </w:r>
      <w:r w:rsidRPr="00F31693">
        <w:t>. These accounts are opened only when prescribed written criteria are met but some degree of growth would have no effect on our risk.</w:t>
      </w:r>
      <w:r w:rsidR="002E66C8" w:rsidRPr="00F31693">
        <w:t xml:space="preserve"> </w:t>
      </w:r>
      <w:r w:rsidRPr="00F31693">
        <w:t xml:space="preserve">Despite this growth and expansion our risk exposure remains as </w:t>
      </w:r>
      <w:r w:rsidRPr="00F31693">
        <w:rPr>
          <w:b/>
        </w:rPr>
        <w:t>Moderate</w:t>
      </w:r>
      <w:r w:rsidRPr="00F31693">
        <w:t>.</w:t>
      </w:r>
    </w:p>
    <w:p w14:paraId="0C69B14E" w14:textId="2B5CF38F" w:rsidR="00A95E97" w:rsidRPr="00F31693" w:rsidRDefault="00A95E97" w:rsidP="00A95E97">
      <w:r w:rsidRPr="00F31693">
        <w:t xml:space="preserve">As of </w:t>
      </w:r>
      <w:r w:rsidR="006113E5" w:rsidRPr="00F31693">
        <w:t>6/30/2016</w:t>
      </w:r>
      <w:r w:rsidRPr="00F31693">
        <w:t xml:space="preserve">, </w:t>
      </w:r>
      <w:r w:rsidR="00491552">
        <w:t xml:space="preserve">J. Wallace Bank’s </w:t>
      </w:r>
      <w:r w:rsidRPr="00F31693">
        <w:t xml:space="preserve">deposit customer base consisted of </w:t>
      </w:r>
      <w:r w:rsidR="009710A2" w:rsidRPr="00F31693">
        <w:t>18,</w:t>
      </w:r>
      <w:r w:rsidR="006113E5" w:rsidRPr="00F31693">
        <w:t>960</w:t>
      </w:r>
      <w:r w:rsidR="009710A2" w:rsidRPr="00F31693">
        <w:t xml:space="preserve"> </w:t>
      </w:r>
      <w:r w:rsidR="00751355" w:rsidRPr="00F31693">
        <w:t>C</w:t>
      </w:r>
      <w:r w:rsidRPr="00F31693">
        <w:t xml:space="preserve">onsumer and </w:t>
      </w:r>
      <w:r w:rsidR="006113E5" w:rsidRPr="00F31693">
        <w:t>4</w:t>
      </w:r>
      <w:r w:rsidR="009710A2" w:rsidRPr="00F31693">
        <w:t>,</w:t>
      </w:r>
      <w:r w:rsidR="006113E5" w:rsidRPr="00F31693">
        <w:t>267</w:t>
      </w:r>
      <w:r w:rsidRPr="00F31693">
        <w:t xml:space="preserve"> </w:t>
      </w:r>
      <w:r w:rsidR="00751355" w:rsidRPr="00F31693">
        <w:t>B</w:t>
      </w:r>
      <w:r w:rsidRPr="00F31693">
        <w:t>usiness</w:t>
      </w:r>
      <w:r w:rsidR="00751355" w:rsidRPr="00F31693">
        <w:t xml:space="preserve"> &amp; Non-Personal accounts</w:t>
      </w:r>
      <w:r w:rsidRPr="00F31693">
        <w:t>. The total balance for consumer accounts was $</w:t>
      </w:r>
      <w:r w:rsidR="009E6402" w:rsidRPr="00F31693">
        <w:t>1,</w:t>
      </w:r>
      <w:r w:rsidR="00AC056B" w:rsidRPr="00F31693">
        <w:t>625,482,189.00</w:t>
      </w:r>
      <w:r w:rsidRPr="00F31693">
        <w:t xml:space="preserve"> and $</w:t>
      </w:r>
      <w:r w:rsidR="00AC056B" w:rsidRPr="00F31693">
        <w:t>634,517,108.00</w:t>
      </w:r>
      <w:r w:rsidRPr="00F31693">
        <w:t xml:space="preserve"> for business accounts.</w:t>
      </w:r>
    </w:p>
    <w:p w14:paraId="4DC3A8CB" w14:textId="77777777" w:rsidR="00A95E97" w:rsidRPr="00F31693" w:rsidRDefault="00A95E97" w:rsidP="00A95E97">
      <w:r w:rsidRPr="00F31693">
        <w:t>Although, there is a m</w:t>
      </w:r>
      <w:r w:rsidR="00144761" w:rsidRPr="00F31693">
        <w:t>o</w:t>
      </w:r>
      <w:r w:rsidRPr="00F31693">
        <w:t xml:space="preserve">derate </w:t>
      </w:r>
      <w:r w:rsidR="009E6402" w:rsidRPr="00F31693">
        <w:t>dec</w:t>
      </w:r>
      <w:r w:rsidRPr="00F31693">
        <w:t xml:space="preserve">rease in customer growth from last assessment period, BSA staff </w:t>
      </w:r>
      <w:r w:rsidR="009E6402" w:rsidRPr="00F31693">
        <w:t>remains</w:t>
      </w:r>
      <w:r w:rsidR="00144761" w:rsidRPr="00F31693">
        <w:t xml:space="preserve"> </w:t>
      </w:r>
      <w:r w:rsidRPr="00F31693">
        <w:t xml:space="preserve">sufficiently staffed to identify, </w:t>
      </w:r>
      <w:proofErr w:type="gramStart"/>
      <w:r w:rsidRPr="00F31693">
        <w:t>research</w:t>
      </w:r>
      <w:proofErr w:type="gramEnd"/>
      <w:r w:rsidRPr="00F31693">
        <w:t xml:space="preserve"> and report suspicious activities taking into consideration the bank’s overall risk profile and the volume of transactions.</w:t>
      </w:r>
    </w:p>
    <w:tbl>
      <w:tblPr>
        <w:tblW w:w="2751" w:type="dxa"/>
        <w:tblInd w:w="95" w:type="dxa"/>
        <w:tblLook w:val="04A0" w:firstRow="1" w:lastRow="0" w:firstColumn="1" w:lastColumn="0" w:noHBand="0" w:noVBand="1"/>
      </w:tblPr>
      <w:tblGrid>
        <w:gridCol w:w="663"/>
        <w:gridCol w:w="1209"/>
        <w:gridCol w:w="879"/>
      </w:tblGrid>
      <w:tr w:rsidR="009E6402" w:rsidRPr="00F31693" w14:paraId="57ACA9F7" w14:textId="77777777" w:rsidTr="009E6402">
        <w:trPr>
          <w:trHeight w:val="195"/>
        </w:trPr>
        <w:tc>
          <w:tcPr>
            <w:tcW w:w="2751" w:type="dxa"/>
            <w:gridSpan w:val="3"/>
            <w:tcBorders>
              <w:top w:val="nil"/>
              <w:left w:val="nil"/>
              <w:bottom w:val="nil"/>
              <w:right w:val="nil"/>
            </w:tcBorders>
            <w:shd w:val="clear" w:color="auto" w:fill="auto"/>
            <w:noWrap/>
            <w:vAlign w:val="bottom"/>
            <w:hideMark/>
          </w:tcPr>
          <w:p w14:paraId="662F5B12" w14:textId="77777777" w:rsidR="008E2D4D" w:rsidRPr="00F31693" w:rsidRDefault="009E6402" w:rsidP="009E6402">
            <w:pPr>
              <w:spacing w:after="0" w:line="240" w:lineRule="auto"/>
              <w:jc w:val="center"/>
              <w:rPr>
                <w:rFonts w:ascii="Calibri" w:eastAsia="Times New Roman" w:hAnsi="Calibri" w:cs="Arial"/>
                <w:b/>
                <w:bCs/>
                <w:u w:val="single"/>
              </w:rPr>
            </w:pPr>
            <w:r w:rsidRPr="00F31693">
              <w:rPr>
                <w:rFonts w:ascii="Calibri" w:eastAsia="Times New Roman" w:hAnsi="Calibri" w:cs="Arial"/>
                <w:b/>
                <w:bCs/>
                <w:u w:val="single"/>
              </w:rPr>
              <w:t>Number of Transactional Accounts</w:t>
            </w:r>
          </w:p>
          <w:p w14:paraId="41C5ADE3" w14:textId="77777777" w:rsidR="009E6402" w:rsidRPr="00F31693" w:rsidRDefault="009E6402" w:rsidP="009E6402">
            <w:pPr>
              <w:spacing w:after="0" w:line="240" w:lineRule="auto"/>
              <w:jc w:val="center"/>
              <w:rPr>
                <w:rFonts w:ascii="Calibri" w:eastAsia="Times New Roman" w:hAnsi="Calibri" w:cs="Arial"/>
                <w:b/>
                <w:bCs/>
              </w:rPr>
            </w:pPr>
            <w:r w:rsidRPr="00F31693">
              <w:rPr>
                <w:rFonts w:ascii="Calibri" w:eastAsia="Times New Roman" w:hAnsi="Calibri" w:cs="Arial"/>
                <w:b/>
                <w:bCs/>
              </w:rPr>
              <w:t xml:space="preserve"> </w:t>
            </w:r>
          </w:p>
        </w:tc>
      </w:tr>
      <w:tr w:rsidR="009E6402" w:rsidRPr="00F31693" w14:paraId="770097B1" w14:textId="77777777" w:rsidTr="009E6402">
        <w:trPr>
          <w:trHeight w:val="195"/>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15408" w14:textId="77777777" w:rsidR="009E6402" w:rsidRPr="00F31693" w:rsidRDefault="009E6402" w:rsidP="009E6402">
            <w:pPr>
              <w:spacing w:after="0" w:line="240" w:lineRule="auto"/>
              <w:jc w:val="center"/>
              <w:rPr>
                <w:rFonts w:ascii="Calibri" w:eastAsia="Times New Roman" w:hAnsi="Calibri" w:cs="Arial"/>
                <w:b/>
                <w:bCs/>
              </w:rPr>
            </w:pPr>
            <w:r w:rsidRPr="00F31693">
              <w:rPr>
                <w:rFonts w:ascii="Calibri" w:eastAsia="Times New Roman" w:hAnsi="Calibri" w:cs="Arial"/>
                <w:b/>
                <w:bCs/>
              </w:rPr>
              <w:t>201</w:t>
            </w:r>
            <w:r w:rsidR="00FF7C49" w:rsidRPr="00F31693">
              <w:rPr>
                <w:rFonts w:ascii="Calibri" w:eastAsia="Times New Roman" w:hAnsi="Calibri" w:cs="Arial"/>
                <w:b/>
                <w:bCs/>
              </w:rPr>
              <w:t>6</w:t>
            </w:r>
          </w:p>
        </w:tc>
        <w:tc>
          <w:tcPr>
            <w:tcW w:w="1209" w:type="dxa"/>
            <w:tcBorders>
              <w:top w:val="single" w:sz="4" w:space="0" w:color="auto"/>
              <w:left w:val="nil"/>
              <w:bottom w:val="single" w:sz="4" w:space="0" w:color="auto"/>
              <w:right w:val="single" w:sz="4" w:space="0" w:color="auto"/>
            </w:tcBorders>
            <w:shd w:val="clear" w:color="auto" w:fill="auto"/>
            <w:noWrap/>
            <w:vAlign w:val="bottom"/>
            <w:hideMark/>
          </w:tcPr>
          <w:p w14:paraId="4C016E94" w14:textId="77777777" w:rsidR="009E6402" w:rsidRPr="00F31693" w:rsidRDefault="00FF7C49" w:rsidP="00FF7C49">
            <w:pPr>
              <w:spacing w:after="0" w:line="240" w:lineRule="auto"/>
              <w:jc w:val="center"/>
              <w:rPr>
                <w:rFonts w:ascii="Calibri" w:eastAsia="Times New Roman" w:hAnsi="Calibri" w:cs="Arial"/>
              </w:rPr>
            </w:pPr>
            <w:r w:rsidRPr="00F31693">
              <w:rPr>
                <w:rFonts w:ascii="Calibri" w:eastAsia="Times New Roman" w:hAnsi="Calibri" w:cs="Arial"/>
              </w:rPr>
              <w:t>31841</w:t>
            </w:r>
            <w:r w:rsidR="009E6402" w:rsidRPr="00F31693">
              <w:rPr>
                <w:rFonts w:ascii="Calibri" w:eastAsia="Times New Roman" w:hAnsi="Calibri" w:cs="Arial"/>
              </w:rPr>
              <w:t xml:space="preserve">     </w:t>
            </w:r>
          </w:p>
        </w:tc>
        <w:tc>
          <w:tcPr>
            <w:tcW w:w="879" w:type="dxa"/>
            <w:tcBorders>
              <w:top w:val="nil"/>
              <w:left w:val="nil"/>
              <w:bottom w:val="nil"/>
              <w:right w:val="nil"/>
            </w:tcBorders>
            <w:shd w:val="clear" w:color="auto" w:fill="auto"/>
            <w:noWrap/>
            <w:vAlign w:val="bottom"/>
            <w:hideMark/>
          </w:tcPr>
          <w:p w14:paraId="6DFBFC07" w14:textId="77777777" w:rsidR="009E6402" w:rsidRPr="00F31693" w:rsidRDefault="009E6402" w:rsidP="009E6402">
            <w:pPr>
              <w:spacing w:after="0" w:line="240" w:lineRule="auto"/>
              <w:jc w:val="center"/>
              <w:rPr>
                <w:rFonts w:ascii="Calibri" w:eastAsia="Times New Roman" w:hAnsi="Calibri" w:cs="Arial"/>
              </w:rPr>
            </w:pPr>
          </w:p>
        </w:tc>
      </w:tr>
      <w:tr w:rsidR="009E6402" w:rsidRPr="00F31693" w14:paraId="796FAE6D" w14:textId="77777777" w:rsidTr="009E6402">
        <w:trPr>
          <w:trHeight w:val="195"/>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C86AF1" w14:textId="77777777" w:rsidR="009E6402" w:rsidRPr="00F31693" w:rsidRDefault="009E6402" w:rsidP="009E6402">
            <w:pPr>
              <w:spacing w:after="0" w:line="240" w:lineRule="auto"/>
              <w:jc w:val="center"/>
              <w:rPr>
                <w:rFonts w:ascii="Calibri" w:eastAsia="Times New Roman" w:hAnsi="Calibri" w:cs="Arial"/>
                <w:b/>
                <w:bCs/>
              </w:rPr>
            </w:pPr>
            <w:r w:rsidRPr="00F31693">
              <w:rPr>
                <w:rFonts w:ascii="Calibri" w:eastAsia="Times New Roman" w:hAnsi="Calibri" w:cs="Arial"/>
                <w:b/>
                <w:bCs/>
              </w:rPr>
              <w:t>201</w:t>
            </w:r>
            <w:r w:rsidR="00FF7C49" w:rsidRPr="00F31693">
              <w:rPr>
                <w:rFonts w:ascii="Calibri" w:eastAsia="Times New Roman" w:hAnsi="Calibri" w:cs="Arial"/>
                <w:b/>
                <w:bCs/>
              </w:rPr>
              <w:t>5</w:t>
            </w:r>
          </w:p>
        </w:tc>
        <w:tc>
          <w:tcPr>
            <w:tcW w:w="1209" w:type="dxa"/>
            <w:tcBorders>
              <w:top w:val="nil"/>
              <w:left w:val="nil"/>
              <w:bottom w:val="single" w:sz="4" w:space="0" w:color="auto"/>
              <w:right w:val="single" w:sz="4" w:space="0" w:color="auto"/>
            </w:tcBorders>
            <w:shd w:val="clear" w:color="auto" w:fill="auto"/>
            <w:noWrap/>
            <w:vAlign w:val="bottom"/>
            <w:hideMark/>
          </w:tcPr>
          <w:p w14:paraId="5FBB9350" w14:textId="77777777" w:rsidR="009E6402" w:rsidRPr="00F31693" w:rsidRDefault="00FF7C49" w:rsidP="00FF7C49">
            <w:pPr>
              <w:spacing w:after="0" w:line="240" w:lineRule="auto"/>
              <w:jc w:val="center"/>
              <w:rPr>
                <w:rFonts w:ascii="Calibri" w:eastAsia="Times New Roman" w:hAnsi="Calibri" w:cs="Arial"/>
              </w:rPr>
            </w:pPr>
            <w:r w:rsidRPr="00F31693">
              <w:rPr>
                <w:rFonts w:ascii="Calibri" w:eastAsia="Times New Roman" w:hAnsi="Calibri" w:cs="Arial"/>
              </w:rPr>
              <w:t>32489</w:t>
            </w:r>
            <w:r w:rsidR="009E6402" w:rsidRPr="00F31693">
              <w:rPr>
                <w:rFonts w:ascii="Calibri" w:eastAsia="Times New Roman" w:hAnsi="Calibri" w:cs="Arial"/>
              </w:rPr>
              <w:t xml:space="preserve">     </w:t>
            </w:r>
          </w:p>
        </w:tc>
        <w:tc>
          <w:tcPr>
            <w:tcW w:w="879" w:type="dxa"/>
            <w:tcBorders>
              <w:top w:val="nil"/>
              <w:left w:val="nil"/>
              <w:bottom w:val="nil"/>
              <w:right w:val="nil"/>
            </w:tcBorders>
            <w:shd w:val="clear" w:color="auto" w:fill="auto"/>
            <w:noWrap/>
            <w:vAlign w:val="bottom"/>
            <w:hideMark/>
          </w:tcPr>
          <w:p w14:paraId="3A0F5654" w14:textId="77777777" w:rsidR="009E6402" w:rsidRPr="00F31693" w:rsidRDefault="009E6402" w:rsidP="009E6402">
            <w:pPr>
              <w:spacing w:after="0" w:line="240" w:lineRule="auto"/>
              <w:jc w:val="center"/>
              <w:rPr>
                <w:rFonts w:ascii="Calibri" w:eastAsia="Times New Roman" w:hAnsi="Calibri" w:cs="Arial"/>
              </w:rPr>
            </w:pPr>
          </w:p>
        </w:tc>
      </w:tr>
      <w:tr w:rsidR="009E6402" w:rsidRPr="00F31693" w14:paraId="296F8567" w14:textId="77777777" w:rsidTr="009E6402">
        <w:trPr>
          <w:trHeight w:val="195"/>
        </w:trPr>
        <w:tc>
          <w:tcPr>
            <w:tcW w:w="663" w:type="dxa"/>
            <w:tcBorders>
              <w:top w:val="nil"/>
              <w:left w:val="nil"/>
              <w:bottom w:val="nil"/>
              <w:right w:val="nil"/>
            </w:tcBorders>
            <w:shd w:val="clear" w:color="auto" w:fill="auto"/>
            <w:noWrap/>
            <w:vAlign w:val="bottom"/>
            <w:hideMark/>
          </w:tcPr>
          <w:p w14:paraId="4C838A9A" w14:textId="77777777" w:rsidR="009E6402" w:rsidRPr="00F31693" w:rsidRDefault="009E6402" w:rsidP="009E6402">
            <w:pPr>
              <w:spacing w:after="0" w:line="240" w:lineRule="auto"/>
              <w:jc w:val="center"/>
              <w:rPr>
                <w:rFonts w:ascii="Calibri" w:eastAsia="Times New Roman" w:hAnsi="Calibri" w:cs="Arial"/>
              </w:rPr>
            </w:pPr>
          </w:p>
        </w:tc>
        <w:tc>
          <w:tcPr>
            <w:tcW w:w="1209" w:type="dxa"/>
            <w:tcBorders>
              <w:top w:val="nil"/>
              <w:left w:val="single" w:sz="4" w:space="0" w:color="auto"/>
              <w:bottom w:val="single" w:sz="4" w:space="0" w:color="auto"/>
              <w:right w:val="single" w:sz="4" w:space="0" w:color="auto"/>
            </w:tcBorders>
            <w:shd w:val="clear" w:color="000000" w:fill="FFFF00"/>
            <w:noWrap/>
            <w:vAlign w:val="bottom"/>
            <w:hideMark/>
          </w:tcPr>
          <w:p w14:paraId="6D690B49" w14:textId="77777777" w:rsidR="009E6402" w:rsidRPr="00F31693" w:rsidRDefault="00FF7C49" w:rsidP="00FF7C49">
            <w:pPr>
              <w:spacing w:after="0" w:line="240" w:lineRule="auto"/>
              <w:jc w:val="center"/>
              <w:rPr>
                <w:rFonts w:ascii="Calibri" w:eastAsia="Times New Roman" w:hAnsi="Calibri" w:cs="Arial"/>
              </w:rPr>
            </w:pPr>
            <w:r w:rsidRPr="00F31693">
              <w:rPr>
                <w:rFonts w:ascii="Calibri" w:eastAsia="Times New Roman" w:hAnsi="Calibri" w:cs="Arial"/>
              </w:rPr>
              <w:t>648</w:t>
            </w:r>
          </w:p>
        </w:tc>
        <w:tc>
          <w:tcPr>
            <w:tcW w:w="879" w:type="dxa"/>
            <w:tcBorders>
              <w:top w:val="single" w:sz="4" w:space="0" w:color="auto"/>
              <w:left w:val="nil"/>
              <w:bottom w:val="single" w:sz="4" w:space="0" w:color="auto"/>
              <w:right w:val="single" w:sz="4" w:space="0" w:color="auto"/>
            </w:tcBorders>
            <w:shd w:val="clear" w:color="000000" w:fill="FFFF00"/>
            <w:noWrap/>
            <w:vAlign w:val="bottom"/>
            <w:hideMark/>
          </w:tcPr>
          <w:p w14:paraId="71E2EB73" w14:textId="77777777" w:rsidR="009E6402" w:rsidRPr="00F31693" w:rsidRDefault="00BE581F" w:rsidP="009E6402">
            <w:pPr>
              <w:spacing w:after="0" w:line="240" w:lineRule="auto"/>
              <w:jc w:val="center"/>
              <w:rPr>
                <w:rFonts w:ascii="Calibri" w:eastAsia="Times New Roman" w:hAnsi="Calibri" w:cs="Arial"/>
              </w:rPr>
            </w:pPr>
            <w:r w:rsidRPr="00F31693">
              <w:rPr>
                <w:rFonts w:ascii="Calibri" w:eastAsia="Times New Roman" w:hAnsi="Calibri" w:cs="Arial"/>
              </w:rPr>
              <w:t>-</w:t>
            </w:r>
            <w:r w:rsidR="00FF7C49" w:rsidRPr="00F31693">
              <w:rPr>
                <w:rFonts w:ascii="Calibri" w:eastAsia="Times New Roman" w:hAnsi="Calibri" w:cs="Arial"/>
              </w:rPr>
              <w:t>1.99%</w:t>
            </w:r>
          </w:p>
        </w:tc>
      </w:tr>
    </w:tbl>
    <w:p w14:paraId="365D862D" w14:textId="77777777" w:rsidR="009E6402" w:rsidRPr="00F31693" w:rsidRDefault="009E6402" w:rsidP="00A95E97"/>
    <w:tbl>
      <w:tblPr>
        <w:tblW w:w="8812" w:type="dxa"/>
        <w:tblInd w:w="95" w:type="dxa"/>
        <w:tblLook w:val="04A0" w:firstRow="1" w:lastRow="0" w:firstColumn="1" w:lastColumn="0" w:noHBand="0" w:noVBand="1"/>
      </w:tblPr>
      <w:tblGrid>
        <w:gridCol w:w="1400"/>
        <w:gridCol w:w="204"/>
        <w:gridCol w:w="1565"/>
        <w:gridCol w:w="117"/>
        <w:gridCol w:w="1317"/>
        <w:gridCol w:w="569"/>
        <w:gridCol w:w="797"/>
        <w:gridCol w:w="930"/>
        <w:gridCol w:w="1913"/>
      </w:tblGrid>
      <w:tr w:rsidR="00560391" w:rsidRPr="00F31693" w14:paraId="6ADD8F4B" w14:textId="77777777" w:rsidTr="009E6402">
        <w:trPr>
          <w:trHeight w:val="195"/>
        </w:trPr>
        <w:tc>
          <w:tcPr>
            <w:tcW w:w="1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F14A4F" w14:textId="77777777" w:rsidR="00560391" w:rsidRPr="00F31693" w:rsidRDefault="00560391" w:rsidP="00560391">
            <w:pPr>
              <w:spacing w:after="0" w:line="240" w:lineRule="auto"/>
              <w:jc w:val="center"/>
              <w:rPr>
                <w:rFonts w:ascii="Calibri" w:eastAsia="Times New Roman" w:hAnsi="Calibri" w:cs="Arial"/>
                <w:b/>
                <w:bCs/>
              </w:rPr>
            </w:pPr>
            <w:r w:rsidRPr="00F31693">
              <w:rPr>
                <w:rFonts w:ascii="Calibri" w:eastAsia="Times New Roman" w:hAnsi="Calibri" w:cs="Arial"/>
                <w:b/>
                <w:bCs/>
              </w:rPr>
              <w:t>Account Type</w:t>
            </w:r>
          </w:p>
        </w:tc>
        <w:tc>
          <w:tcPr>
            <w:tcW w:w="1886" w:type="dxa"/>
            <w:gridSpan w:val="3"/>
            <w:tcBorders>
              <w:top w:val="single" w:sz="4" w:space="0" w:color="auto"/>
              <w:left w:val="nil"/>
              <w:bottom w:val="single" w:sz="4" w:space="0" w:color="auto"/>
              <w:right w:val="single" w:sz="4" w:space="0" w:color="auto"/>
            </w:tcBorders>
            <w:shd w:val="clear" w:color="auto" w:fill="auto"/>
            <w:noWrap/>
            <w:vAlign w:val="bottom"/>
            <w:hideMark/>
          </w:tcPr>
          <w:p w14:paraId="0FBC8A00" w14:textId="77777777" w:rsidR="00560391" w:rsidRPr="00F31693" w:rsidRDefault="00560391" w:rsidP="00560391">
            <w:pPr>
              <w:spacing w:after="0" w:line="240" w:lineRule="auto"/>
              <w:jc w:val="center"/>
              <w:rPr>
                <w:rFonts w:ascii="Calibri" w:eastAsia="Times New Roman" w:hAnsi="Calibri" w:cs="Arial"/>
                <w:b/>
                <w:bCs/>
              </w:rPr>
            </w:pPr>
            <w:r w:rsidRPr="00F31693">
              <w:rPr>
                <w:rFonts w:ascii="Calibri" w:eastAsia="Times New Roman" w:hAnsi="Calibri" w:cs="Arial"/>
                <w:b/>
                <w:bCs/>
              </w:rPr>
              <w:t xml:space="preserve"> FY</w:t>
            </w:r>
            <w:r w:rsidR="00DF49A8">
              <w:rPr>
                <w:rFonts w:ascii="Calibri" w:eastAsia="Times New Roman" w:hAnsi="Calibri" w:cs="Arial"/>
                <w:b/>
                <w:bCs/>
              </w:rPr>
              <w:t>E</w:t>
            </w:r>
            <w:r w:rsidRPr="00F31693">
              <w:rPr>
                <w:rFonts w:ascii="Calibri" w:eastAsia="Times New Roman" w:hAnsi="Calibri" w:cs="Arial"/>
                <w:b/>
                <w:bCs/>
              </w:rPr>
              <w:t xml:space="preserve"> </w:t>
            </w:r>
            <w:r w:rsidR="00E97816" w:rsidRPr="00F31693">
              <w:rPr>
                <w:rFonts w:ascii="Calibri" w:eastAsia="Times New Roman" w:hAnsi="Calibri" w:cs="Arial"/>
                <w:b/>
                <w:bCs/>
              </w:rPr>
              <w:t>2016</w:t>
            </w:r>
          </w:p>
        </w:tc>
        <w:tc>
          <w:tcPr>
            <w:tcW w:w="18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F06D88C" w14:textId="77777777" w:rsidR="00560391" w:rsidRPr="00F31693" w:rsidRDefault="00E97816" w:rsidP="00560391">
            <w:pPr>
              <w:spacing w:after="0" w:line="240" w:lineRule="auto"/>
              <w:jc w:val="center"/>
              <w:rPr>
                <w:rFonts w:ascii="Calibri" w:eastAsia="Times New Roman" w:hAnsi="Calibri" w:cs="Arial"/>
                <w:b/>
                <w:bCs/>
              </w:rPr>
            </w:pPr>
            <w:r w:rsidRPr="00F31693">
              <w:rPr>
                <w:rFonts w:ascii="Calibri" w:eastAsia="Times New Roman" w:hAnsi="Calibri" w:cs="Arial"/>
                <w:b/>
                <w:bCs/>
              </w:rPr>
              <w:t>FY</w:t>
            </w:r>
            <w:r w:rsidR="00DF49A8">
              <w:rPr>
                <w:rFonts w:ascii="Calibri" w:eastAsia="Times New Roman" w:hAnsi="Calibri" w:cs="Arial"/>
                <w:b/>
                <w:bCs/>
              </w:rPr>
              <w:t>E</w:t>
            </w:r>
            <w:r w:rsidRPr="00F31693">
              <w:rPr>
                <w:rFonts w:ascii="Calibri" w:eastAsia="Times New Roman" w:hAnsi="Calibri" w:cs="Arial"/>
                <w:b/>
                <w:bCs/>
              </w:rPr>
              <w:t xml:space="preserve"> 2015</w:t>
            </w:r>
          </w:p>
        </w:tc>
        <w:tc>
          <w:tcPr>
            <w:tcW w:w="17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4AE55B0" w14:textId="77777777" w:rsidR="00560391" w:rsidRPr="00F31693" w:rsidRDefault="00560391" w:rsidP="00560391">
            <w:pPr>
              <w:spacing w:after="0" w:line="240" w:lineRule="auto"/>
              <w:jc w:val="center"/>
              <w:rPr>
                <w:rFonts w:ascii="Calibri" w:eastAsia="Times New Roman" w:hAnsi="Calibri" w:cs="Arial"/>
                <w:b/>
                <w:bCs/>
              </w:rPr>
            </w:pPr>
            <w:r w:rsidRPr="00F31693">
              <w:rPr>
                <w:rFonts w:ascii="Calibri" w:eastAsia="Times New Roman" w:hAnsi="Calibri" w:cs="Arial"/>
                <w:b/>
                <w:bCs/>
              </w:rPr>
              <w:t>Difference</w:t>
            </w:r>
          </w:p>
        </w:tc>
        <w:tc>
          <w:tcPr>
            <w:tcW w:w="1913" w:type="dxa"/>
            <w:tcBorders>
              <w:top w:val="single" w:sz="4" w:space="0" w:color="auto"/>
              <w:left w:val="nil"/>
              <w:bottom w:val="single" w:sz="4" w:space="0" w:color="auto"/>
              <w:right w:val="single" w:sz="4" w:space="0" w:color="auto"/>
            </w:tcBorders>
            <w:shd w:val="clear" w:color="auto" w:fill="auto"/>
            <w:noWrap/>
            <w:vAlign w:val="bottom"/>
            <w:hideMark/>
          </w:tcPr>
          <w:p w14:paraId="3F1A312E" w14:textId="77777777" w:rsidR="00560391" w:rsidRPr="00F31693" w:rsidRDefault="00560391" w:rsidP="00560391">
            <w:pPr>
              <w:spacing w:after="0" w:line="240" w:lineRule="auto"/>
              <w:jc w:val="center"/>
              <w:rPr>
                <w:rFonts w:ascii="Calibri" w:eastAsia="Times New Roman" w:hAnsi="Calibri" w:cs="Arial"/>
                <w:b/>
                <w:bCs/>
              </w:rPr>
            </w:pPr>
            <w:r w:rsidRPr="00F31693">
              <w:rPr>
                <w:rFonts w:ascii="Calibri" w:eastAsia="Times New Roman" w:hAnsi="Calibri" w:cs="Arial"/>
                <w:b/>
                <w:bCs/>
              </w:rPr>
              <w:t xml:space="preserve"> % Increase/Decrease </w:t>
            </w:r>
          </w:p>
        </w:tc>
      </w:tr>
      <w:tr w:rsidR="00560391" w:rsidRPr="00F31693" w14:paraId="0326C0BE" w14:textId="77777777" w:rsidTr="009E6402">
        <w:trPr>
          <w:trHeight w:val="19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F2B6D" w14:textId="77777777" w:rsidR="00560391" w:rsidRPr="00F31693" w:rsidRDefault="00560391" w:rsidP="00560391">
            <w:pPr>
              <w:spacing w:after="0" w:line="240" w:lineRule="auto"/>
              <w:jc w:val="center"/>
              <w:rPr>
                <w:rFonts w:ascii="Calibri" w:eastAsia="Times New Roman" w:hAnsi="Calibri" w:cs="Arial"/>
                <w:b/>
                <w:bCs/>
              </w:rPr>
            </w:pPr>
            <w:r w:rsidRPr="00F31693">
              <w:rPr>
                <w:rFonts w:ascii="Calibri" w:eastAsia="Times New Roman" w:hAnsi="Calibri" w:cs="Arial"/>
                <w:b/>
                <w:bCs/>
              </w:rPr>
              <w:t xml:space="preserve"> Savings </w:t>
            </w:r>
          </w:p>
        </w:tc>
        <w:tc>
          <w:tcPr>
            <w:tcW w:w="1886" w:type="dxa"/>
            <w:gridSpan w:val="3"/>
            <w:tcBorders>
              <w:top w:val="nil"/>
              <w:left w:val="nil"/>
              <w:bottom w:val="single" w:sz="4" w:space="0" w:color="auto"/>
              <w:right w:val="single" w:sz="4" w:space="0" w:color="auto"/>
            </w:tcBorders>
            <w:shd w:val="clear" w:color="auto" w:fill="auto"/>
            <w:noWrap/>
            <w:vAlign w:val="bottom"/>
            <w:hideMark/>
          </w:tcPr>
          <w:p w14:paraId="36C1E61D" w14:textId="77777777" w:rsidR="00E97816" w:rsidRPr="00F31693" w:rsidRDefault="00E97816" w:rsidP="00E97816">
            <w:pPr>
              <w:spacing w:after="0" w:line="240" w:lineRule="auto"/>
              <w:jc w:val="center"/>
              <w:rPr>
                <w:rFonts w:ascii="Calibri" w:eastAsia="Times New Roman" w:hAnsi="Calibri" w:cs="Arial"/>
              </w:rPr>
            </w:pPr>
            <w:r w:rsidRPr="00F31693">
              <w:rPr>
                <w:rFonts w:ascii="Calibri" w:eastAsia="Times New Roman" w:hAnsi="Calibri" w:cs="Arial"/>
              </w:rPr>
              <w:t>$165,623,337</w:t>
            </w:r>
          </w:p>
        </w:tc>
        <w:tc>
          <w:tcPr>
            <w:tcW w:w="18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A5C77E"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$160,020,589.13</w:t>
            </w:r>
          </w:p>
        </w:tc>
        <w:tc>
          <w:tcPr>
            <w:tcW w:w="1727" w:type="dxa"/>
            <w:gridSpan w:val="2"/>
            <w:tcBorders>
              <w:top w:val="nil"/>
              <w:left w:val="nil"/>
              <w:bottom w:val="single" w:sz="4" w:space="0" w:color="auto"/>
              <w:right w:val="single" w:sz="4" w:space="0" w:color="auto"/>
            </w:tcBorders>
            <w:shd w:val="clear" w:color="auto" w:fill="auto"/>
            <w:noWrap/>
            <w:vAlign w:val="bottom"/>
            <w:hideMark/>
          </w:tcPr>
          <w:p w14:paraId="3DE30843"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$5,602,748</w:t>
            </w:r>
          </w:p>
        </w:tc>
        <w:tc>
          <w:tcPr>
            <w:tcW w:w="1913" w:type="dxa"/>
            <w:tcBorders>
              <w:top w:val="single" w:sz="4" w:space="0" w:color="auto"/>
              <w:left w:val="nil"/>
              <w:bottom w:val="single" w:sz="4" w:space="0" w:color="auto"/>
              <w:right w:val="single" w:sz="4" w:space="0" w:color="auto"/>
            </w:tcBorders>
            <w:shd w:val="clear" w:color="auto" w:fill="auto"/>
            <w:noWrap/>
            <w:vAlign w:val="bottom"/>
            <w:hideMark/>
          </w:tcPr>
          <w:p w14:paraId="49C0C3DD"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3.38%</w:t>
            </w:r>
          </w:p>
        </w:tc>
      </w:tr>
      <w:tr w:rsidR="00560391" w:rsidRPr="00F31693" w14:paraId="5E86F0B2" w14:textId="77777777" w:rsidTr="009E6402">
        <w:trPr>
          <w:trHeight w:val="19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CE922" w14:textId="77777777" w:rsidR="00560391" w:rsidRPr="00F31693" w:rsidRDefault="00560391" w:rsidP="00560391">
            <w:pPr>
              <w:spacing w:after="0" w:line="240" w:lineRule="auto"/>
              <w:jc w:val="center"/>
              <w:rPr>
                <w:rFonts w:ascii="Calibri" w:eastAsia="Times New Roman" w:hAnsi="Calibri" w:cs="Arial"/>
                <w:b/>
                <w:bCs/>
              </w:rPr>
            </w:pPr>
            <w:r w:rsidRPr="00F31693">
              <w:rPr>
                <w:rFonts w:ascii="Calibri" w:eastAsia="Times New Roman" w:hAnsi="Calibri" w:cs="Arial"/>
                <w:b/>
                <w:bCs/>
              </w:rPr>
              <w:t xml:space="preserve"> *CDs and IRAs </w:t>
            </w:r>
          </w:p>
        </w:tc>
        <w:tc>
          <w:tcPr>
            <w:tcW w:w="1886" w:type="dxa"/>
            <w:gridSpan w:val="3"/>
            <w:tcBorders>
              <w:top w:val="nil"/>
              <w:left w:val="nil"/>
              <w:bottom w:val="single" w:sz="4" w:space="0" w:color="auto"/>
              <w:right w:val="single" w:sz="4" w:space="0" w:color="auto"/>
            </w:tcBorders>
            <w:shd w:val="clear" w:color="auto" w:fill="auto"/>
            <w:noWrap/>
            <w:vAlign w:val="bottom"/>
            <w:hideMark/>
          </w:tcPr>
          <w:p w14:paraId="6A4861FE" w14:textId="77777777" w:rsidR="00560391" w:rsidRPr="00F31693" w:rsidRDefault="007D7DD1" w:rsidP="00560391">
            <w:pPr>
              <w:spacing w:after="0" w:line="240" w:lineRule="auto"/>
              <w:jc w:val="center"/>
              <w:rPr>
                <w:rFonts w:ascii="Calibri" w:eastAsia="Times New Roman" w:hAnsi="Calibri" w:cs="Arial"/>
              </w:rPr>
            </w:pPr>
            <w:r w:rsidRPr="00F31693">
              <w:rPr>
                <w:rFonts w:ascii="Calibri" w:eastAsia="Times New Roman" w:hAnsi="Calibri" w:cs="Arial"/>
              </w:rPr>
              <w:t>$959,534,062</w:t>
            </w:r>
          </w:p>
        </w:tc>
        <w:tc>
          <w:tcPr>
            <w:tcW w:w="18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5E4374A"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$761,566,721.75</w:t>
            </w:r>
          </w:p>
        </w:tc>
        <w:tc>
          <w:tcPr>
            <w:tcW w:w="1727" w:type="dxa"/>
            <w:gridSpan w:val="2"/>
            <w:tcBorders>
              <w:top w:val="nil"/>
              <w:left w:val="nil"/>
              <w:bottom w:val="single" w:sz="4" w:space="0" w:color="auto"/>
              <w:right w:val="single" w:sz="4" w:space="0" w:color="auto"/>
            </w:tcBorders>
            <w:shd w:val="clear" w:color="auto" w:fill="auto"/>
            <w:noWrap/>
            <w:vAlign w:val="bottom"/>
            <w:hideMark/>
          </w:tcPr>
          <w:p w14:paraId="4F29FFCD"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$197,967,340</w:t>
            </w:r>
          </w:p>
        </w:tc>
        <w:tc>
          <w:tcPr>
            <w:tcW w:w="1913" w:type="dxa"/>
            <w:tcBorders>
              <w:top w:val="single" w:sz="4" w:space="0" w:color="auto"/>
              <w:left w:val="nil"/>
              <w:bottom w:val="single" w:sz="4" w:space="0" w:color="auto"/>
              <w:right w:val="single" w:sz="4" w:space="0" w:color="auto"/>
            </w:tcBorders>
            <w:shd w:val="clear" w:color="auto" w:fill="auto"/>
            <w:noWrap/>
            <w:vAlign w:val="bottom"/>
            <w:hideMark/>
          </w:tcPr>
          <w:p w14:paraId="1947474C"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20.63%</w:t>
            </w:r>
          </w:p>
        </w:tc>
      </w:tr>
      <w:tr w:rsidR="00560391" w:rsidRPr="00F31693" w14:paraId="3CF31A54" w14:textId="77777777" w:rsidTr="009E6402">
        <w:trPr>
          <w:trHeight w:val="19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CBE71" w14:textId="77777777" w:rsidR="00560391" w:rsidRPr="00F31693" w:rsidRDefault="00560391" w:rsidP="00560391">
            <w:pPr>
              <w:spacing w:after="0" w:line="240" w:lineRule="auto"/>
              <w:jc w:val="center"/>
              <w:rPr>
                <w:rFonts w:ascii="Calibri" w:eastAsia="Times New Roman" w:hAnsi="Calibri" w:cs="Arial"/>
                <w:b/>
                <w:bCs/>
              </w:rPr>
            </w:pPr>
            <w:r w:rsidRPr="00F31693">
              <w:rPr>
                <w:rFonts w:ascii="Calibri" w:eastAsia="Times New Roman" w:hAnsi="Calibri" w:cs="Arial"/>
                <w:b/>
                <w:bCs/>
              </w:rPr>
              <w:t xml:space="preserve"> Personal DDA </w:t>
            </w:r>
          </w:p>
        </w:tc>
        <w:tc>
          <w:tcPr>
            <w:tcW w:w="1886" w:type="dxa"/>
            <w:gridSpan w:val="3"/>
            <w:tcBorders>
              <w:top w:val="nil"/>
              <w:left w:val="nil"/>
              <w:bottom w:val="single" w:sz="4" w:space="0" w:color="auto"/>
              <w:right w:val="single" w:sz="4" w:space="0" w:color="auto"/>
            </w:tcBorders>
            <w:shd w:val="clear" w:color="auto" w:fill="auto"/>
            <w:noWrap/>
            <w:vAlign w:val="bottom"/>
            <w:hideMark/>
          </w:tcPr>
          <w:p w14:paraId="3EB2F6D4" w14:textId="77777777" w:rsidR="00560391" w:rsidRPr="00F31693" w:rsidRDefault="007D7DD1" w:rsidP="00560391">
            <w:pPr>
              <w:spacing w:after="0" w:line="240" w:lineRule="auto"/>
              <w:jc w:val="center"/>
              <w:rPr>
                <w:rFonts w:ascii="Calibri" w:eastAsia="Times New Roman" w:hAnsi="Calibri" w:cs="Arial"/>
              </w:rPr>
            </w:pPr>
            <w:r w:rsidRPr="00F31693">
              <w:rPr>
                <w:rFonts w:ascii="Calibri" w:eastAsia="Times New Roman" w:hAnsi="Calibri" w:cs="Arial"/>
              </w:rPr>
              <w:t>$167,412,615</w:t>
            </w:r>
          </w:p>
        </w:tc>
        <w:tc>
          <w:tcPr>
            <w:tcW w:w="18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2B3ED91"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$179,096,031.12</w:t>
            </w:r>
          </w:p>
        </w:tc>
        <w:tc>
          <w:tcPr>
            <w:tcW w:w="1727" w:type="dxa"/>
            <w:gridSpan w:val="2"/>
            <w:tcBorders>
              <w:top w:val="nil"/>
              <w:left w:val="nil"/>
              <w:bottom w:val="single" w:sz="4" w:space="0" w:color="auto"/>
              <w:right w:val="single" w:sz="4" w:space="0" w:color="auto"/>
            </w:tcBorders>
            <w:shd w:val="clear" w:color="auto" w:fill="auto"/>
            <w:noWrap/>
            <w:vAlign w:val="bottom"/>
            <w:hideMark/>
          </w:tcPr>
          <w:p w14:paraId="7BADC99C"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-$11,683,416</w:t>
            </w:r>
          </w:p>
        </w:tc>
        <w:tc>
          <w:tcPr>
            <w:tcW w:w="1913" w:type="dxa"/>
            <w:tcBorders>
              <w:top w:val="single" w:sz="4" w:space="0" w:color="auto"/>
              <w:left w:val="nil"/>
              <w:bottom w:val="single" w:sz="4" w:space="0" w:color="auto"/>
              <w:right w:val="single" w:sz="4" w:space="0" w:color="auto"/>
            </w:tcBorders>
            <w:shd w:val="clear" w:color="auto" w:fill="auto"/>
            <w:noWrap/>
            <w:vAlign w:val="bottom"/>
            <w:hideMark/>
          </w:tcPr>
          <w:p w14:paraId="551C6247"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-6.98%</w:t>
            </w:r>
          </w:p>
        </w:tc>
      </w:tr>
      <w:tr w:rsidR="00560391" w:rsidRPr="00F31693" w14:paraId="50DBDC7F" w14:textId="77777777" w:rsidTr="009E6402">
        <w:trPr>
          <w:trHeight w:val="19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5EEDE" w14:textId="77777777" w:rsidR="00560391" w:rsidRPr="00F31693" w:rsidRDefault="00560391" w:rsidP="00560391">
            <w:pPr>
              <w:spacing w:after="0" w:line="240" w:lineRule="auto"/>
              <w:jc w:val="center"/>
              <w:rPr>
                <w:rFonts w:ascii="Calibri" w:eastAsia="Times New Roman" w:hAnsi="Calibri" w:cs="Arial"/>
                <w:b/>
                <w:bCs/>
              </w:rPr>
            </w:pPr>
            <w:r w:rsidRPr="00F31693">
              <w:rPr>
                <w:rFonts w:ascii="Calibri" w:eastAsia="Times New Roman" w:hAnsi="Calibri" w:cs="Arial"/>
                <w:b/>
                <w:bCs/>
              </w:rPr>
              <w:t xml:space="preserve"> Personal MMDA </w:t>
            </w:r>
          </w:p>
        </w:tc>
        <w:tc>
          <w:tcPr>
            <w:tcW w:w="1886" w:type="dxa"/>
            <w:gridSpan w:val="3"/>
            <w:tcBorders>
              <w:top w:val="nil"/>
              <w:left w:val="nil"/>
              <w:bottom w:val="single" w:sz="4" w:space="0" w:color="auto"/>
              <w:right w:val="single" w:sz="4" w:space="0" w:color="auto"/>
            </w:tcBorders>
            <w:shd w:val="clear" w:color="auto" w:fill="auto"/>
            <w:noWrap/>
            <w:vAlign w:val="bottom"/>
            <w:hideMark/>
          </w:tcPr>
          <w:p w14:paraId="76E99921" w14:textId="77777777" w:rsidR="00560391" w:rsidRPr="00F31693" w:rsidRDefault="007D7DD1" w:rsidP="00560391">
            <w:pPr>
              <w:spacing w:after="0" w:line="240" w:lineRule="auto"/>
              <w:jc w:val="center"/>
              <w:rPr>
                <w:rFonts w:ascii="Calibri" w:eastAsia="Times New Roman" w:hAnsi="Calibri" w:cs="Arial"/>
              </w:rPr>
            </w:pPr>
            <w:r w:rsidRPr="00F31693">
              <w:rPr>
                <w:rFonts w:ascii="Calibri" w:eastAsia="Times New Roman" w:hAnsi="Calibri" w:cs="Arial"/>
              </w:rPr>
              <w:t>$332,912,175</w:t>
            </w:r>
          </w:p>
        </w:tc>
        <w:tc>
          <w:tcPr>
            <w:tcW w:w="18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AA4890F"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$288,950,192.20</w:t>
            </w:r>
          </w:p>
        </w:tc>
        <w:tc>
          <w:tcPr>
            <w:tcW w:w="1727" w:type="dxa"/>
            <w:gridSpan w:val="2"/>
            <w:tcBorders>
              <w:top w:val="nil"/>
              <w:left w:val="nil"/>
              <w:bottom w:val="single" w:sz="4" w:space="0" w:color="auto"/>
              <w:right w:val="single" w:sz="4" w:space="0" w:color="auto"/>
            </w:tcBorders>
            <w:shd w:val="clear" w:color="auto" w:fill="auto"/>
            <w:noWrap/>
            <w:vAlign w:val="bottom"/>
            <w:hideMark/>
          </w:tcPr>
          <w:p w14:paraId="152B113E"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$43,961,983</w:t>
            </w:r>
          </w:p>
        </w:tc>
        <w:tc>
          <w:tcPr>
            <w:tcW w:w="1913" w:type="dxa"/>
            <w:tcBorders>
              <w:top w:val="single" w:sz="4" w:space="0" w:color="auto"/>
              <w:left w:val="nil"/>
              <w:bottom w:val="single" w:sz="4" w:space="0" w:color="auto"/>
              <w:right w:val="single" w:sz="4" w:space="0" w:color="auto"/>
            </w:tcBorders>
            <w:shd w:val="clear" w:color="auto" w:fill="auto"/>
            <w:noWrap/>
            <w:vAlign w:val="bottom"/>
            <w:hideMark/>
          </w:tcPr>
          <w:p w14:paraId="304136B0"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13.21%</w:t>
            </w:r>
          </w:p>
        </w:tc>
      </w:tr>
      <w:tr w:rsidR="00560391" w:rsidRPr="00F31693" w14:paraId="291B1469" w14:textId="77777777" w:rsidTr="009E6402">
        <w:trPr>
          <w:trHeight w:val="19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6D6D2" w14:textId="77777777" w:rsidR="00560391" w:rsidRPr="00F31693" w:rsidRDefault="00560391" w:rsidP="00560391">
            <w:pPr>
              <w:spacing w:after="0" w:line="240" w:lineRule="auto"/>
              <w:jc w:val="center"/>
              <w:rPr>
                <w:rFonts w:ascii="Calibri" w:eastAsia="Times New Roman" w:hAnsi="Calibri" w:cs="Arial"/>
                <w:b/>
                <w:bCs/>
              </w:rPr>
            </w:pPr>
            <w:r w:rsidRPr="00F31693">
              <w:rPr>
                <w:rFonts w:ascii="Calibri" w:eastAsia="Times New Roman" w:hAnsi="Calibri" w:cs="Arial"/>
                <w:b/>
                <w:bCs/>
              </w:rPr>
              <w:t xml:space="preserve"> Business DDA </w:t>
            </w:r>
          </w:p>
        </w:tc>
        <w:tc>
          <w:tcPr>
            <w:tcW w:w="1886" w:type="dxa"/>
            <w:gridSpan w:val="3"/>
            <w:tcBorders>
              <w:top w:val="nil"/>
              <w:left w:val="nil"/>
              <w:bottom w:val="single" w:sz="4" w:space="0" w:color="auto"/>
              <w:right w:val="single" w:sz="4" w:space="0" w:color="auto"/>
            </w:tcBorders>
            <w:shd w:val="clear" w:color="auto" w:fill="auto"/>
            <w:noWrap/>
            <w:vAlign w:val="bottom"/>
            <w:hideMark/>
          </w:tcPr>
          <w:p w14:paraId="248BF23C" w14:textId="77777777" w:rsidR="00560391" w:rsidRPr="00F31693" w:rsidRDefault="007D7DD1" w:rsidP="00560391">
            <w:pPr>
              <w:spacing w:after="0" w:line="240" w:lineRule="auto"/>
              <w:jc w:val="center"/>
              <w:rPr>
                <w:rFonts w:ascii="Calibri" w:eastAsia="Times New Roman" w:hAnsi="Calibri" w:cs="Arial"/>
              </w:rPr>
            </w:pPr>
            <w:r w:rsidRPr="00F31693">
              <w:rPr>
                <w:rFonts w:ascii="Calibri" w:eastAsia="Times New Roman" w:hAnsi="Calibri" w:cs="Arial"/>
              </w:rPr>
              <w:t>$285,719,693</w:t>
            </w:r>
          </w:p>
        </w:tc>
        <w:tc>
          <w:tcPr>
            <w:tcW w:w="18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7D8A743"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$243,808,181.95</w:t>
            </w:r>
          </w:p>
        </w:tc>
        <w:tc>
          <w:tcPr>
            <w:tcW w:w="1727" w:type="dxa"/>
            <w:gridSpan w:val="2"/>
            <w:tcBorders>
              <w:top w:val="nil"/>
              <w:left w:val="nil"/>
              <w:bottom w:val="single" w:sz="4" w:space="0" w:color="auto"/>
              <w:right w:val="single" w:sz="4" w:space="0" w:color="auto"/>
            </w:tcBorders>
            <w:shd w:val="clear" w:color="auto" w:fill="auto"/>
            <w:noWrap/>
            <w:vAlign w:val="bottom"/>
            <w:hideMark/>
          </w:tcPr>
          <w:p w14:paraId="3D958969" w14:textId="77777777" w:rsidR="00560391" w:rsidRPr="00F31693" w:rsidRDefault="00560391" w:rsidP="00560391">
            <w:pPr>
              <w:spacing w:after="0" w:line="240" w:lineRule="auto"/>
              <w:jc w:val="center"/>
              <w:rPr>
                <w:rFonts w:ascii="Calibri" w:eastAsia="Times New Roman" w:hAnsi="Calibri" w:cs="Arial"/>
              </w:rPr>
            </w:pPr>
            <w:r w:rsidRPr="00F31693">
              <w:rPr>
                <w:rFonts w:ascii="Calibri" w:eastAsia="Times New Roman" w:hAnsi="Calibri" w:cs="Arial"/>
              </w:rPr>
              <w:t>$</w:t>
            </w:r>
            <w:r w:rsidR="00E97816" w:rsidRPr="00F31693">
              <w:rPr>
                <w:rFonts w:ascii="Calibri" w:eastAsia="Times New Roman" w:hAnsi="Calibri" w:cs="Arial"/>
              </w:rPr>
              <w:t>41,911,511</w:t>
            </w:r>
          </w:p>
        </w:tc>
        <w:tc>
          <w:tcPr>
            <w:tcW w:w="1913" w:type="dxa"/>
            <w:tcBorders>
              <w:top w:val="single" w:sz="4" w:space="0" w:color="auto"/>
              <w:left w:val="nil"/>
              <w:bottom w:val="single" w:sz="4" w:space="0" w:color="auto"/>
              <w:right w:val="single" w:sz="4" w:space="0" w:color="auto"/>
            </w:tcBorders>
            <w:shd w:val="clear" w:color="auto" w:fill="auto"/>
            <w:noWrap/>
            <w:vAlign w:val="bottom"/>
            <w:hideMark/>
          </w:tcPr>
          <w:p w14:paraId="2CC55358"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14.67%</w:t>
            </w:r>
          </w:p>
        </w:tc>
      </w:tr>
      <w:tr w:rsidR="00560391" w:rsidRPr="00F31693" w14:paraId="5EF581EB" w14:textId="77777777" w:rsidTr="009E6402">
        <w:trPr>
          <w:trHeight w:val="19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AD7E4" w14:textId="77777777" w:rsidR="00560391" w:rsidRPr="00F31693" w:rsidRDefault="00560391" w:rsidP="00560391">
            <w:pPr>
              <w:spacing w:after="0" w:line="240" w:lineRule="auto"/>
              <w:jc w:val="center"/>
              <w:rPr>
                <w:rFonts w:ascii="Calibri" w:eastAsia="Times New Roman" w:hAnsi="Calibri" w:cs="Arial"/>
                <w:b/>
                <w:bCs/>
              </w:rPr>
            </w:pPr>
            <w:r w:rsidRPr="00F31693">
              <w:rPr>
                <w:rFonts w:ascii="Calibri" w:eastAsia="Times New Roman" w:hAnsi="Calibri" w:cs="Arial"/>
                <w:b/>
                <w:bCs/>
              </w:rPr>
              <w:t xml:space="preserve"> Business MMDA </w:t>
            </w:r>
          </w:p>
        </w:tc>
        <w:tc>
          <w:tcPr>
            <w:tcW w:w="1886" w:type="dxa"/>
            <w:gridSpan w:val="3"/>
            <w:tcBorders>
              <w:top w:val="nil"/>
              <w:left w:val="nil"/>
              <w:bottom w:val="single" w:sz="4" w:space="0" w:color="auto"/>
              <w:right w:val="single" w:sz="4" w:space="0" w:color="auto"/>
            </w:tcBorders>
            <w:shd w:val="clear" w:color="auto" w:fill="auto"/>
            <w:noWrap/>
            <w:vAlign w:val="bottom"/>
            <w:hideMark/>
          </w:tcPr>
          <w:p w14:paraId="6268EDD7"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w:t>
            </w:r>
            <w:r w:rsidR="007D7DD1" w:rsidRPr="00F31693">
              <w:rPr>
                <w:rFonts w:ascii="Calibri" w:eastAsia="Times New Roman" w:hAnsi="Calibri" w:cs="Arial"/>
              </w:rPr>
              <w:t>348,797,415</w:t>
            </w:r>
          </w:p>
        </w:tc>
        <w:tc>
          <w:tcPr>
            <w:tcW w:w="18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E792ACB"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$108,148,095.22</w:t>
            </w:r>
          </w:p>
        </w:tc>
        <w:tc>
          <w:tcPr>
            <w:tcW w:w="1727" w:type="dxa"/>
            <w:gridSpan w:val="2"/>
            <w:tcBorders>
              <w:top w:val="nil"/>
              <w:left w:val="nil"/>
              <w:bottom w:val="single" w:sz="4" w:space="0" w:color="auto"/>
              <w:right w:val="single" w:sz="4" w:space="0" w:color="auto"/>
            </w:tcBorders>
            <w:shd w:val="clear" w:color="auto" w:fill="auto"/>
            <w:noWrap/>
            <w:vAlign w:val="bottom"/>
            <w:hideMark/>
          </w:tcPr>
          <w:p w14:paraId="396B97D8" w14:textId="77777777" w:rsidR="00560391" w:rsidRPr="00F31693" w:rsidRDefault="00E97816" w:rsidP="00E97816">
            <w:pPr>
              <w:spacing w:after="0" w:line="240" w:lineRule="auto"/>
              <w:jc w:val="center"/>
              <w:rPr>
                <w:rFonts w:ascii="Calibri" w:eastAsia="Times New Roman" w:hAnsi="Calibri" w:cs="Arial"/>
              </w:rPr>
            </w:pPr>
            <w:r w:rsidRPr="00F31693">
              <w:rPr>
                <w:rFonts w:ascii="Calibri" w:eastAsia="Times New Roman" w:hAnsi="Calibri" w:cs="Arial"/>
              </w:rPr>
              <w:t>$240,649,320</w:t>
            </w:r>
          </w:p>
        </w:tc>
        <w:tc>
          <w:tcPr>
            <w:tcW w:w="1913" w:type="dxa"/>
            <w:tcBorders>
              <w:top w:val="single" w:sz="4" w:space="0" w:color="auto"/>
              <w:left w:val="nil"/>
              <w:bottom w:val="single" w:sz="4" w:space="0" w:color="auto"/>
              <w:right w:val="single" w:sz="4" w:space="0" w:color="auto"/>
            </w:tcBorders>
            <w:shd w:val="clear" w:color="auto" w:fill="auto"/>
            <w:noWrap/>
            <w:vAlign w:val="bottom"/>
            <w:hideMark/>
          </w:tcPr>
          <w:p w14:paraId="6FAD1B19"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68.99%</w:t>
            </w:r>
          </w:p>
        </w:tc>
      </w:tr>
      <w:tr w:rsidR="00560391" w:rsidRPr="00F31693" w14:paraId="49C2E9C7" w14:textId="77777777" w:rsidTr="009E6402">
        <w:trPr>
          <w:trHeight w:val="195"/>
        </w:trPr>
        <w:tc>
          <w:tcPr>
            <w:tcW w:w="1400" w:type="dxa"/>
            <w:tcBorders>
              <w:top w:val="single" w:sz="4" w:space="0" w:color="auto"/>
              <w:left w:val="nil"/>
              <w:bottom w:val="nil"/>
              <w:right w:val="single" w:sz="4" w:space="0" w:color="000000"/>
            </w:tcBorders>
            <w:shd w:val="clear" w:color="auto" w:fill="auto"/>
            <w:noWrap/>
            <w:vAlign w:val="bottom"/>
            <w:hideMark/>
          </w:tcPr>
          <w:p w14:paraId="0B860DAF" w14:textId="77777777" w:rsidR="00560391" w:rsidRPr="00F31693" w:rsidRDefault="00560391" w:rsidP="00560391">
            <w:pPr>
              <w:spacing w:after="0" w:line="240" w:lineRule="auto"/>
              <w:jc w:val="center"/>
              <w:rPr>
                <w:rFonts w:ascii="Calibri" w:eastAsia="Times New Roman" w:hAnsi="Calibri" w:cs="Arial"/>
              </w:rPr>
            </w:pPr>
            <w:r w:rsidRPr="00F31693">
              <w:rPr>
                <w:rFonts w:ascii="Calibri" w:eastAsia="Times New Roman" w:hAnsi="Calibri" w:cs="Arial"/>
              </w:rPr>
              <w:t> </w:t>
            </w:r>
          </w:p>
        </w:tc>
        <w:tc>
          <w:tcPr>
            <w:tcW w:w="1886" w:type="dxa"/>
            <w:gridSpan w:val="3"/>
            <w:tcBorders>
              <w:top w:val="nil"/>
              <w:left w:val="nil"/>
              <w:bottom w:val="single" w:sz="4" w:space="0" w:color="auto"/>
              <w:right w:val="single" w:sz="4" w:space="0" w:color="auto"/>
            </w:tcBorders>
            <w:shd w:val="clear" w:color="auto" w:fill="auto"/>
            <w:noWrap/>
            <w:vAlign w:val="bottom"/>
            <w:hideMark/>
          </w:tcPr>
          <w:p w14:paraId="30C7A8F9" w14:textId="77777777" w:rsidR="00E97816" w:rsidRPr="00F31693" w:rsidRDefault="00E97816" w:rsidP="00E97816">
            <w:pPr>
              <w:spacing w:after="0" w:line="240" w:lineRule="auto"/>
              <w:jc w:val="center"/>
              <w:rPr>
                <w:rFonts w:ascii="Calibri" w:eastAsia="Times New Roman" w:hAnsi="Calibri" w:cs="Arial"/>
              </w:rPr>
            </w:pPr>
            <w:r w:rsidRPr="00F31693">
              <w:rPr>
                <w:rFonts w:ascii="Calibri" w:eastAsia="Times New Roman" w:hAnsi="Calibri" w:cs="Arial"/>
              </w:rPr>
              <w:t>$2,259,999,297</w:t>
            </w:r>
          </w:p>
        </w:tc>
        <w:tc>
          <w:tcPr>
            <w:tcW w:w="18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AA2D59" w14:textId="77777777" w:rsidR="00560391" w:rsidRPr="00F31693" w:rsidRDefault="00E97816" w:rsidP="00560391">
            <w:pPr>
              <w:spacing w:after="0" w:line="240" w:lineRule="auto"/>
              <w:jc w:val="center"/>
              <w:rPr>
                <w:rFonts w:ascii="Calibri" w:eastAsia="Times New Roman" w:hAnsi="Calibri" w:cs="Arial"/>
              </w:rPr>
            </w:pPr>
            <w:r w:rsidRPr="00F31693">
              <w:rPr>
                <w:rFonts w:ascii="Calibri" w:eastAsia="Times New Roman" w:hAnsi="Calibri" w:cs="Arial"/>
              </w:rPr>
              <w:t>$1,741,589,811.37</w:t>
            </w:r>
          </w:p>
        </w:tc>
        <w:tc>
          <w:tcPr>
            <w:tcW w:w="1727" w:type="dxa"/>
            <w:gridSpan w:val="2"/>
            <w:tcBorders>
              <w:top w:val="nil"/>
              <w:left w:val="nil"/>
              <w:bottom w:val="single" w:sz="4" w:space="0" w:color="auto"/>
              <w:right w:val="single" w:sz="4" w:space="0" w:color="auto"/>
            </w:tcBorders>
            <w:shd w:val="clear" w:color="000000" w:fill="FFFF00"/>
            <w:noWrap/>
            <w:vAlign w:val="bottom"/>
            <w:hideMark/>
          </w:tcPr>
          <w:p w14:paraId="799AA7D0" w14:textId="77777777" w:rsidR="00560391" w:rsidRPr="00F31693" w:rsidRDefault="00E97816" w:rsidP="00560391">
            <w:pPr>
              <w:spacing w:after="0" w:line="240" w:lineRule="auto"/>
              <w:jc w:val="center"/>
              <w:rPr>
                <w:rFonts w:ascii="Calibri" w:eastAsia="Times New Roman" w:hAnsi="Calibri" w:cs="Arial"/>
                <w:b/>
                <w:bCs/>
              </w:rPr>
            </w:pPr>
            <w:r w:rsidRPr="00F31693">
              <w:rPr>
                <w:rFonts w:ascii="Calibri" w:eastAsia="Times New Roman" w:hAnsi="Calibri" w:cs="Arial"/>
                <w:b/>
                <w:bCs/>
              </w:rPr>
              <w:t>$518,409,486</w:t>
            </w:r>
          </w:p>
        </w:tc>
        <w:tc>
          <w:tcPr>
            <w:tcW w:w="1913" w:type="dxa"/>
            <w:tcBorders>
              <w:top w:val="single" w:sz="4" w:space="0" w:color="auto"/>
              <w:left w:val="nil"/>
              <w:bottom w:val="single" w:sz="4" w:space="0" w:color="auto"/>
              <w:right w:val="single" w:sz="4" w:space="0" w:color="auto"/>
            </w:tcBorders>
            <w:shd w:val="clear" w:color="000000" w:fill="FFFF00"/>
            <w:noWrap/>
            <w:vAlign w:val="bottom"/>
            <w:hideMark/>
          </w:tcPr>
          <w:p w14:paraId="3D24D9C3" w14:textId="77777777" w:rsidR="00560391" w:rsidRPr="00F31693" w:rsidRDefault="00E97816" w:rsidP="00E97816">
            <w:pPr>
              <w:spacing w:after="0" w:line="240" w:lineRule="auto"/>
              <w:jc w:val="center"/>
              <w:rPr>
                <w:rFonts w:ascii="Calibri" w:eastAsia="Times New Roman" w:hAnsi="Calibri" w:cs="Arial"/>
              </w:rPr>
            </w:pPr>
            <w:r w:rsidRPr="00F31693">
              <w:rPr>
                <w:rFonts w:ascii="Calibri" w:eastAsia="Times New Roman" w:hAnsi="Calibri" w:cs="Arial"/>
              </w:rPr>
              <w:t>22</w:t>
            </w:r>
            <w:r w:rsidR="00560391" w:rsidRPr="00F31693">
              <w:rPr>
                <w:rFonts w:ascii="Calibri" w:eastAsia="Times New Roman" w:hAnsi="Calibri" w:cs="Arial"/>
              </w:rPr>
              <w:t>.</w:t>
            </w:r>
            <w:r w:rsidRPr="00F31693">
              <w:rPr>
                <w:rFonts w:ascii="Calibri" w:eastAsia="Times New Roman" w:hAnsi="Calibri" w:cs="Arial"/>
              </w:rPr>
              <w:t>94</w:t>
            </w:r>
            <w:r w:rsidR="00560391" w:rsidRPr="00F31693">
              <w:rPr>
                <w:rFonts w:ascii="Calibri" w:eastAsia="Times New Roman" w:hAnsi="Calibri" w:cs="Arial"/>
              </w:rPr>
              <w:t>%</w:t>
            </w:r>
          </w:p>
        </w:tc>
      </w:tr>
      <w:tr w:rsidR="006C029D" w:rsidRPr="00F31693" w14:paraId="7722CA86" w14:textId="77777777" w:rsidTr="00261F3D">
        <w:trPr>
          <w:trHeight w:val="195"/>
        </w:trPr>
        <w:tc>
          <w:tcPr>
            <w:tcW w:w="16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F4C43" w14:textId="77777777" w:rsidR="00261F3D" w:rsidRPr="00F31693" w:rsidRDefault="00261F3D" w:rsidP="006C029D">
            <w:pPr>
              <w:spacing w:after="0" w:line="240" w:lineRule="auto"/>
              <w:jc w:val="center"/>
              <w:rPr>
                <w:rFonts w:ascii="Calibri" w:eastAsia="Times New Roman" w:hAnsi="Calibri" w:cs="Arial"/>
                <w:b/>
                <w:bCs/>
              </w:rPr>
            </w:pPr>
          </w:p>
          <w:p w14:paraId="756D7F6D" w14:textId="77777777" w:rsidR="006C029D" w:rsidRPr="00F31693" w:rsidRDefault="006C029D" w:rsidP="006C029D">
            <w:pPr>
              <w:spacing w:after="0" w:line="240" w:lineRule="auto"/>
              <w:jc w:val="center"/>
              <w:rPr>
                <w:rFonts w:ascii="Calibri" w:eastAsia="Times New Roman" w:hAnsi="Calibri" w:cs="Arial"/>
                <w:b/>
                <w:bCs/>
              </w:rPr>
            </w:pPr>
            <w:r w:rsidRPr="00F31693">
              <w:rPr>
                <w:rFonts w:ascii="Calibri" w:eastAsia="Times New Roman" w:hAnsi="Calibri" w:cs="Arial"/>
                <w:b/>
                <w:bCs/>
              </w:rPr>
              <w:t>Account Type</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04BE77AE" w14:textId="77777777" w:rsidR="006C029D" w:rsidRPr="00F31693" w:rsidRDefault="006C029D" w:rsidP="006C029D">
            <w:pPr>
              <w:spacing w:after="0" w:line="240" w:lineRule="auto"/>
              <w:jc w:val="center"/>
              <w:rPr>
                <w:rFonts w:ascii="Calibri" w:eastAsia="Times New Roman" w:hAnsi="Calibri" w:cs="Arial"/>
                <w:b/>
                <w:bCs/>
              </w:rPr>
            </w:pPr>
            <w:r w:rsidRPr="00F31693">
              <w:rPr>
                <w:rFonts w:ascii="Calibri" w:eastAsia="Times New Roman" w:hAnsi="Calibri" w:cs="Arial"/>
                <w:b/>
                <w:bCs/>
              </w:rPr>
              <w:t>201</w:t>
            </w:r>
            <w:r w:rsidR="00FE359C" w:rsidRPr="00F31693">
              <w:rPr>
                <w:rFonts w:ascii="Calibri" w:eastAsia="Times New Roman" w:hAnsi="Calibri" w:cs="Arial"/>
                <w:b/>
                <w:bCs/>
              </w:rPr>
              <w:t>6</w:t>
            </w:r>
          </w:p>
        </w:tc>
        <w:tc>
          <w:tcPr>
            <w:tcW w:w="1434"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020416" w14:textId="77777777" w:rsidR="006C029D" w:rsidRPr="00F31693" w:rsidRDefault="006C029D" w:rsidP="006C029D">
            <w:pPr>
              <w:spacing w:after="0" w:line="240" w:lineRule="auto"/>
              <w:jc w:val="center"/>
              <w:rPr>
                <w:rFonts w:ascii="Calibri" w:eastAsia="Times New Roman" w:hAnsi="Calibri" w:cs="Arial"/>
                <w:b/>
                <w:bCs/>
              </w:rPr>
            </w:pPr>
            <w:r w:rsidRPr="00F31693">
              <w:rPr>
                <w:rFonts w:ascii="Calibri" w:eastAsia="Times New Roman" w:hAnsi="Calibri" w:cs="Arial"/>
                <w:b/>
                <w:bCs/>
              </w:rPr>
              <w:t>201</w:t>
            </w:r>
            <w:r w:rsidR="00FE359C" w:rsidRPr="00F31693">
              <w:rPr>
                <w:rFonts w:ascii="Calibri" w:eastAsia="Times New Roman" w:hAnsi="Calibri" w:cs="Arial"/>
                <w:b/>
                <w:bCs/>
              </w:rPr>
              <w:t>5</w:t>
            </w:r>
          </w:p>
        </w:tc>
        <w:tc>
          <w:tcPr>
            <w:tcW w:w="13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638A78" w14:textId="77777777" w:rsidR="006C029D" w:rsidRPr="00F31693" w:rsidRDefault="006C029D" w:rsidP="006C029D">
            <w:pPr>
              <w:spacing w:after="0" w:line="240" w:lineRule="auto"/>
              <w:jc w:val="center"/>
              <w:rPr>
                <w:rFonts w:ascii="Calibri" w:eastAsia="Times New Roman" w:hAnsi="Calibri" w:cs="Arial"/>
                <w:b/>
                <w:bCs/>
              </w:rPr>
            </w:pPr>
            <w:r w:rsidRPr="00F31693">
              <w:rPr>
                <w:rFonts w:ascii="Calibri" w:eastAsia="Times New Roman" w:hAnsi="Calibri" w:cs="Arial"/>
                <w:b/>
                <w:bCs/>
              </w:rPr>
              <w:t>Difference</w:t>
            </w:r>
          </w:p>
        </w:tc>
        <w:tc>
          <w:tcPr>
            <w:tcW w:w="2843" w:type="dxa"/>
            <w:gridSpan w:val="2"/>
            <w:tcBorders>
              <w:top w:val="single" w:sz="4" w:space="0" w:color="auto"/>
              <w:left w:val="nil"/>
              <w:bottom w:val="single" w:sz="4" w:space="0" w:color="auto"/>
              <w:right w:val="single" w:sz="4" w:space="0" w:color="auto"/>
            </w:tcBorders>
            <w:shd w:val="clear" w:color="auto" w:fill="auto"/>
            <w:noWrap/>
            <w:vAlign w:val="bottom"/>
            <w:hideMark/>
          </w:tcPr>
          <w:p w14:paraId="37C40C90" w14:textId="77777777" w:rsidR="006C029D" w:rsidRPr="00F31693" w:rsidRDefault="006C029D" w:rsidP="006C029D">
            <w:pPr>
              <w:spacing w:after="0" w:line="240" w:lineRule="auto"/>
              <w:jc w:val="center"/>
              <w:rPr>
                <w:rFonts w:ascii="Calibri" w:eastAsia="Times New Roman" w:hAnsi="Calibri" w:cs="Arial"/>
                <w:b/>
                <w:bCs/>
              </w:rPr>
            </w:pPr>
            <w:r w:rsidRPr="00F31693">
              <w:rPr>
                <w:rFonts w:ascii="Calibri" w:eastAsia="Times New Roman" w:hAnsi="Calibri" w:cs="Arial"/>
                <w:b/>
                <w:bCs/>
              </w:rPr>
              <w:t xml:space="preserve"> %Increase/Decrease </w:t>
            </w:r>
          </w:p>
        </w:tc>
      </w:tr>
      <w:tr w:rsidR="006C029D" w:rsidRPr="00F31693" w14:paraId="1AC40E33" w14:textId="77777777" w:rsidTr="00261F3D">
        <w:trPr>
          <w:trHeight w:val="195"/>
        </w:trPr>
        <w:tc>
          <w:tcPr>
            <w:tcW w:w="16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06B32" w14:textId="77777777" w:rsidR="006C029D" w:rsidRPr="00F31693" w:rsidRDefault="006C029D" w:rsidP="006C029D">
            <w:pPr>
              <w:spacing w:after="0" w:line="240" w:lineRule="auto"/>
              <w:jc w:val="center"/>
              <w:rPr>
                <w:rFonts w:ascii="Calibri" w:eastAsia="Times New Roman" w:hAnsi="Calibri" w:cs="Arial"/>
                <w:b/>
                <w:bCs/>
              </w:rPr>
            </w:pPr>
            <w:r w:rsidRPr="00F31693">
              <w:rPr>
                <w:rFonts w:ascii="Calibri" w:eastAsia="Times New Roman" w:hAnsi="Calibri" w:cs="Arial"/>
                <w:b/>
                <w:bCs/>
              </w:rPr>
              <w:t>Personal</w:t>
            </w:r>
          </w:p>
        </w:tc>
        <w:tc>
          <w:tcPr>
            <w:tcW w:w="1565" w:type="dxa"/>
            <w:tcBorders>
              <w:top w:val="nil"/>
              <w:left w:val="nil"/>
              <w:bottom w:val="single" w:sz="4" w:space="0" w:color="auto"/>
              <w:right w:val="single" w:sz="4" w:space="0" w:color="auto"/>
            </w:tcBorders>
            <w:shd w:val="clear" w:color="auto" w:fill="auto"/>
            <w:noWrap/>
            <w:vAlign w:val="bottom"/>
            <w:hideMark/>
          </w:tcPr>
          <w:p w14:paraId="4CDD2206" w14:textId="77777777" w:rsidR="006C029D" w:rsidRPr="00F31693" w:rsidRDefault="006C029D" w:rsidP="00FE359C">
            <w:pPr>
              <w:spacing w:after="0" w:line="240" w:lineRule="auto"/>
              <w:jc w:val="center"/>
              <w:rPr>
                <w:rFonts w:ascii="Calibri" w:eastAsia="Times New Roman" w:hAnsi="Calibri" w:cs="Arial"/>
              </w:rPr>
            </w:pPr>
            <w:r w:rsidRPr="00F31693">
              <w:rPr>
                <w:rFonts w:ascii="Calibri" w:eastAsia="Times New Roman" w:hAnsi="Calibri" w:cs="Arial"/>
              </w:rPr>
              <w:t>18,</w:t>
            </w:r>
            <w:r w:rsidR="00FE359C" w:rsidRPr="00F31693">
              <w:rPr>
                <w:rFonts w:ascii="Calibri" w:eastAsia="Times New Roman" w:hAnsi="Calibri" w:cs="Arial"/>
              </w:rPr>
              <w:t>960</w:t>
            </w:r>
          </w:p>
        </w:tc>
        <w:tc>
          <w:tcPr>
            <w:tcW w:w="1434"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6F173F" w14:textId="77777777" w:rsidR="006C029D" w:rsidRPr="00F31693" w:rsidRDefault="00FE359C" w:rsidP="006C029D">
            <w:pPr>
              <w:spacing w:after="0" w:line="240" w:lineRule="auto"/>
              <w:jc w:val="center"/>
              <w:rPr>
                <w:rFonts w:ascii="Calibri" w:eastAsia="Times New Roman" w:hAnsi="Calibri" w:cs="Arial"/>
              </w:rPr>
            </w:pPr>
            <w:r w:rsidRPr="00F31693">
              <w:rPr>
                <w:rFonts w:ascii="Calibri" w:eastAsia="Times New Roman" w:hAnsi="Calibri" w:cs="Arial"/>
              </w:rPr>
              <w:t>18,851</w:t>
            </w:r>
          </w:p>
        </w:tc>
        <w:tc>
          <w:tcPr>
            <w:tcW w:w="1366" w:type="dxa"/>
            <w:gridSpan w:val="2"/>
            <w:tcBorders>
              <w:top w:val="nil"/>
              <w:left w:val="nil"/>
              <w:bottom w:val="single" w:sz="4" w:space="0" w:color="auto"/>
              <w:right w:val="single" w:sz="4" w:space="0" w:color="auto"/>
            </w:tcBorders>
            <w:shd w:val="clear" w:color="auto" w:fill="auto"/>
            <w:noWrap/>
            <w:vAlign w:val="bottom"/>
            <w:hideMark/>
          </w:tcPr>
          <w:p w14:paraId="72DBA845" w14:textId="77777777" w:rsidR="006C029D" w:rsidRPr="00F31693" w:rsidRDefault="00FE359C" w:rsidP="006C029D">
            <w:pPr>
              <w:spacing w:after="0" w:line="240" w:lineRule="auto"/>
              <w:jc w:val="center"/>
              <w:rPr>
                <w:rFonts w:ascii="Calibri" w:eastAsia="Times New Roman" w:hAnsi="Calibri" w:cs="Arial"/>
              </w:rPr>
            </w:pPr>
            <w:r w:rsidRPr="00F31693">
              <w:rPr>
                <w:rFonts w:ascii="Calibri" w:eastAsia="Times New Roman" w:hAnsi="Calibri" w:cs="Arial"/>
              </w:rPr>
              <w:t>109</w:t>
            </w:r>
          </w:p>
        </w:tc>
        <w:tc>
          <w:tcPr>
            <w:tcW w:w="2843" w:type="dxa"/>
            <w:gridSpan w:val="2"/>
            <w:tcBorders>
              <w:top w:val="single" w:sz="4" w:space="0" w:color="auto"/>
              <w:left w:val="nil"/>
              <w:bottom w:val="single" w:sz="4" w:space="0" w:color="auto"/>
              <w:right w:val="single" w:sz="4" w:space="0" w:color="auto"/>
            </w:tcBorders>
            <w:shd w:val="clear" w:color="auto" w:fill="auto"/>
            <w:noWrap/>
            <w:vAlign w:val="bottom"/>
            <w:hideMark/>
          </w:tcPr>
          <w:p w14:paraId="6FD35DD8" w14:textId="77777777" w:rsidR="006C029D" w:rsidRPr="00F31693" w:rsidRDefault="00FE359C" w:rsidP="006C029D">
            <w:pPr>
              <w:spacing w:after="0" w:line="240" w:lineRule="auto"/>
              <w:jc w:val="center"/>
              <w:rPr>
                <w:rFonts w:ascii="Calibri" w:eastAsia="Times New Roman" w:hAnsi="Calibri" w:cs="Arial"/>
              </w:rPr>
            </w:pPr>
            <w:r w:rsidRPr="00F31693">
              <w:rPr>
                <w:rFonts w:ascii="Calibri" w:eastAsia="Times New Roman" w:hAnsi="Calibri" w:cs="Arial"/>
              </w:rPr>
              <w:t>0.57</w:t>
            </w:r>
            <w:r w:rsidR="006C029D" w:rsidRPr="00F31693">
              <w:rPr>
                <w:rFonts w:ascii="Calibri" w:eastAsia="Times New Roman" w:hAnsi="Calibri" w:cs="Arial"/>
              </w:rPr>
              <w:t>%</w:t>
            </w:r>
          </w:p>
        </w:tc>
      </w:tr>
      <w:tr w:rsidR="006C029D" w:rsidRPr="00F31693" w14:paraId="2D0256D7" w14:textId="77777777" w:rsidTr="00261F3D">
        <w:trPr>
          <w:trHeight w:val="509"/>
        </w:trPr>
        <w:tc>
          <w:tcPr>
            <w:tcW w:w="160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E616F33" w14:textId="77777777" w:rsidR="006C029D" w:rsidRPr="00F31693" w:rsidRDefault="006C029D" w:rsidP="006C029D">
            <w:pPr>
              <w:spacing w:after="0" w:line="240" w:lineRule="auto"/>
              <w:jc w:val="center"/>
              <w:rPr>
                <w:rFonts w:ascii="Calibri" w:eastAsia="Times New Roman" w:hAnsi="Calibri" w:cs="Arial"/>
                <w:b/>
                <w:bCs/>
              </w:rPr>
            </w:pPr>
            <w:r w:rsidRPr="00F31693">
              <w:rPr>
                <w:rFonts w:ascii="Calibri" w:eastAsia="Times New Roman" w:hAnsi="Calibri" w:cs="Arial"/>
                <w:b/>
                <w:bCs/>
              </w:rPr>
              <w:t xml:space="preserve">Business &amp; </w:t>
            </w:r>
            <w:r w:rsidRPr="00F31693">
              <w:rPr>
                <w:rFonts w:ascii="Calibri" w:eastAsia="Times New Roman" w:hAnsi="Calibri" w:cs="Arial"/>
                <w:b/>
                <w:bCs/>
              </w:rPr>
              <w:br/>
            </w:r>
            <w:proofErr w:type="gramStart"/>
            <w:r w:rsidRPr="00F31693">
              <w:rPr>
                <w:rFonts w:ascii="Calibri" w:eastAsia="Times New Roman" w:hAnsi="Calibri" w:cs="Arial"/>
                <w:b/>
                <w:bCs/>
              </w:rPr>
              <w:t>Non-Personal</w:t>
            </w:r>
            <w:proofErr w:type="gramEnd"/>
          </w:p>
        </w:tc>
        <w:tc>
          <w:tcPr>
            <w:tcW w:w="156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AF3EBF8" w14:textId="77777777" w:rsidR="006C029D" w:rsidRPr="00F31693" w:rsidRDefault="00FE359C" w:rsidP="00FE359C">
            <w:pPr>
              <w:spacing w:after="0" w:line="240" w:lineRule="auto"/>
              <w:jc w:val="center"/>
              <w:rPr>
                <w:rFonts w:ascii="Calibri" w:eastAsia="Times New Roman" w:hAnsi="Calibri" w:cs="Arial"/>
              </w:rPr>
            </w:pPr>
            <w:r w:rsidRPr="00F31693">
              <w:rPr>
                <w:rFonts w:ascii="Calibri" w:eastAsia="Times New Roman" w:hAnsi="Calibri" w:cs="Arial"/>
              </w:rPr>
              <w:t>4,267</w:t>
            </w:r>
          </w:p>
        </w:tc>
        <w:tc>
          <w:tcPr>
            <w:tcW w:w="143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0470F" w14:textId="77777777" w:rsidR="006C029D" w:rsidRPr="00F31693" w:rsidRDefault="006C029D" w:rsidP="00FE359C">
            <w:pPr>
              <w:spacing w:after="0" w:line="240" w:lineRule="auto"/>
              <w:jc w:val="center"/>
              <w:rPr>
                <w:rFonts w:ascii="Calibri" w:eastAsia="Times New Roman" w:hAnsi="Calibri" w:cs="Arial"/>
              </w:rPr>
            </w:pPr>
            <w:r w:rsidRPr="00F31693">
              <w:rPr>
                <w:rFonts w:ascii="Calibri" w:eastAsia="Times New Roman" w:hAnsi="Calibri" w:cs="Arial"/>
              </w:rPr>
              <w:t>3,9</w:t>
            </w:r>
            <w:r w:rsidR="00FE359C" w:rsidRPr="00F31693">
              <w:rPr>
                <w:rFonts w:ascii="Calibri" w:eastAsia="Times New Roman" w:hAnsi="Calibri" w:cs="Arial"/>
              </w:rPr>
              <w:t>16</w:t>
            </w:r>
          </w:p>
        </w:tc>
        <w:tc>
          <w:tcPr>
            <w:tcW w:w="1366" w:type="dxa"/>
            <w:gridSpan w:val="2"/>
            <w:vMerge w:val="restart"/>
            <w:tcBorders>
              <w:top w:val="nil"/>
              <w:left w:val="single" w:sz="4" w:space="0" w:color="auto"/>
              <w:bottom w:val="single" w:sz="4" w:space="0" w:color="auto"/>
              <w:right w:val="single" w:sz="4" w:space="0" w:color="auto"/>
            </w:tcBorders>
            <w:shd w:val="clear" w:color="auto" w:fill="auto"/>
            <w:noWrap/>
            <w:vAlign w:val="bottom"/>
            <w:hideMark/>
          </w:tcPr>
          <w:p w14:paraId="07A2EC9C" w14:textId="77777777" w:rsidR="006C029D" w:rsidRPr="00F31693" w:rsidRDefault="00FE359C" w:rsidP="006C029D">
            <w:pPr>
              <w:spacing w:after="0" w:line="240" w:lineRule="auto"/>
              <w:jc w:val="center"/>
              <w:rPr>
                <w:rFonts w:ascii="Calibri" w:eastAsia="Times New Roman" w:hAnsi="Calibri" w:cs="Arial"/>
              </w:rPr>
            </w:pPr>
            <w:r w:rsidRPr="00F31693">
              <w:rPr>
                <w:rFonts w:ascii="Calibri" w:eastAsia="Times New Roman" w:hAnsi="Calibri" w:cs="Arial"/>
              </w:rPr>
              <w:t>351</w:t>
            </w:r>
          </w:p>
        </w:tc>
        <w:tc>
          <w:tcPr>
            <w:tcW w:w="284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BCE34" w14:textId="77777777" w:rsidR="006C029D" w:rsidRPr="00F31693" w:rsidRDefault="00FE359C" w:rsidP="00FE359C">
            <w:pPr>
              <w:spacing w:after="0" w:line="240" w:lineRule="auto"/>
              <w:jc w:val="center"/>
              <w:rPr>
                <w:rFonts w:ascii="Calibri" w:eastAsia="Times New Roman" w:hAnsi="Calibri" w:cs="Arial"/>
              </w:rPr>
            </w:pPr>
            <w:r w:rsidRPr="00F31693">
              <w:rPr>
                <w:rFonts w:ascii="Calibri" w:eastAsia="Times New Roman" w:hAnsi="Calibri" w:cs="Arial"/>
              </w:rPr>
              <w:t>8</w:t>
            </w:r>
            <w:r w:rsidR="006C029D" w:rsidRPr="00F31693">
              <w:rPr>
                <w:rFonts w:ascii="Calibri" w:eastAsia="Times New Roman" w:hAnsi="Calibri" w:cs="Arial"/>
              </w:rPr>
              <w:t>.</w:t>
            </w:r>
            <w:r w:rsidRPr="00F31693">
              <w:rPr>
                <w:rFonts w:ascii="Calibri" w:eastAsia="Times New Roman" w:hAnsi="Calibri" w:cs="Arial"/>
              </w:rPr>
              <w:t>23</w:t>
            </w:r>
            <w:r w:rsidR="006C029D" w:rsidRPr="00F31693">
              <w:rPr>
                <w:rFonts w:ascii="Calibri" w:eastAsia="Times New Roman" w:hAnsi="Calibri" w:cs="Arial"/>
              </w:rPr>
              <w:t>%</w:t>
            </w:r>
          </w:p>
        </w:tc>
      </w:tr>
      <w:tr w:rsidR="006C029D" w:rsidRPr="00F31693" w14:paraId="101C6A87" w14:textId="77777777" w:rsidTr="00261F3D">
        <w:trPr>
          <w:trHeight w:val="509"/>
        </w:trPr>
        <w:tc>
          <w:tcPr>
            <w:tcW w:w="1604" w:type="dxa"/>
            <w:gridSpan w:val="2"/>
            <w:vMerge/>
            <w:tcBorders>
              <w:top w:val="single" w:sz="4" w:space="0" w:color="auto"/>
              <w:left w:val="single" w:sz="4" w:space="0" w:color="auto"/>
              <w:bottom w:val="single" w:sz="4" w:space="0" w:color="auto"/>
              <w:right w:val="single" w:sz="4" w:space="0" w:color="auto"/>
            </w:tcBorders>
            <w:vAlign w:val="center"/>
            <w:hideMark/>
          </w:tcPr>
          <w:p w14:paraId="4DCA478D" w14:textId="77777777" w:rsidR="006C029D" w:rsidRPr="00F31693" w:rsidRDefault="006C029D" w:rsidP="006C029D">
            <w:pPr>
              <w:spacing w:after="0" w:line="240" w:lineRule="auto"/>
              <w:rPr>
                <w:rFonts w:ascii="Calibri" w:eastAsia="Times New Roman" w:hAnsi="Calibri" w:cs="Arial"/>
                <w:b/>
                <w:bCs/>
              </w:rPr>
            </w:pPr>
          </w:p>
        </w:tc>
        <w:tc>
          <w:tcPr>
            <w:tcW w:w="1565" w:type="dxa"/>
            <w:vMerge/>
            <w:tcBorders>
              <w:top w:val="nil"/>
              <w:left w:val="single" w:sz="4" w:space="0" w:color="auto"/>
              <w:bottom w:val="single" w:sz="4" w:space="0" w:color="auto"/>
              <w:right w:val="single" w:sz="4" w:space="0" w:color="auto"/>
            </w:tcBorders>
            <w:vAlign w:val="center"/>
            <w:hideMark/>
          </w:tcPr>
          <w:p w14:paraId="6427D712" w14:textId="77777777" w:rsidR="006C029D" w:rsidRPr="00F31693" w:rsidRDefault="006C029D" w:rsidP="006C029D">
            <w:pPr>
              <w:spacing w:after="0" w:line="240" w:lineRule="auto"/>
              <w:rPr>
                <w:rFonts w:ascii="Calibri" w:eastAsia="Times New Roman" w:hAnsi="Calibri" w:cs="Arial"/>
              </w:rPr>
            </w:pPr>
          </w:p>
        </w:tc>
        <w:tc>
          <w:tcPr>
            <w:tcW w:w="1434" w:type="dxa"/>
            <w:gridSpan w:val="2"/>
            <w:vMerge/>
            <w:tcBorders>
              <w:top w:val="single" w:sz="4" w:space="0" w:color="auto"/>
              <w:left w:val="single" w:sz="4" w:space="0" w:color="auto"/>
              <w:bottom w:val="single" w:sz="4" w:space="0" w:color="auto"/>
              <w:right w:val="single" w:sz="4" w:space="0" w:color="auto"/>
            </w:tcBorders>
            <w:vAlign w:val="center"/>
            <w:hideMark/>
          </w:tcPr>
          <w:p w14:paraId="6772A820" w14:textId="77777777" w:rsidR="006C029D" w:rsidRPr="00F31693" w:rsidRDefault="006C029D" w:rsidP="006C029D">
            <w:pPr>
              <w:spacing w:after="0" w:line="240" w:lineRule="auto"/>
              <w:rPr>
                <w:rFonts w:ascii="Calibri" w:eastAsia="Times New Roman" w:hAnsi="Calibri" w:cs="Arial"/>
              </w:rPr>
            </w:pPr>
          </w:p>
        </w:tc>
        <w:tc>
          <w:tcPr>
            <w:tcW w:w="1366" w:type="dxa"/>
            <w:gridSpan w:val="2"/>
            <w:vMerge/>
            <w:tcBorders>
              <w:top w:val="nil"/>
              <w:left w:val="single" w:sz="4" w:space="0" w:color="auto"/>
              <w:bottom w:val="single" w:sz="4" w:space="0" w:color="auto"/>
              <w:right w:val="single" w:sz="4" w:space="0" w:color="auto"/>
            </w:tcBorders>
            <w:vAlign w:val="center"/>
            <w:hideMark/>
          </w:tcPr>
          <w:p w14:paraId="34A8C49E" w14:textId="77777777" w:rsidR="006C029D" w:rsidRPr="00F31693" w:rsidRDefault="006C029D" w:rsidP="006C029D">
            <w:pPr>
              <w:spacing w:after="0" w:line="240" w:lineRule="auto"/>
              <w:rPr>
                <w:rFonts w:ascii="Calibri" w:eastAsia="Times New Roman" w:hAnsi="Calibri" w:cs="Arial"/>
              </w:rPr>
            </w:pPr>
          </w:p>
        </w:tc>
        <w:tc>
          <w:tcPr>
            <w:tcW w:w="2843" w:type="dxa"/>
            <w:gridSpan w:val="2"/>
            <w:vMerge/>
            <w:tcBorders>
              <w:top w:val="single" w:sz="4" w:space="0" w:color="auto"/>
              <w:left w:val="single" w:sz="4" w:space="0" w:color="auto"/>
              <w:bottom w:val="single" w:sz="4" w:space="0" w:color="auto"/>
              <w:right w:val="single" w:sz="4" w:space="0" w:color="auto"/>
            </w:tcBorders>
            <w:vAlign w:val="center"/>
            <w:hideMark/>
          </w:tcPr>
          <w:p w14:paraId="498BB7F1" w14:textId="77777777" w:rsidR="006C029D" w:rsidRPr="00F31693" w:rsidRDefault="006C029D" w:rsidP="006C029D">
            <w:pPr>
              <w:spacing w:after="0" w:line="240" w:lineRule="auto"/>
              <w:rPr>
                <w:rFonts w:ascii="Calibri" w:eastAsia="Times New Roman" w:hAnsi="Calibri" w:cs="Arial"/>
              </w:rPr>
            </w:pPr>
          </w:p>
        </w:tc>
      </w:tr>
      <w:tr w:rsidR="006C029D" w:rsidRPr="00F31693" w14:paraId="7E026388" w14:textId="77777777" w:rsidTr="00261F3D">
        <w:trPr>
          <w:trHeight w:val="195"/>
        </w:trPr>
        <w:tc>
          <w:tcPr>
            <w:tcW w:w="1604" w:type="dxa"/>
            <w:gridSpan w:val="2"/>
            <w:tcBorders>
              <w:top w:val="single" w:sz="4" w:space="0" w:color="auto"/>
              <w:left w:val="nil"/>
              <w:bottom w:val="nil"/>
              <w:right w:val="single" w:sz="4" w:space="0" w:color="000000"/>
            </w:tcBorders>
            <w:shd w:val="clear" w:color="auto" w:fill="auto"/>
            <w:noWrap/>
            <w:vAlign w:val="bottom"/>
            <w:hideMark/>
          </w:tcPr>
          <w:p w14:paraId="2D2F6595" w14:textId="77777777" w:rsidR="006C029D" w:rsidRPr="00F31693" w:rsidRDefault="006C029D" w:rsidP="006C029D">
            <w:pPr>
              <w:spacing w:after="0" w:line="240" w:lineRule="auto"/>
              <w:jc w:val="center"/>
              <w:rPr>
                <w:rFonts w:ascii="Calibri" w:eastAsia="Times New Roman" w:hAnsi="Calibri" w:cs="Arial"/>
              </w:rPr>
            </w:pPr>
            <w:r w:rsidRPr="00F31693">
              <w:rPr>
                <w:rFonts w:ascii="Calibri" w:eastAsia="Times New Roman" w:hAnsi="Calibri" w:cs="Arial"/>
              </w:rPr>
              <w:t> </w:t>
            </w:r>
          </w:p>
        </w:tc>
        <w:tc>
          <w:tcPr>
            <w:tcW w:w="1565" w:type="dxa"/>
            <w:tcBorders>
              <w:top w:val="nil"/>
              <w:left w:val="nil"/>
              <w:bottom w:val="single" w:sz="4" w:space="0" w:color="auto"/>
              <w:right w:val="single" w:sz="4" w:space="0" w:color="auto"/>
            </w:tcBorders>
            <w:shd w:val="clear" w:color="000000" w:fill="FFFF00"/>
            <w:noWrap/>
            <w:vAlign w:val="bottom"/>
            <w:hideMark/>
          </w:tcPr>
          <w:p w14:paraId="0E58C2E0" w14:textId="77777777" w:rsidR="006C029D" w:rsidRPr="00F31693" w:rsidRDefault="006C029D" w:rsidP="00A92019">
            <w:pPr>
              <w:spacing w:after="0" w:line="240" w:lineRule="auto"/>
              <w:jc w:val="center"/>
              <w:rPr>
                <w:rFonts w:ascii="Calibri" w:eastAsia="Times New Roman" w:hAnsi="Calibri" w:cs="Arial"/>
              </w:rPr>
            </w:pPr>
            <w:r w:rsidRPr="00F31693">
              <w:rPr>
                <w:rFonts w:ascii="Calibri" w:eastAsia="Times New Roman" w:hAnsi="Calibri" w:cs="Arial"/>
              </w:rPr>
              <w:t xml:space="preserve">   </w:t>
            </w:r>
            <w:r w:rsidR="00A92019" w:rsidRPr="00F31693">
              <w:rPr>
                <w:rFonts w:ascii="Calibri" w:eastAsia="Times New Roman" w:hAnsi="Calibri" w:cs="Arial"/>
              </w:rPr>
              <w:t>23,227</w:t>
            </w:r>
            <w:r w:rsidRPr="00F31693">
              <w:rPr>
                <w:rFonts w:ascii="Calibri" w:eastAsia="Times New Roman" w:hAnsi="Calibri" w:cs="Arial"/>
              </w:rPr>
              <w:t xml:space="preserve">                     </w:t>
            </w:r>
          </w:p>
        </w:tc>
        <w:tc>
          <w:tcPr>
            <w:tcW w:w="1434"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E38B242" w14:textId="77777777" w:rsidR="006C029D" w:rsidRPr="00F31693" w:rsidRDefault="006C029D" w:rsidP="00FE359C">
            <w:pPr>
              <w:spacing w:after="0" w:line="240" w:lineRule="auto"/>
              <w:jc w:val="center"/>
              <w:rPr>
                <w:rFonts w:ascii="Calibri" w:eastAsia="Times New Roman" w:hAnsi="Calibri" w:cs="Arial"/>
              </w:rPr>
            </w:pPr>
            <w:r w:rsidRPr="00F31693">
              <w:rPr>
                <w:rFonts w:ascii="Calibri" w:eastAsia="Times New Roman" w:hAnsi="Calibri" w:cs="Arial"/>
              </w:rPr>
              <w:t>2</w:t>
            </w:r>
            <w:r w:rsidR="00FE359C" w:rsidRPr="00F31693">
              <w:rPr>
                <w:rFonts w:ascii="Calibri" w:eastAsia="Times New Roman" w:hAnsi="Calibri" w:cs="Arial"/>
              </w:rPr>
              <w:t>2</w:t>
            </w:r>
            <w:r w:rsidRPr="00F31693">
              <w:rPr>
                <w:rFonts w:ascii="Calibri" w:eastAsia="Times New Roman" w:hAnsi="Calibri" w:cs="Arial"/>
              </w:rPr>
              <w:t>,</w:t>
            </w:r>
            <w:r w:rsidR="00FE359C" w:rsidRPr="00F31693">
              <w:rPr>
                <w:rFonts w:ascii="Calibri" w:eastAsia="Times New Roman" w:hAnsi="Calibri" w:cs="Arial"/>
              </w:rPr>
              <w:t>767</w:t>
            </w:r>
          </w:p>
        </w:tc>
        <w:tc>
          <w:tcPr>
            <w:tcW w:w="1366" w:type="dxa"/>
            <w:gridSpan w:val="2"/>
            <w:tcBorders>
              <w:top w:val="nil"/>
              <w:left w:val="nil"/>
              <w:bottom w:val="single" w:sz="4" w:space="0" w:color="auto"/>
              <w:right w:val="single" w:sz="4" w:space="0" w:color="auto"/>
            </w:tcBorders>
            <w:shd w:val="clear" w:color="000000" w:fill="FFFF00"/>
            <w:noWrap/>
            <w:vAlign w:val="bottom"/>
            <w:hideMark/>
          </w:tcPr>
          <w:p w14:paraId="601B9898" w14:textId="77777777" w:rsidR="006C029D" w:rsidRPr="00F31693" w:rsidRDefault="00FE359C" w:rsidP="006C029D">
            <w:pPr>
              <w:spacing w:after="0" w:line="240" w:lineRule="auto"/>
              <w:jc w:val="center"/>
              <w:rPr>
                <w:rFonts w:ascii="Calibri" w:eastAsia="Times New Roman" w:hAnsi="Calibri" w:cs="Arial"/>
              </w:rPr>
            </w:pPr>
            <w:r w:rsidRPr="00F31693">
              <w:rPr>
                <w:rFonts w:ascii="Calibri" w:eastAsia="Times New Roman" w:hAnsi="Calibri" w:cs="Arial"/>
              </w:rPr>
              <w:t>460</w:t>
            </w:r>
          </w:p>
        </w:tc>
        <w:tc>
          <w:tcPr>
            <w:tcW w:w="2843"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1DB9DA8F" w14:textId="77777777" w:rsidR="006C029D" w:rsidRPr="00F31693" w:rsidRDefault="00FE359C" w:rsidP="00FE359C">
            <w:pPr>
              <w:spacing w:after="0" w:line="240" w:lineRule="auto"/>
              <w:jc w:val="center"/>
              <w:rPr>
                <w:rFonts w:ascii="Calibri" w:eastAsia="Times New Roman" w:hAnsi="Calibri" w:cs="Arial"/>
              </w:rPr>
            </w:pPr>
            <w:r w:rsidRPr="00F31693">
              <w:rPr>
                <w:rFonts w:ascii="Calibri" w:eastAsia="Times New Roman" w:hAnsi="Calibri" w:cs="Arial"/>
              </w:rPr>
              <w:t>1</w:t>
            </w:r>
            <w:r w:rsidR="006C029D" w:rsidRPr="00F31693">
              <w:rPr>
                <w:rFonts w:ascii="Calibri" w:eastAsia="Times New Roman" w:hAnsi="Calibri" w:cs="Arial"/>
              </w:rPr>
              <w:t>.</w:t>
            </w:r>
            <w:r w:rsidRPr="00F31693">
              <w:rPr>
                <w:rFonts w:ascii="Calibri" w:eastAsia="Times New Roman" w:hAnsi="Calibri" w:cs="Arial"/>
              </w:rPr>
              <w:t>98</w:t>
            </w:r>
            <w:r w:rsidR="006C029D" w:rsidRPr="00F31693">
              <w:rPr>
                <w:rFonts w:ascii="Calibri" w:eastAsia="Times New Roman" w:hAnsi="Calibri" w:cs="Arial"/>
              </w:rPr>
              <w:t>%</w:t>
            </w:r>
          </w:p>
        </w:tc>
      </w:tr>
    </w:tbl>
    <w:p w14:paraId="3CB15277" w14:textId="77777777" w:rsidR="006C029D" w:rsidRPr="00F31693" w:rsidRDefault="006C029D" w:rsidP="0048130B">
      <w:pPr>
        <w:pStyle w:val="NoSpacing"/>
      </w:pPr>
    </w:p>
    <w:p w14:paraId="79B57505" w14:textId="77777777" w:rsidR="00560391" w:rsidRPr="00F31693" w:rsidRDefault="00FE359C" w:rsidP="006C029D">
      <w:r w:rsidRPr="00F31693">
        <w:t>Increases</w:t>
      </w:r>
      <w:r w:rsidR="006C029D" w:rsidRPr="00F31693">
        <w:t xml:space="preserve"> in personal transactional accounts were not overly significant at </w:t>
      </w:r>
      <w:r w:rsidRPr="00F31693">
        <w:t>0.57</w:t>
      </w:r>
      <w:r w:rsidR="006C029D" w:rsidRPr="00F31693">
        <w:t xml:space="preserve">%. Business and other non-personal accounts </w:t>
      </w:r>
      <w:r w:rsidRPr="00F31693">
        <w:t>increased</w:t>
      </w:r>
      <w:r w:rsidR="006C029D" w:rsidRPr="00F31693">
        <w:t xml:space="preserve"> by </w:t>
      </w:r>
      <w:r w:rsidRPr="00F31693">
        <w:t>8.23</w:t>
      </w:r>
      <w:r w:rsidR="006C029D" w:rsidRPr="00F31693">
        <w:t xml:space="preserve">% </w:t>
      </w:r>
      <w:r w:rsidRPr="00F31693">
        <w:t>and continued efforts in FY</w:t>
      </w:r>
      <w:r w:rsidR="00DF49A8">
        <w:t>E</w:t>
      </w:r>
      <w:r w:rsidRPr="00F31693">
        <w:t xml:space="preserve"> 2017</w:t>
      </w:r>
      <w:r w:rsidR="006C029D" w:rsidRPr="00F31693">
        <w:t xml:space="preserve"> will be made to increase this market segment.</w:t>
      </w:r>
    </w:p>
    <w:p w14:paraId="41574032" w14:textId="77777777" w:rsidR="00A95E97" w:rsidRPr="00F31693" w:rsidRDefault="00A95E97" w:rsidP="00A95E97">
      <w:pPr>
        <w:rPr>
          <w:b/>
        </w:rPr>
      </w:pPr>
      <w:r w:rsidRPr="00F31693">
        <w:rPr>
          <w:b/>
        </w:rPr>
        <w:t>CIP/CDD/EDD</w:t>
      </w:r>
    </w:p>
    <w:p w14:paraId="4B468FE9" w14:textId="7B7DC43B" w:rsidR="00A95E97" w:rsidRPr="00F31693" w:rsidRDefault="00A95E97" w:rsidP="00A95E97">
      <w:r w:rsidRPr="00F31693">
        <w:t xml:space="preserve">At account opening, customer identification is required and verified through documentary and non- documentary methods and a customer profile is created. CIP is performed on any person or business (including business account signers) opening an account. Each person must present primary and secondary forms of identification consistent with the requirements </w:t>
      </w:r>
      <w:proofErr w:type="gramStart"/>
      <w:r w:rsidRPr="00F31693">
        <w:t>outlined</w:t>
      </w:r>
      <w:proofErr w:type="gramEnd"/>
      <w:r w:rsidRPr="00F31693">
        <w:t xml:space="preserve"> the CIP Procedures. At a minimum, the following information must be obtained: name, date of birth, tax identification number, physical address, occupation, line of business and telephone number. For “persons” other than individuals (such </w:t>
      </w:r>
      <w:proofErr w:type="gramStart"/>
      <w:r w:rsidRPr="00F31693">
        <w:t>as;</w:t>
      </w:r>
      <w:proofErr w:type="gramEnd"/>
      <w:r w:rsidRPr="00F31693">
        <w:t xml:space="preserve"> corporations, partnerships, or trusts), </w:t>
      </w:r>
      <w:r w:rsidR="006473DB">
        <w:t xml:space="preserve">J. Wallace </w:t>
      </w:r>
      <w:r w:rsidRPr="00F31693">
        <w:t xml:space="preserve">requires documentation showing the legal existence of the entity. Customer due diligence is performed for all types of customers, and </w:t>
      </w:r>
      <w:proofErr w:type="gramStart"/>
      <w:r w:rsidRPr="00F31693">
        <w:t>enhance</w:t>
      </w:r>
      <w:proofErr w:type="gramEnd"/>
      <w:r w:rsidRPr="00F31693">
        <w:t xml:space="preserve"> due diligence is performed for higher risk customers at account opening and throughout the term of the relationship. Accounts are usually denied if negative records are found through verifications. All customers are subject to periodic reviews based on their risk levels.</w:t>
      </w:r>
    </w:p>
    <w:p w14:paraId="6D0BBE00" w14:textId="77777777" w:rsidR="00CE2597" w:rsidRPr="00F31693" w:rsidRDefault="00A95E97" w:rsidP="00A95E97">
      <w:r w:rsidRPr="00F31693">
        <w:t xml:space="preserve">Per Section 326 of the USA PATRIOT Act of 2001, the Bank reviewed its Customer Identification Program (“CIP”) considering the law’s requirements. The CIP defines the procedures and activities within the Bank for complying with the BSA/AML regulations and all new account openings apply CIP requirements. </w:t>
      </w:r>
    </w:p>
    <w:p w14:paraId="7684F677" w14:textId="77777777" w:rsidR="00A95E97" w:rsidRPr="00F31693" w:rsidRDefault="00A95E97" w:rsidP="00A95E97">
      <w:r w:rsidRPr="00F31693">
        <w:t>These include:</w:t>
      </w:r>
    </w:p>
    <w:p w14:paraId="65F025CB" w14:textId="77777777" w:rsidR="00A95E97" w:rsidRPr="00F31693" w:rsidRDefault="00A95E97" w:rsidP="00CE2597">
      <w:pPr>
        <w:pStyle w:val="ListParagraph"/>
        <w:numPr>
          <w:ilvl w:val="0"/>
          <w:numId w:val="9"/>
        </w:numPr>
      </w:pPr>
      <w:r w:rsidRPr="00F31693">
        <w:t>Risk based account opening verification procedures and controls to verify the identity of any person or business entity seeking to open an account.</w:t>
      </w:r>
    </w:p>
    <w:p w14:paraId="48E6D29C" w14:textId="77777777" w:rsidR="00A95E97" w:rsidRPr="00F31693" w:rsidRDefault="00A95E97" w:rsidP="00CE2597">
      <w:pPr>
        <w:pStyle w:val="ListParagraph"/>
        <w:numPr>
          <w:ilvl w:val="0"/>
          <w:numId w:val="9"/>
        </w:numPr>
      </w:pPr>
      <w:r w:rsidRPr="00F31693">
        <w:t xml:space="preserve">Record maintenance procedures to record the information used to verify the </w:t>
      </w:r>
      <w:proofErr w:type="gramStart"/>
      <w:r w:rsidRPr="00F31693">
        <w:t>person</w:t>
      </w:r>
      <w:proofErr w:type="gramEnd"/>
      <w:r w:rsidRPr="00F31693">
        <w:t xml:space="preserve"> or business identity.</w:t>
      </w:r>
    </w:p>
    <w:p w14:paraId="5A2A79CB" w14:textId="77777777" w:rsidR="00A95E97" w:rsidRPr="00F31693" w:rsidRDefault="00A95E97" w:rsidP="00CE2597">
      <w:pPr>
        <w:pStyle w:val="ListParagraph"/>
        <w:numPr>
          <w:ilvl w:val="0"/>
          <w:numId w:val="9"/>
        </w:numPr>
      </w:pPr>
      <w:r w:rsidRPr="00F31693">
        <w:t xml:space="preserve">Collecting sufficient information to develop a transaction profile </w:t>
      </w:r>
      <w:proofErr w:type="gramStart"/>
      <w:r w:rsidRPr="00F31693">
        <w:t>on</w:t>
      </w:r>
      <w:proofErr w:type="gramEnd"/>
      <w:r w:rsidRPr="00F31693">
        <w:t xml:space="preserve"> all new customers. The primary objective of this procedure is to enable the Bank to predict with relative certainty the transaction activity in which the customer is likely to be engaged.</w:t>
      </w:r>
    </w:p>
    <w:p w14:paraId="2A8F59C2" w14:textId="77777777" w:rsidR="00A95E97" w:rsidRPr="00F31693" w:rsidRDefault="00A95E97" w:rsidP="00CE2597">
      <w:pPr>
        <w:pStyle w:val="ListParagraph"/>
        <w:numPr>
          <w:ilvl w:val="0"/>
          <w:numId w:val="9"/>
        </w:numPr>
      </w:pPr>
      <w:r w:rsidRPr="00F31693">
        <w:t>Reporting responsibilities and procedures for account opening activities that identify suspicious activity which may warrant investigation and/or the required filing of a Suspicious Activity Report (SAR) to authorities.</w:t>
      </w:r>
    </w:p>
    <w:p w14:paraId="5873285D" w14:textId="77777777" w:rsidR="00A95E97" w:rsidRPr="00F31693" w:rsidRDefault="00A95E97" w:rsidP="00CE2597">
      <w:pPr>
        <w:pStyle w:val="ListParagraph"/>
        <w:numPr>
          <w:ilvl w:val="0"/>
          <w:numId w:val="9"/>
        </w:numPr>
      </w:pPr>
      <w:r w:rsidRPr="00F31693">
        <w:t>Periodic review and reporting by the Bank’s BSA Department on customers to determine whether the person or entity appears on any government agency lists of known or suspected terrorists or terrorist organizations.</w:t>
      </w:r>
    </w:p>
    <w:p w14:paraId="54E05D2A" w14:textId="77777777" w:rsidR="00A95E97" w:rsidRPr="00F31693" w:rsidRDefault="00A95E97" w:rsidP="00CE2597">
      <w:pPr>
        <w:pStyle w:val="ListParagraph"/>
        <w:numPr>
          <w:ilvl w:val="0"/>
          <w:numId w:val="9"/>
        </w:numPr>
      </w:pPr>
      <w:r w:rsidRPr="00F31693">
        <w:t>Initial and recurring training on both the regulations and the Banks Customer Identification Program; such training to occur at least annually.</w:t>
      </w:r>
    </w:p>
    <w:p w14:paraId="3E62E4E2" w14:textId="77777777" w:rsidR="00A95E97" w:rsidRPr="00F31693" w:rsidRDefault="00A95E97" w:rsidP="00CE2597">
      <w:pPr>
        <w:pStyle w:val="ListParagraph"/>
        <w:numPr>
          <w:ilvl w:val="0"/>
          <w:numId w:val="9"/>
        </w:numPr>
      </w:pPr>
      <w:r w:rsidRPr="00F31693">
        <w:t>Management and Board of Director reporting requirements.</w:t>
      </w:r>
    </w:p>
    <w:p w14:paraId="72F376A8" w14:textId="77777777" w:rsidR="00A95E97" w:rsidRPr="00F31693" w:rsidRDefault="00A95E97" w:rsidP="00CE2597">
      <w:pPr>
        <w:pStyle w:val="ListParagraph"/>
        <w:numPr>
          <w:ilvl w:val="0"/>
          <w:numId w:val="9"/>
        </w:numPr>
      </w:pPr>
      <w:r w:rsidRPr="00F31693">
        <w:lastRenderedPageBreak/>
        <w:t>Revisions are made as needed to the CIP, with a minimum of an annual review.</w:t>
      </w:r>
    </w:p>
    <w:p w14:paraId="011C12F5" w14:textId="77777777" w:rsidR="00A95E97" w:rsidRPr="00F31693" w:rsidRDefault="00A95E97" w:rsidP="00CE2597">
      <w:pPr>
        <w:pStyle w:val="ListParagraph"/>
        <w:numPr>
          <w:ilvl w:val="0"/>
          <w:numId w:val="9"/>
        </w:numPr>
      </w:pPr>
      <w:r w:rsidRPr="00F31693">
        <w:t>Compliance verification review of the Banks Customer Identification Program in accordance with the Interagency CIP examination procedures to be completed by an independent party.</w:t>
      </w:r>
    </w:p>
    <w:p w14:paraId="2D0FE14D" w14:textId="77777777" w:rsidR="00A95E97" w:rsidRPr="00F31693" w:rsidRDefault="00A95E97" w:rsidP="00A95E97">
      <w:pPr>
        <w:pStyle w:val="ListParagraph"/>
        <w:numPr>
          <w:ilvl w:val="0"/>
          <w:numId w:val="9"/>
        </w:numPr>
      </w:pPr>
      <w:r w:rsidRPr="00F31693">
        <w:t>Periodic monitoring of compliance with CIP policies and procedures by the BSA/AML Officer.</w:t>
      </w:r>
    </w:p>
    <w:p w14:paraId="55430577" w14:textId="77777777" w:rsidR="00A95E97" w:rsidRPr="00F31693" w:rsidRDefault="00A95E97" w:rsidP="00A95E97">
      <w:pPr>
        <w:pStyle w:val="ListParagraph"/>
        <w:numPr>
          <w:ilvl w:val="0"/>
          <w:numId w:val="9"/>
        </w:numPr>
      </w:pPr>
      <w:r w:rsidRPr="00F31693">
        <w:t xml:space="preserve">The Bank does not currently make use of the Reliance Provision for account </w:t>
      </w:r>
      <w:proofErr w:type="gramStart"/>
      <w:r w:rsidRPr="00F31693">
        <w:t>opening, but</w:t>
      </w:r>
      <w:proofErr w:type="gramEnd"/>
      <w:r w:rsidRPr="00F31693">
        <w:t xml:space="preserve"> may consider in the future. If the Bank does make use of the Reliance Provision, prior to doing so will evaluate its’ procedures and controls and effect necessary changes to this policy.</w:t>
      </w:r>
    </w:p>
    <w:p w14:paraId="073577F2" w14:textId="77777777" w:rsidR="00A95E97" w:rsidRPr="00F31693" w:rsidRDefault="00A95E97" w:rsidP="00A95E97">
      <w:pPr>
        <w:rPr>
          <w:b/>
        </w:rPr>
      </w:pPr>
      <w:r w:rsidRPr="00F31693">
        <w:rPr>
          <w:b/>
        </w:rPr>
        <w:t xml:space="preserve">High Risk Customers </w:t>
      </w:r>
    </w:p>
    <w:p w14:paraId="29472248" w14:textId="22DE0040" w:rsidR="00A95E97" w:rsidRPr="00F31693" w:rsidRDefault="006473DB" w:rsidP="00A95E97">
      <w:r>
        <w:t xml:space="preserve">J. Wallace </w:t>
      </w:r>
      <w:r w:rsidR="00A95E97" w:rsidRPr="00F31693">
        <w:t xml:space="preserve">has a moderate number of </w:t>
      </w:r>
      <w:proofErr w:type="gramStart"/>
      <w:r w:rsidR="00A95E97" w:rsidRPr="00F31693">
        <w:t>high risk</w:t>
      </w:r>
      <w:proofErr w:type="gramEnd"/>
      <w:r w:rsidR="00A95E97" w:rsidRPr="00F31693">
        <w:t xml:space="preserve"> customers </w:t>
      </w:r>
      <w:r w:rsidR="006544AC" w:rsidRPr="00F31693">
        <w:t>and</w:t>
      </w:r>
      <w:r w:rsidR="00A95E97" w:rsidRPr="00F31693">
        <w:t xml:space="preserve"> a </w:t>
      </w:r>
      <w:r w:rsidR="00E83654" w:rsidRPr="00F31693">
        <w:t>moderate</w:t>
      </w:r>
      <w:r w:rsidR="00A95E97" w:rsidRPr="00F31693">
        <w:t xml:space="preserve"> number of cash-intensive retail business</w:t>
      </w:r>
      <w:r w:rsidR="00E83654" w:rsidRPr="00F31693">
        <w:t xml:space="preserve"> and service provider</w:t>
      </w:r>
      <w:r w:rsidR="00A95E97" w:rsidRPr="00F31693">
        <w:t xml:space="preserve"> customers, such as </w:t>
      </w:r>
      <w:r w:rsidR="00C4083B" w:rsidRPr="00F31693">
        <w:t>Accountants, Doctors, Dentists, MSB’s,</w:t>
      </w:r>
      <w:r w:rsidR="00A95E97" w:rsidRPr="00F31693">
        <w:t xml:space="preserve"> food stores, restaurants</w:t>
      </w:r>
      <w:r w:rsidR="00C4083B" w:rsidRPr="00F31693">
        <w:t xml:space="preserve"> and</w:t>
      </w:r>
      <w:r w:rsidR="00A95E97" w:rsidRPr="00F31693">
        <w:t xml:space="preserve"> super markets.</w:t>
      </w:r>
    </w:p>
    <w:p w14:paraId="28FAF3CF" w14:textId="77777777" w:rsidR="00EA3D76" w:rsidRPr="00F31693" w:rsidRDefault="00EA3D76" w:rsidP="0047076A">
      <w:r w:rsidRPr="00F31693">
        <w:t>The number of cash intensive businesses</w:t>
      </w:r>
      <w:r w:rsidR="00BD4550" w:rsidRPr="00F31693">
        <w:t xml:space="preserve"> </w:t>
      </w:r>
      <w:r w:rsidR="006544AC" w:rsidRPr="00F31693">
        <w:t>h</w:t>
      </w:r>
      <w:r w:rsidR="00BD4550" w:rsidRPr="00F31693">
        <w:t xml:space="preserve">as decreased with </w:t>
      </w:r>
      <w:r w:rsidR="004A067C" w:rsidRPr="00F31693">
        <w:t>Charitable Organizations</w:t>
      </w:r>
      <w:r w:rsidRPr="00F31693">
        <w:t>,</w:t>
      </w:r>
      <w:r w:rsidR="004A067C" w:rsidRPr="00F31693">
        <w:t xml:space="preserve"> Account</w:t>
      </w:r>
      <w:r w:rsidR="004A0766" w:rsidRPr="00F31693">
        <w:t>ant</w:t>
      </w:r>
      <w:r w:rsidR="004A067C" w:rsidRPr="00F31693">
        <w:t>s &amp; CPA’s, other ser</w:t>
      </w:r>
      <w:r w:rsidRPr="00F31693">
        <w:t>vice providers,</w:t>
      </w:r>
      <w:r w:rsidR="00E674DB" w:rsidRPr="00F31693">
        <w:t xml:space="preserve"> retail stores and restaurants seeing a moderate increase. </w:t>
      </w:r>
      <w:r w:rsidR="002B227F" w:rsidRPr="00F31693">
        <w:t>Doctors</w:t>
      </w:r>
      <w:r w:rsidR="000305C7" w:rsidRPr="00F31693">
        <w:t>,</w:t>
      </w:r>
      <w:r w:rsidR="00E674DB" w:rsidRPr="00F31693">
        <w:t xml:space="preserve"> Dentists, Lawyers, MSB’s</w:t>
      </w:r>
      <w:r w:rsidR="0047076A" w:rsidRPr="00F31693">
        <w:t xml:space="preserve"> and Jewelry Stores have</w:t>
      </w:r>
      <w:r w:rsidRPr="00F31693">
        <w:t xml:space="preserve"> relatively remained </w:t>
      </w:r>
      <w:r w:rsidR="00333EE2" w:rsidRPr="00F31693">
        <w:t>static</w:t>
      </w:r>
      <w:r w:rsidRPr="00F31693">
        <w:t xml:space="preserve"> since last assessment period. </w:t>
      </w:r>
    </w:p>
    <w:p w14:paraId="3E6802E6" w14:textId="77777777" w:rsidR="00A95E97" w:rsidRPr="00F31693" w:rsidRDefault="00A95E97" w:rsidP="00A95E97">
      <w:r w:rsidRPr="00F31693">
        <w:t>The Bank considered the account classifications of high-risk customers and businesses as defined in the Bank's Customer Risk Classifications Procedures. Also considered were research of account activity, front line personnel experience and the current regulatory environment. Use of the Automated Anti-Money Laundering System</w:t>
      </w:r>
      <w:r w:rsidR="004C6590" w:rsidRPr="00F31693">
        <w:t>, Patriot Officer</w:t>
      </w:r>
      <w:r w:rsidRPr="00F31693">
        <w:t xml:space="preserve"> and employee training has increased awareness and detection of suspicious activity. </w:t>
      </w:r>
    </w:p>
    <w:p w14:paraId="3743FBF6" w14:textId="77777777" w:rsidR="00A95E97" w:rsidRPr="00F31693" w:rsidRDefault="008C0F6E" w:rsidP="00A95E97">
      <w:r w:rsidRPr="00F31693">
        <w:t xml:space="preserve">During </w:t>
      </w:r>
      <w:r w:rsidR="00F54F21" w:rsidRPr="00F31693">
        <w:t>previous risk</w:t>
      </w:r>
      <w:r w:rsidRPr="00F31693">
        <w:t xml:space="preserve"> assessment period</w:t>
      </w:r>
      <w:r w:rsidR="00F54F21" w:rsidRPr="00F31693">
        <w:t>s</w:t>
      </w:r>
      <w:r w:rsidRPr="00F31693">
        <w:t xml:space="preserve"> th</w:t>
      </w:r>
      <w:r w:rsidR="00A95E97" w:rsidRPr="00F31693">
        <w:t xml:space="preserve">e increased focus on obtaining retail business customers doubled customers considered high </w:t>
      </w:r>
      <w:proofErr w:type="gramStart"/>
      <w:r w:rsidR="00A95E97" w:rsidRPr="00F31693">
        <w:t>risk</w:t>
      </w:r>
      <w:proofErr w:type="gramEnd"/>
      <w:r w:rsidR="00A95E97" w:rsidRPr="00F31693">
        <w:t xml:space="preserve"> which necessitate</w:t>
      </w:r>
      <w:r w:rsidR="00ED44D7" w:rsidRPr="00F31693">
        <w:t>d</w:t>
      </w:r>
      <w:r w:rsidR="00A95E97" w:rsidRPr="00F31693">
        <w:t xml:space="preserve"> increased</w:t>
      </w:r>
      <w:r w:rsidRPr="00F31693">
        <w:t xml:space="preserve"> and ongoing </w:t>
      </w:r>
      <w:r w:rsidR="00A95E97" w:rsidRPr="00F31693">
        <w:t xml:space="preserve">monitoring of these customers transactions. </w:t>
      </w:r>
      <w:r w:rsidR="00ED44D7" w:rsidRPr="00F31693">
        <w:t xml:space="preserve">During the current assessment </w:t>
      </w:r>
      <w:r w:rsidR="00B57405" w:rsidRPr="00F31693">
        <w:t xml:space="preserve">period </w:t>
      </w:r>
      <w:r w:rsidR="005500AF" w:rsidRPr="00F31693">
        <w:t xml:space="preserve">there was a decrease in the number of </w:t>
      </w:r>
      <w:proofErr w:type="gramStart"/>
      <w:r w:rsidR="00B57405" w:rsidRPr="00F31693">
        <w:t>high risk</w:t>
      </w:r>
      <w:proofErr w:type="gramEnd"/>
      <w:r w:rsidR="00B57405" w:rsidRPr="00F31693">
        <w:t xml:space="preserve"> customers</w:t>
      </w:r>
      <w:r w:rsidR="005500AF" w:rsidRPr="00F31693">
        <w:t>,</w:t>
      </w:r>
      <w:r w:rsidR="00B57405" w:rsidRPr="00F31693">
        <w:t xml:space="preserve"> from </w:t>
      </w:r>
      <w:r w:rsidR="00803207" w:rsidRPr="00F31693">
        <w:t>220</w:t>
      </w:r>
      <w:r w:rsidR="00B57405" w:rsidRPr="00F31693">
        <w:t xml:space="preserve"> to </w:t>
      </w:r>
      <w:r w:rsidR="00803207" w:rsidRPr="00F31693">
        <w:t>157, a decrease of 63 customers or 29%</w:t>
      </w:r>
      <w:r w:rsidR="00B57405" w:rsidRPr="00F31693">
        <w:t>.</w:t>
      </w:r>
    </w:p>
    <w:p w14:paraId="4625CE01" w14:textId="77777777" w:rsidR="00E87135" w:rsidRPr="00F31693" w:rsidRDefault="002A5C10" w:rsidP="00E87135">
      <w:r w:rsidRPr="00F31693">
        <w:t>D</w:t>
      </w:r>
      <w:r w:rsidR="00E87135" w:rsidRPr="00F31693">
        <w:t xml:space="preserve">ue to the reclassification of accounts </w:t>
      </w:r>
      <w:r w:rsidRPr="00F31693">
        <w:t>during the 3</w:t>
      </w:r>
      <w:r w:rsidRPr="00F31693">
        <w:rPr>
          <w:vertAlign w:val="superscript"/>
        </w:rPr>
        <w:t>rd</w:t>
      </w:r>
      <w:r w:rsidRPr="00F31693">
        <w:t xml:space="preserve"> quarter</w:t>
      </w:r>
      <w:r w:rsidR="00E87135" w:rsidRPr="00F31693">
        <w:t xml:space="preserve">, there were </w:t>
      </w:r>
      <w:r w:rsidRPr="00F31693">
        <w:t>157</w:t>
      </w:r>
      <w:r w:rsidR="00E87135" w:rsidRPr="00F31693">
        <w:t xml:space="preserve"> customers reclassified as High Risk and scheduled for </w:t>
      </w:r>
      <w:proofErr w:type="gramStart"/>
      <w:r w:rsidR="00E87135" w:rsidRPr="00F31693">
        <w:t>EDD</w:t>
      </w:r>
      <w:proofErr w:type="gramEnd"/>
      <w:r w:rsidR="001632C6" w:rsidRPr="00F31693">
        <w:t xml:space="preserve"> which was completed</w:t>
      </w:r>
      <w:r w:rsidR="00E87135" w:rsidRPr="00F31693">
        <w:t>.</w:t>
      </w:r>
      <w:r w:rsidR="00573E2B" w:rsidRPr="00F31693">
        <w:t xml:space="preserve"> This decrease was due to the review of</w:t>
      </w:r>
      <w:r w:rsidR="00E87135" w:rsidRPr="00F31693">
        <w:t xml:space="preserve"> </w:t>
      </w:r>
      <w:r w:rsidR="00573E2B" w:rsidRPr="00F31693">
        <w:t xml:space="preserve">63 </w:t>
      </w:r>
      <w:r w:rsidR="006111D2" w:rsidRPr="00F31693">
        <w:t>accounts;</w:t>
      </w:r>
      <w:r w:rsidR="00573E2B" w:rsidRPr="00F31693">
        <w:t xml:space="preserve"> mostly professional service providers </w:t>
      </w:r>
      <w:proofErr w:type="gramStart"/>
      <w:r w:rsidR="00573E2B" w:rsidRPr="00F31693">
        <w:t>who</w:t>
      </w:r>
      <w:proofErr w:type="gramEnd"/>
      <w:r w:rsidR="00573E2B" w:rsidRPr="00F31693">
        <w:t xml:space="preserve"> while inherently high </w:t>
      </w:r>
      <w:r w:rsidR="006111D2" w:rsidRPr="00F31693">
        <w:t>risk</w:t>
      </w:r>
      <w:r w:rsidR="00573E2B" w:rsidRPr="00F31693">
        <w:t xml:space="preserve"> had at least 3 consecutive reviews with no </w:t>
      </w:r>
      <w:r w:rsidR="009B071E" w:rsidRPr="00F31693">
        <w:t xml:space="preserve">unusual or suspicious activity. These </w:t>
      </w:r>
      <w:r w:rsidR="009B12D9" w:rsidRPr="00F31693">
        <w:t xml:space="preserve">63 </w:t>
      </w:r>
      <w:r w:rsidR="009B071E" w:rsidRPr="00F31693">
        <w:t>customers were however placed in monitoring status in the transaction monitoring system Patriot Officer to immediately notify the department of any suspicious activity.</w:t>
      </w:r>
      <w:r w:rsidR="001632C6" w:rsidRPr="00F31693">
        <w:t xml:space="preserve"> The current high risk customer list stands at </w:t>
      </w:r>
      <w:r w:rsidRPr="00F31693">
        <w:t>157</w:t>
      </w:r>
      <w:r w:rsidR="001632C6" w:rsidRPr="00F31693">
        <w:t>.</w:t>
      </w:r>
    </w:p>
    <w:p w14:paraId="335CDAB3" w14:textId="77777777" w:rsidR="008E5167" w:rsidRPr="00F31693" w:rsidRDefault="008E5167" w:rsidP="00E87135">
      <w:r w:rsidRPr="00F31693">
        <w:t>The following procedure is in place for a</w:t>
      </w:r>
      <w:r w:rsidR="002B227F" w:rsidRPr="00F31693">
        <w:t xml:space="preserve"> potential</w:t>
      </w:r>
      <w:r w:rsidRPr="00F31693">
        <w:t xml:space="preserve"> </w:t>
      </w:r>
      <w:r w:rsidR="002B227F" w:rsidRPr="00F31693">
        <w:t>Watch List match:</w:t>
      </w:r>
    </w:p>
    <w:p w14:paraId="0C3ED2CE" w14:textId="77777777" w:rsidR="008E5167" w:rsidRPr="00F31693" w:rsidRDefault="008E5167" w:rsidP="008E5167">
      <w:pPr>
        <w:pStyle w:val="ListParagraph"/>
        <w:widowControl w:val="0"/>
        <w:numPr>
          <w:ilvl w:val="0"/>
          <w:numId w:val="28"/>
        </w:numPr>
        <w:spacing w:after="0" w:line="240" w:lineRule="auto"/>
        <w:contextualSpacing w:val="0"/>
        <w:jc w:val="both"/>
        <w:rPr>
          <w:b/>
          <w:i/>
        </w:rPr>
      </w:pPr>
      <w:r w:rsidRPr="00F31693">
        <w:rPr>
          <w:b/>
          <w:i/>
        </w:rPr>
        <w:t xml:space="preserve">Watch List Report – </w:t>
      </w:r>
      <w:r w:rsidRPr="00F31693">
        <w:rPr>
          <w:b/>
          <w:i/>
          <w:u w:val="single"/>
        </w:rPr>
        <w:t>If Matches Found</w:t>
      </w:r>
      <w:r w:rsidRPr="00F31693">
        <w:rPr>
          <w:b/>
          <w:i/>
        </w:rPr>
        <w:t xml:space="preserve"> – Change Record Status to “Undetermined” and assign the report to the BSA Department for review - Click Save. This will generate an email Alert to multiple </w:t>
      </w:r>
      <w:proofErr w:type="gramStart"/>
      <w:r w:rsidRPr="00F31693">
        <w:rPr>
          <w:b/>
          <w:i/>
        </w:rPr>
        <w:t>persons</w:t>
      </w:r>
      <w:proofErr w:type="gramEnd"/>
      <w:r w:rsidRPr="00F31693">
        <w:rPr>
          <w:b/>
          <w:i/>
        </w:rPr>
        <w:t xml:space="preserve"> for review. </w:t>
      </w:r>
    </w:p>
    <w:p w14:paraId="6129F124" w14:textId="77777777" w:rsidR="008E5167" w:rsidRPr="00F31693" w:rsidRDefault="008E5167" w:rsidP="008E5167">
      <w:pPr>
        <w:pStyle w:val="ListParagraph"/>
        <w:widowControl w:val="0"/>
        <w:spacing w:after="0" w:line="240" w:lineRule="auto"/>
        <w:contextualSpacing w:val="0"/>
        <w:jc w:val="both"/>
        <w:rPr>
          <w:b/>
          <w:i/>
        </w:rPr>
      </w:pPr>
    </w:p>
    <w:p w14:paraId="2114D6C9" w14:textId="77777777" w:rsidR="008E5167" w:rsidRPr="00F31693" w:rsidRDefault="008E5167" w:rsidP="008E5167">
      <w:pPr>
        <w:pStyle w:val="ListParagraph"/>
        <w:widowControl w:val="0"/>
        <w:numPr>
          <w:ilvl w:val="0"/>
          <w:numId w:val="29"/>
        </w:numPr>
        <w:spacing w:after="0" w:line="240" w:lineRule="auto"/>
        <w:contextualSpacing w:val="0"/>
        <w:jc w:val="both"/>
      </w:pPr>
      <w:r w:rsidRPr="00F31693">
        <w:rPr>
          <w:b/>
        </w:rPr>
        <w:t>Do not proceed with the transaction until the report is approved by the BSA Department.</w:t>
      </w:r>
      <w:r w:rsidRPr="00F31693">
        <w:t xml:space="preserve"> Assign the Report to “BSA Department” and click “Save”. After approval you will receive an email </w:t>
      </w:r>
      <w:proofErr w:type="gramStart"/>
      <w:r w:rsidRPr="00F31693">
        <w:t>advising</w:t>
      </w:r>
      <w:proofErr w:type="gramEnd"/>
      <w:r w:rsidRPr="00F31693">
        <w:t xml:space="preserve"> the report has been assigned back to you. Access the report in your “Alert Inbox”; change the Alert State to “Close” and click “Save”. Print the Watch List Report. If a positive match is determined do not proceed with the transaction and follow OFAC Reporting Procedures.</w:t>
      </w:r>
    </w:p>
    <w:p w14:paraId="3780954B" w14:textId="77777777" w:rsidR="008E5167" w:rsidRPr="00F31693" w:rsidRDefault="008E5167" w:rsidP="008E5167">
      <w:pPr>
        <w:pStyle w:val="ListParagraph"/>
        <w:widowControl w:val="0"/>
        <w:spacing w:after="0" w:line="240" w:lineRule="auto"/>
        <w:ind w:left="1080"/>
        <w:contextualSpacing w:val="0"/>
        <w:jc w:val="both"/>
      </w:pPr>
    </w:p>
    <w:p w14:paraId="5AEC2188" w14:textId="77777777" w:rsidR="00A95E97" w:rsidRPr="00F31693" w:rsidRDefault="00A95E97" w:rsidP="00A95E97">
      <w:r w:rsidRPr="00F31693">
        <w:t xml:space="preserve">We currently have </w:t>
      </w:r>
      <w:r w:rsidR="001B4EFA" w:rsidRPr="00F31693">
        <w:t>157</w:t>
      </w:r>
      <w:r w:rsidRPr="00F31693">
        <w:t xml:space="preserve"> customers classified as High Risk based on their business type. A breakdown of these customer classifications is as follows: </w:t>
      </w:r>
    </w:p>
    <w:tbl>
      <w:tblPr>
        <w:tblW w:w="8680" w:type="dxa"/>
        <w:tblInd w:w="93" w:type="dxa"/>
        <w:tblLook w:val="04A0" w:firstRow="1" w:lastRow="0" w:firstColumn="1" w:lastColumn="0" w:noHBand="0" w:noVBand="1"/>
      </w:tblPr>
      <w:tblGrid>
        <w:gridCol w:w="4000"/>
        <w:gridCol w:w="1260"/>
        <w:gridCol w:w="3420"/>
      </w:tblGrid>
      <w:tr w:rsidR="000C7479" w:rsidRPr="00F31693" w14:paraId="3861B898" w14:textId="77777777" w:rsidTr="000C7479">
        <w:trPr>
          <w:trHeight w:val="450"/>
        </w:trPr>
        <w:tc>
          <w:tcPr>
            <w:tcW w:w="40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FCF3C98" w14:textId="77777777" w:rsidR="000C7479" w:rsidRPr="00F31693" w:rsidRDefault="000C7479" w:rsidP="000C7479">
            <w:pPr>
              <w:spacing w:after="0" w:line="240" w:lineRule="auto"/>
              <w:jc w:val="center"/>
              <w:rPr>
                <w:rFonts w:eastAsia="Times New Roman" w:cs="Arial"/>
                <w:b/>
                <w:bCs/>
                <w:color w:val="000000"/>
              </w:rPr>
            </w:pPr>
            <w:r w:rsidRPr="00F31693">
              <w:rPr>
                <w:rFonts w:eastAsia="Times New Roman" w:cs="Arial"/>
                <w:b/>
                <w:bCs/>
                <w:color w:val="000000"/>
              </w:rPr>
              <w:t>High Risk by Type of Business</w:t>
            </w:r>
          </w:p>
        </w:tc>
        <w:tc>
          <w:tcPr>
            <w:tcW w:w="12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C54530F" w14:textId="77777777" w:rsidR="000C7479" w:rsidRPr="00F31693" w:rsidRDefault="000C7479" w:rsidP="000C7479">
            <w:pPr>
              <w:spacing w:after="0" w:line="240" w:lineRule="auto"/>
              <w:jc w:val="center"/>
              <w:rPr>
                <w:rFonts w:eastAsia="Times New Roman" w:cs="Arial"/>
                <w:b/>
                <w:bCs/>
                <w:color w:val="000000"/>
              </w:rPr>
            </w:pPr>
            <w:r w:rsidRPr="00F31693">
              <w:rPr>
                <w:rFonts w:eastAsia="Times New Roman" w:cs="Arial"/>
                <w:b/>
                <w:bCs/>
                <w:color w:val="000000"/>
              </w:rPr>
              <w:t>Number of</w:t>
            </w:r>
            <w:r w:rsidRPr="00F31693">
              <w:rPr>
                <w:rFonts w:eastAsia="Times New Roman" w:cs="Arial"/>
                <w:b/>
                <w:bCs/>
                <w:color w:val="000000"/>
              </w:rPr>
              <w:br/>
              <w:t xml:space="preserve"> Customers</w:t>
            </w:r>
          </w:p>
        </w:tc>
        <w:tc>
          <w:tcPr>
            <w:tcW w:w="3420" w:type="dxa"/>
            <w:tcBorders>
              <w:top w:val="nil"/>
              <w:left w:val="nil"/>
              <w:bottom w:val="nil"/>
              <w:right w:val="nil"/>
            </w:tcBorders>
            <w:shd w:val="clear" w:color="auto" w:fill="auto"/>
            <w:vAlign w:val="center"/>
            <w:hideMark/>
          </w:tcPr>
          <w:p w14:paraId="0A033700" w14:textId="77777777" w:rsidR="000C7479" w:rsidRPr="00F31693" w:rsidRDefault="000C7479" w:rsidP="000C7479">
            <w:pPr>
              <w:spacing w:after="0" w:line="240" w:lineRule="auto"/>
              <w:rPr>
                <w:rFonts w:eastAsia="Times New Roman" w:cs="Arial"/>
                <w:color w:val="000000"/>
              </w:rPr>
            </w:pPr>
          </w:p>
        </w:tc>
      </w:tr>
      <w:tr w:rsidR="000C7479" w:rsidRPr="00F31693" w14:paraId="70586930" w14:textId="77777777" w:rsidTr="000C7479">
        <w:trPr>
          <w:trHeight w:val="300"/>
        </w:trPr>
        <w:tc>
          <w:tcPr>
            <w:tcW w:w="4000" w:type="dxa"/>
            <w:vMerge/>
            <w:tcBorders>
              <w:top w:val="single" w:sz="4" w:space="0" w:color="auto"/>
              <w:left w:val="single" w:sz="4" w:space="0" w:color="auto"/>
              <w:bottom w:val="single" w:sz="4" w:space="0" w:color="000000"/>
              <w:right w:val="single" w:sz="4" w:space="0" w:color="auto"/>
            </w:tcBorders>
            <w:vAlign w:val="center"/>
            <w:hideMark/>
          </w:tcPr>
          <w:p w14:paraId="17F35E89" w14:textId="77777777" w:rsidR="000C7479" w:rsidRPr="00F31693" w:rsidRDefault="000C7479" w:rsidP="000C7479">
            <w:pPr>
              <w:spacing w:after="0" w:line="240" w:lineRule="auto"/>
              <w:rPr>
                <w:rFonts w:eastAsia="Times New Roman" w:cs="Arial"/>
                <w:b/>
                <w:bCs/>
                <w:color w:val="000000"/>
              </w:rPr>
            </w:pPr>
          </w:p>
        </w:tc>
        <w:tc>
          <w:tcPr>
            <w:tcW w:w="1260" w:type="dxa"/>
            <w:vMerge/>
            <w:tcBorders>
              <w:top w:val="single" w:sz="4" w:space="0" w:color="auto"/>
              <w:left w:val="single" w:sz="4" w:space="0" w:color="auto"/>
              <w:bottom w:val="single" w:sz="4" w:space="0" w:color="000000"/>
              <w:right w:val="single" w:sz="4" w:space="0" w:color="auto"/>
            </w:tcBorders>
            <w:vAlign w:val="center"/>
            <w:hideMark/>
          </w:tcPr>
          <w:p w14:paraId="6E7E73E6" w14:textId="77777777" w:rsidR="000C7479" w:rsidRPr="00F31693" w:rsidRDefault="000C7479" w:rsidP="000C7479">
            <w:pPr>
              <w:spacing w:after="0" w:line="240" w:lineRule="auto"/>
              <w:rPr>
                <w:rFonts w:eastAsia="Times New Roman" w:cs="Arial"/>
                <w:b/>
                <w:bCs/>
                <w:color w:val="000000"/>
              </w:rPr>
            </w:pPr>
          </w:p>
        </w:tc>
        <w:tc>
          <w:tcPr>
            <w:tcW w:w="3420" w:type="dxa"/>
            <w:tcBorders>
              <w:top w:val="nil"/>
              <w:left w:val="nil"/>
              <w:bottom w:val="nil"/>
              <w:right w:val="nil"/>
            </w:tcBorders>
            <w:shd w:val="clear" w:color="auto" w:fill="auto"/>
            <w:vAlign w:val="center"/>
            <w:hideMark/>
          </w:tcPr>
          <w:p w14:paraId="04313F5C" w14:textId="77777777" w:rsidR="000C7479" w:rsidRPr="00F31693" w:rsidRDefault="000C7479" w:rsidP="000C7479">
            <w:pPr>
              <w:spacing w:after="0" w:line="240" w:lineRule="auto"/>
              <w:rPr>
                <w:rFonts w:eastAsia="Times New Roman" w:cs="Arial"/>
                <w:color w:val="000000"/>
              </w:rPr>
            </w:pPr>
          </w:p>
        </w:tc>
      </w:tr>
      <w:tr w:rsidR="000C7479" w:rsidRPr="00F31693" w14:paraId="79454901" w14:textId="77777777" w:rsidTr="000C747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0AC83C32" w14:textId="77777777" w:rsidR="000C7479" w:rsidRPr="00F31693" w:rsidRDefault="000C7479" w:rsidP="000C7479">
            <w:pPr>
              <w:spacing w:after="0" w:line="240" w:lineRule="auto"/>
              <w:rPr>
                <w:rFonts w:eastAsia="Times New Roman" w:cs="Arial"/>
                <w:b/>
                <w:bCs/>
                <w:color w:val="000000"/>
              </w:rPr>
            </w:pPr>
            <w:r w:rsidRPr="00F31693">
              <w:rPr>
                <w:rFonts w:eastAsia="Times New Roman" w:cs="Arial"/>
                <w:b/>
                <w:bCs/>
                <w:color w:val="000000"/>
              </w:rPr>
              <w:t>Doctors &amp; Dentists</w:t>
            </w:r>
          </w:p>
        </w:tc>
        <w:tc>
          <w:tcPr>
            <w:tcW w:w="1260" w:type="dxa"/>
            <w:tcBorders>
              <w:top w:val="nil"/>
              <w:left w:val="nil"/>
              <w:bottom w:val="single" w:sz="4" w:space="0" w:color="auto"/>
              <w:right w:val="single" w:sz="4" w:space="0" w:color="auto"/>
            </w:tcBorders>
            <w:shd w:val="clear" w:color="auto" w:fill="auto"/>
            <w:noWrap/>
            <w:vAlign w:val="bottom"/>
            <w:hideMark/>
          </w:tcPr>
          <w:p w14:paraId="3EB9F10D" w14:textId="77777777" w:rsidR="000C7479" w:rsidRPr="00F31693" w:rsidRDefault="001B4EFA" w:rsidP="000C7479">
            <w:pPr>
              <w:spacing w:after="0" w:line="240" w:lineRule="auto"/>
              <w:jc w:val="center"/>
              <w:rPr>
                <w:rFonts w:eastAsia="Times New Roman" w:cs="Arial"/>
                <w:color w:val="000000"/>
              </w:rPr>
            </w:pPr>
            <w:r w:rsidRPr="00F31693">
              <w:rPr>
                <w:rFonts w:eastAsia="Times New Roman" w:cs="Arial"/>
                <w:color w:val="000000"/>
              </w:rPr>
              <w:t>1</w:t>
            </w:r>
          </w:p>
        </w:tc>
        <w:tc>
          <w:tcPr>
            <w:tcW w:w="3420" w:type="dxa"/>
            <w:tcBorders>
              <w:top w:val="nil"/>
              <w:left w:val="nil"/>
              <w:bottom w:val="nil"/>
              <w:right w:val="nil"/>
            </w:tcBorders>
            <w:shd w:val="clear" w:color="auto" w:fill="auto"/>
            <w:vAlign w:val="center"/>
            <w:hideMark/>
          </w:tcPr>
          <w:p w14:paraId="7E6163F9" w14:textId="77777777" w:rsidR="000C7479" w:rsidRPr="00F31693" w:rsidRDefault="000C7479" w:rsidP="000C7479">
            <w:pPr>
              <w:spacing w:after="0" w:line="240" w:lineRule="auto"/>
              <w:rPr>
                <w:rFonts w:eastAsia="Times New Roman" w:cs="Arial"/>
                <w:color w:val="000000"/>
              </w:rPr>
            </w:pPr>
          </w:p>
        </w:tc>
      </w:tr>
      <w:tr w:rsidR="000C7479" w:rsidRPr="00F31693" w14:paraId="0C3D8D48" w14:textId="77777777" w:rsidTr="000C747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720EADD0" w14:textId="77777777" w:rsidR="000C7479" w:rsidRPr="00F31693" w:rsidRDefault="000C7479" w:rsidP="000C7479">
            <w:pPr>
              <w:spacing w:after="0" w:line="240" w:lineRule="auto"/>
              <w:rPr>
                <w:rFonts w:eastAsia="Times New Roman" w:cs="Arial"/>
                <w:b/>
                <w:bCs/>
                <w:color w:val="000000"/>
              </w:rPr>
            </w:pPr>
            <w:r w:rsidRPr="00F31693">
              <w:rPr>
                <w:rFonts w:eastAsia="Times New Roman" w:cs="Arial"/>
                <w:b/>
                <w:bCs/>
                <w:color w:val="000000"/>
              </w:rPr>
              <w:t>Lawyers</w:t>
            </w:r>
          </w:p>
        </w:tc>
        <w:tc>
          <w:tcPr>
            <w:tcW w:w="1260" w:type="dxa"/>
            <w:tcBorders>
              <w:top w:val="nil"/>
              <w:left w:val="nil"/>
              <w:bottom w:val="single" w:sz="4" w:space="0" w:color="auto"/>
              <w:right w:val="single" w:sz="4" w:space="0" w:color="auto"/>
            </w:tcBorders>
            <w:shd w:val="clear" w:color="auto" w:fill="auto"/>
            <w:noWrap/>
            <w:vAlign w:val="bottom"/>
            <w:hideMark/>
          </w:tcPr>
          <w:p w14:paraId="382EE78B" w14:textId="77777777" w:rsidR="000C7479" w:rsidRPr="00F31693" w:rsidRDefault="001B4EFA" w:rsidP="000C7479">
            <w:pPr>
              <w:spacing w:after="0" w:line="240" w:lineRule="auto"/>
              <w:jc w:val="center"/>
              <w:rPr>
                <w:rFonts w:eastAsia="Times New Roman" w:cs="Arial"/>
                <w:color w:val="000000"/>
              </w:rPr>
            </w:pPr>
            <w:r w:rsidRPr="00F31693">
              <w:rPr>
                <w:rFonts w:eastAsia="Times New Roman" w:cs="Arial"/>
                <w:color w:val="000000"/>
              </w:rPr>
              <w:t>29</w:t>
            </w:r>
          </w:p>
        </w:tc>
        <w:tc>
          <w:tcPr>
            <w:tcW w:w="3420" w:type="dxa"/>
            <w:tcBorders>
              <w:top w:val="nil"/>
              <w:left w:val="nil"/>
              <w:bottom w:val="nil"/>
              <w:right w:val="nil"/>
            </w:tcBorders>
            <w:shd w:val="clear" w:color="auto" w:fill="auto"/>
            <w:vAlign w:val="center"/>
            <w:hideMark/>
          </w:tcPr>
          <w:p w14:paraId="7A759762" w14:textId="77777777" w:rsidR="000C7479" w:rsidRPr="00F31693" w:rsidRDefault="000C7479" w:rsidP="000C7479">
            <w:pPr>
              <w:spacing w:after="0" w:line="240" w:lineRule="auto"/>
              <w:rPr>
                <w:rFonts w:eastAsia="Times New Roman" w:cs="Arial"/>
                <w:color w:val="000000"/>
              </w:rPr>
            </w:pPr>
          </w:p>
        </w:tc>
      </w:tr>
      <w:tr w:rsidR="000C7479" w:rsidRPr="00F31693" w14:paraId="4CE7460E" w14:textId="77777777" w:rsidTr="000C747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3061AE3E" w14:textId="77777777" w:rsidR="000C7479" w:rsidRPr="00F31693" w:rsidRDefault="000C7479" w:rsidP="000C7479">
            <w:pPr>
              <w:spacing w:after="0" w:line="240" w:lineRule="auto"/>
              <w:rPr>
                <w:rFonts w:eastAsia="Times New Roman" w:cs="Arial"/>
                <w:b/>
                <w:bCs/>
                <w:color w:val="000000"/>
              </w:rPr>
            </w:pPr>
            <w:r w:rsidRPr="00F31693">
              <w:rPr>
                <w:rFonts w:eastAsia="Times New Roman" w:cs="Arial"/>
                <w:b/>
                <w:bCs/>
                <w:color w:val="000000"/>
              </w:rPr>
              <w:t>Other Service Providers *</w:t>
            </w:r>
          </w:p>
        </w:tc>
        <w:tc>
          <w:tcPr>
            <w:tcW w:w="1260" w:type="dxa"/>
            <w:tcBorders>
              <w:top w:val="nil"/>
              <w:left w:val="nil"/>
              <w:bottom w:val="single" w:sz="4" w:space="0" w:color="auto"/>
              <w:right w:val="single" w:sz="4" w:space="0" w:color="auto"/>
            </w:tcBorders>
            <w:shd w:val="clear" w:color="auto" w:fill="auto"/>
            <w:noWrap/>
            <w:vAlign w:val="bottom"/>
            <w:hideMark/>
          </w:tcPr>
          <w:p w14:paraId="2E664502" w14:textId="77777777" w:rsidR="000C7479" w:rsidRPr="00F31693" w:rsidRDefault="00A374DB" w:rsidP="000C7479">
            <w:pPr>
              <w:spacing w:after="0" w:line="240" w:lineRule="auto"/>
              <w:jc w:val="center"/>
              <w:rPr>
                <w:rFonts w:eastAsia="Times New Roman" w:cs="Arial"/>
                <w:color w:val="000000"/>
              </w:rPr>
            </w:pPr>
            <w:r w:rsidRPr="00F31693">
              <w:rPr>
                <w:rFonts w:eastAsia="Times New Roman" w:cs="Arial"/>
                <w:color w:val="000000"/>
              </w:rPr>
              <w:t>15</w:t>
            </w:r>
          </w:p>
        </w:tc>
        <w:tc>
          <w:tcPr>
            <w:tcW w:w="3420" w:type="dxa"/>
            <w:tcBorders>
              <w:top w:val="nil"/>
              <w:left w:val="nil"/>
              <w:bottom w:val="nil"/>
              <w:right w:val="nil"/>
            </w:tcBorders>
            <w:shd w:val="clear" w:color="auto" w:fill="auto"/>
            <w:vAlign w:val="center"/>
            <w:hideMark/>
          </w:tcPr>
          <w:p w14:paraId="24723851" w14:textId="77777777" w:rsidR="000C7479" w:rsidRPr="00F31693" w:rsidRDefault="000C7479" w:rsidP="000C7479">
            <w:pPr>
              <w:spacing w:after="0" w:line="240" w:lineRule="auto"/>
              <w:rPr>
                <w:rFonts w:eastAsia="Times New Roman" w:cs="Arial"/>
                <w:color w:val="000000"/>
              </w:rPr>
            </w:pPr>
          </w:p>
        </w:tc>
      </w:tr>
      <w:tr w:rsidR="000C7479" w:rsidRPr="00F31693" w14:paraId="65747F4E" w14:textId="77777777" w:rsidTr="000C7479">
        <w:trPr>
          <w:trHeight w:val="1095"/>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5F775DA0" w14:textId="77777777" w:rsidR="000C7479" w:rsidRPr="00F31693" w:rsidRDefault="000C7479" w:rsidP="00EE531E">
            <w:pPr>
              <w:spacing w:after="0" w:line="240" w:lineRule="auto"/>
              <w:rPr>
                <w:rFonts w:eastAsia="Times New Roman" w:cs="Arial"/>
                <w:b/>
                <w:bCs/>
                <w:color w:val="000000"/>
              </w:rPr>
            </w:pPr>
            <w:r w:rsidRPr="00F31693">
              <w:rPr>
                <w:rFonts w:eastAsia="Times New Roman" w:cs="Arial"/>
                <w:b/>
                <w:bCs/>
                <w:color w:val="000000"/>
              </w:rPr>
              <w:t>Money Service Business Agents (MSBs) *</w:t>
            </w:r>
            <w:r w:rsidRPr="00F31693">
              <w:rPr>
                <w:rFonts w:eastAsia="Times New Roman" w:cs="Arial"/>
                <w:b/>
                <w:bCs/>
                <w:color w:val="000000"/>
              </w:rPr>
              <w:br/>
              <w:t>(Money Order Sales Agents who are also Convenience Stores, Pha</w:t>
            </w:r>
            <w:r w:rsidR="00EE531E" w:rsidRPr="00F31693">
              <w:rPr>
                <w:rFonts w:eastAsia="Times New Roman" w:cs="Arial"/>
                <w:b/>
                <w:bCs/>
                <w:color w:val="000000"/>
              </w:rPr>
              <w:t>r</w:t>
            </w:r>
            <w:r w:rsidRPr="00F31693">
              <w:rPr>
                <w:rFonts w:eastAsia="Times New Roman" w:cs="Arial"/>
                <w:b/>
                <w:bCs/>
                <w:color w:val="000000"/>
              </w:rPr>
              <w:t>macies, or other retail.)</w:t>
            </w:r>
          </w:p>
        </w:tc>
        <w:tc>
          <w:tcPr>
            <w:tcW w:w="1260" w:type="dxa"/>
            <w:tcBorders>
              <w:top w:val="nil"/>
              <w:left w:val="nil"/>
              <w:bottom w:val="single" w:sz="4" w:space="0" w:color="auto"/>
              <w:right w:val="single" w:sz="4" w:space="0" w:color="auto"/>
            </w:tcBorders>
            <w:shd w:val="clear" w:color="auto" w:fill="auto"/>
            <w:noWrap/>
            <w:vAlign w:val="bottom"/>
            <w:hideMark/>
          </w:tcPr>
          <w:p w14:paraId="014FBB77" w14:textId="77777777" w:rsidR="000C7479" w:rsidRPr="00F31693" w:rsidRDefault="00A374DB" w:rsidP="000C7479">
            <w:pPr>
              <w:spacing w:after="0" w:line="240" w:lineRule="auto"/>
              <w:jc w:val="center"/>
              <w:rPr>
                <w:rFonts w:eastAsia="Times New Roman" w:cs="Arial"/>
                <w:color w:val="000000"/>
              </w:rPr>
            </w:pPr>
            <w:r w:rsidRPr="00F31693">
              <w:rPr>
                <w:rFonts w:eastAsia="Times New Roman" w:cs="Arial"/>
                <w:color w:val="000000"/>
              </w:rPr>
              <w:t>32</w:t>
            </w:r>
          </w:p>
        </w:tc>
        <w:tc>
          <w:tcPr>
            <w:tcW w:w="3420" w:type="dxa"/>
            <w:tcBorders>
              <w:top w:val="nil"/>
              <w:left w:val="nil"/>
              <w:bottom w:val="nil"/>
              <w:right w:val="nil"/>
            </w:tcBorders>
            <w:shd w:val="clear" w:color="auto" w:fill="auto"/>
            <w:vAlign w:val="center"/>
            <w:hideMark/>
          </w:tcPr>
          <w:p w14:paraId="6AD76CC4" w14:textId="77777777" w:rsidR="000C7479" w:rsidRPr="00F31693" w:rsidRDefault="00594BFA" w:rsidP="000C7479">
            <w:pPr>
              <w:spacing w:after="0" w:line="240" w:lineRule="auto"/>
              <w:rPr>
                <w:rFonts w:eastAsia="Times New Roman" w:cs="Arial"/>
                <w:color w:val="000000"/>
              </w:rPr>
            </w:pPr>
            <w:r w:rsidRPr="00F31693">
              <w:rPr>
                <w:rFonts w:eastAsia="Times New Roman" w:cs="Arial"/>
                <w:b/>
                <w:bCs/>
                <w:color w:val="000000"/>
              </w:rPr>
              <w:t xml:space="preserve">*32 of these businesses </w:t>
            </w:r>
            <w:proofErr w:type="gramStart"/>
            <w:r w:rsidRPr="00F31693">
              <w:rPr>
                <w:rFonts w:eastAsia="Times New Roman" w:cs="Arial"/>
                <w:b/>
                <w:bCs/>
                <w:color w:val="000000"/>
              </w:rPr>
              <w:t>are</w:t>
            </w:r>
            <w:proofErr w:type="gramEnd"/>
            <w:r w:rsidRPr="00F31693">
              <w:rPr>
                <w:rFonts w:eastAsia="Times New Roman" w:cs="Arial"/>
                <w:b/>
                <w:bCs/>
                <w:color w:val="000000"/>
              </w:rPr>
              <w:t xml:space="preserve"> also classified as Cash Intensive Businesses (CIB).</w:t>
            </w:r>
          </w:p>
        </w:tc>
      </w:tr>
      <w:tr w:rsidR="000C7479" w:rsidRPr="00F31693" w14:paraId="065ACA76" w14:textId="77777777" w:rsidTr="000C747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4144D27D" w14:textId="77777777" w:rsidR="000C7479" w:rsidRPr="00F31693" w:rsidRDefault="000C7479" w:rsidP="000C7479">
            <w:pPr>
              <w:spacing w:after="0" w:line="240" w:lineRule="auto"/>
              <w:rPr>
                <w:rFonts w:eastAsia="Times New Roman" w:cs="Arial"/>
                <w:b/>
                <w:bCs/>
                <w:color w:val="000000"/>
              </w:rPr>
            </w:pPr>
            <w:r w:rsidRPr="00F31693">
              <w:rPr>
                <w:rFonts w:eastAsia="Times New Roman" w:cs="Arial"/>
                <w:b/>
                <w:bCs/>
                <w:color w:val="000000"/>
              </w:rPr>
              <w:t>Charitable Organizations</w:t>
            </w:r>
          </w:p>
        </w:tc>
        <w:tc>
          <w:tcPr>
            <w:tcW w:w="1260" w:type="dxa"/>
            <w:tcBorders>
              <w:top w:val="nil"/>
              <w:left w:val="nil"/>
              <w:bottom w:val="single" w:sz="4" w:space="0" w:color="auto"/>
              <w:right w:val="single" w:sz="4" w:space="0" w:color="auto"/>
            </w:tcBorders>
            <w:shd w:val="clear" w:color="auto" w:fill="auto"/>
            <w:noWrap/>
            <w:vAlign w:val="bottom"/>
            <w:hideMark/>
          </w:tcPr>
          <w:p w14:paraId="084BE89E" w14:textId="77777777" w:rsidR="000C7479" w:rsidRPr="00F31693" w:rsidRDefault="00A374DB" w:rsidP="000C7479">
            <w:pPr>
              <w:spacing w:after="0" w:line="240" w:lineRule="auto"/>
              <w:jc w:val="center"/>
              <w:rPr>
                <w:rFonts w:eastAsia="Times New Roman" w:cs="Arial"/>
                <w:color w:val="000000"/>
              </w:rPr>
            </w:pPr>
            <w:r w:rsidRPr="00F31693">
              <w:rPr>
                <w:rFonts w:eastAsia="Times New Roman" w:cs="Arial"/>
                <w:color w:val="000000"/>
              </w:rPr>
              <w:t>1</w:t>
            </w:r>
          </w:p>
        </w:tc>
        <w:tc>
          <w:tcPr>
            <w:tcW w:w="3420" w:type="dxa"/>
            <w:tcBorders>
              <w:top w:val="nil"/>
              <w:left w:val="nil"/>
              <w:bottom w:val="nil"/>
              <w:right w:val="nil"/>
            </w:tcBorders>
            <w:shd w:val="clear" w:color="auto" w:fill="auto"/>
            <w:vAlign w:val="center"/>
            <w:hideMark/>
          </w:tcPr>
          <w:p w14:paraId="6327BBC1" w14:textId="77777777" w:rsidR="000C7479" w:rsidRPr="00F31693" w:rsidRDefault="000C7479" w:rsidP="000C7479">
            <w:pPr>
              <w:spacing w:after="0" w:line="240" w:lineRule="auto"/>
              <w:rPr>
                <w:rFonts w:eastAsia="Times New Roman" w:cs="Arial"/>
                <w:color w:val="000000"/>
              </w:rPr>
            </w:pPr>
          </w:p>
        </w:tc>
      </w:tr>
      <w:tr w:rsidR="000C7479" w:rsidRPr="00F31693" w14:paraId="3601A8CE" w14:textId="77777777" w:rsidTr="000C747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6415C132" w14:textId="77777777" w:rsidR="000C7479" w:rsidRPr="00F31693" w:rsidRDefault="000C7479" w:rsidP="000C7479">
            <w:pPr>
              <w:spacing w:after="0" w:line="240" w:lineRule="auto"/>
              <w:rPr>
                <w:rFonts w:eastAsia="Times New Roman" w:cs="Arial"/>
                <w:b/>
                <w:bCs/>
                <w:color w:val="000000"/>
              </w:rPr>
            </w:pPr>
            <w:r w:rsidRPr="00F31693">
              <w:rPr>
                <w:rFonts w:eastAsia="Times New Roman" w:cs="Arial"/>
                <w:b/>
                <w:bCs/>
                <w:color w:val="000000"/>
              </w:rPr>
              <w:t>Jewelry Stores</w:t>
            </w:r>
          </w:p>
        </w:tc>
        <w:tc>
          <w:tcPr>
            <w:tcW w:w="1260" w:type="dxa"/>
            <w:tcBorders>
              <w:top w:val="nil"/>
              <w:left w:val="nil"/>
              <w:bottom w:val="single" w:sz="4" w:space="0" w:color="auto"/>
              <w:right w:val="single" w:sz="4" w:space="0" w:color="auto"/>
            </w:tcBorders>
            <w:shd w:val="clear" w:color="auto" w:fill="auto"/>
            <w:noWrap/>
            <w:vAlign w:val="bottom"/>
            <w:hideMark/>
          </w:tcPr>
          <w:p w14:paraId="31A17B13" w14:textId="77777777" w:rsidR="000C7479" w:rsidRPr="00F31693" w:rsidRDefault="00A374DB" w:rsidP="000C7479">
            <w:pPr>
              <w:spacing w:after="0" w:line="240" w:lineRule="auto"/>
              <w:jc w:val="center"/>
              <w:rPr>
                <w:rFonts w:eastAsia="Times New Roman" w:cs="Arial"/>
                <w:color w:val="000000"/>
              </w:rPr>
            </w:pPr>
            <w:r w:rsidRPr="00F31693">
              <w:rPr>
                <w:rFonts w:eastAsia="Times New Roman" w:cs="Arial"/>
                <w:color w:val="000000"/>
              </w:rPr>
              <w:t>2</w:t>
            </w:r>
          </w:p>
        </w:tc>
        <w:tc>
          <w:tcPr>
            <w:tcW w:w="3420" w:type="dxa"/>
            <w:tcBorders>
              <w:top w:val="nil"/>
              <w:left w:val="nil"/>
              <w:bottom w:val="nil"/>
              <w:right w:val="nil"/>
            </w:tcBorders>
            <w:shd w:val="clear" w:color="auto" w:fill="auto"/>
            <w:vAlign w:val="center"/>
            <w:hideMark/>
          </w:tcPr>
          <w:p w14:paraId="1AFB4E90" w14:textId="77777777" w:rsidR="000C7479" w:rsidRPr="00F31693" w:rsidRDefault="000C7479" w:rsidP="000C7479">
            <w:pPr>
              <w:spacing w:after="0" w:line="240" w:lineRule="auto"/>
              <w:rPr>
                <w:rFonts w:eastAsia="Times New Roman" w:cs="Arial"/>
                <w:color w:val="000000"/>
              </w:rPr>
            </w:pPr>
          </w:p>
        </w:tc>
      </w:tr>
      <w:tr w:rsidR="000C7479" w:rsidRPr="00F31693" w14:paraId="3ABE11EE" w14:textId="77777777" w:rsidTr="000C747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78B5AD0A" w14:textId="77777777" w:rsidR="000C7479" w:rsidRPr="00F31693" w:rsidRDefault="000C7479" w:rsidP="000C7479">
            <w:pPr>
              <w:spacing w:after="0" w:line="240" w:lineRule="auto"/>
              <w:rPr>
                <w:rFonts w:eastAsia="Times New Roman" w:cs="Arial"/>
                <w:b/>
                <w:bCs/>
                <w:color w:val="000000"/>
              </w:rPr>
            </w:pPr>
            <w:r w:rsidRPr="00F31693">
              <w:rPr>
                <w:rFonts w:eastAsia="Times New Roman" w:cs="Arial"/>
                <w:b/>
                <w:bCs/>
                <w:color w:val="000000"/>
              </w:rPr>
              <w:t>Other Retail Stores and Restaurants *</w:t>
            </w:r>
          </w:p>
        </w:tc>
        <w:tc>
          <w:tcPr>
            <w:tcW w:w="1260" w:type="dxa"/>
            <w:tcBorders>
              <w:top w:val="nil"/>
              <w:left w:val="nil"/>
              <w:bottom w:val="single" w:sz="4" w:space="0" w:color="auto"/>
              <w:right w:val="single" w:sz="4" w:space="0" w:color="auto"/>
            </w:tcBorders>
            <w:shd w:val="clear" w:color="auto" w:fill="auto"/>
            <w:noWrap/>
            <w:vAlign w:val="bottom"/>
            <w:hideMark/>
          </w:tcPr>
          <w:p w14:paraId="6CBC6067" w14:textId="77777777" w:rsidR="000C7479" w:rsidRPr="00F31693" w:rsidRDefault="00A374DB" w:rsidP="000C7479">
            <w:pPr>
              <w:spacing w:after="0" w:line="240" w:lineRule="auto"/>
              <w:jc w:val="center"/>
              <w:rPr>
                <w:rFonts w:eastAsia="Times New Roman" w:cs="Arial"/>
                <w:color w:val="000000"/>
              </w:rPr>
            </w:pPr>
            <w:r w:rsidRPr="00F31693">
              <w:rPr>
                <w:rFonts w:eastAsia="Times New Roman" w:cs="Arial"/>
                <w:color w:val="000000"/>
              </w:rPr>
              <w:t>53</w:t>
            </w:r>
          </w:p>
        </w:tc>
        <w:tc>
          <w:tcPr>
            <w:tcW w:w="3420" w:type="dxa"/>
            <w:tcBorders>
              <w:top w:val="nil"/>
              <w:left w:val="nil"/>
              <w:bottom w:val="nil"/>
              <w:right w:val="nil"/>
            </w:tcBorders>
            <w:shd w:val="clear" w:color="auto" w:fill="auto"/>
            <w:vAlign w:val="center"/>
            <w:hideMark/>
          </w:tcPr>
          <w:p w14:paraId="11CB2E5B" w14:textId="77777777" w:rsidR="000C7479" w:rsidRPr="00F31693" w:rsidRDefault="000C7479" w:rsidP="000C7479">
            <w:pPr>
              <w:spacing w:after="0" w:line="240" w:lineRule="auto"/>
              <w:rPr>
                <w:rFonts w:eastAsia="Times New Roman" w:cs="Arial"/>
                <w:color w:val="000000"/>
              </w:rPr>
            </w:pPr>
          </w:p>
        </w:tc>
      </w:tr>
      <w:tr w:rsidR="000C7479" w:rsidRPr="00F31693" w14:paraId="17643C1E" w14:textId="77777777" w:rsidTr="000C7479">
        <w:trPr>
          <w:trHeight w:val="300"/>
        </w:trPr>
        <w:tc>
          <w:tcPr>
            <w:tcW w:w="4000" w:type="dxa"/>
            <w:tcBorders>
              <w:top w:val="nil"/>
              <w:left w:val="single" w:sz="4" w:space="0" w:color="auto"/>
              <w:bottom w:val="single" w:sz="4" w:space="0" w:color="auto"/>
              <w:right w:val="single" w:sz="4" w:space="0" w:color="auto"/>
            </w:tcBorders>
            <w:shd w:val="clear" w:color="auto" w:fill="auto"/>
            <w:vAlign w:val="center"/>
            <w:hideMark/>
          </w:tcPr>
          <w:p w14:paraId="28C2AC22" w14:textId="77777777" w:rsidR="000C7479" w:rsidRPr="00F31693" w:rsidRDefault="000C7479" w:rsidP="000C7479">
            <w:pPr>
              <w:spacing w:after="0" w:line="240" w:lineRule="auto"/>
              <w:rPr>
                <w:rFonts w:eastAsia="Times New Roman" w:cs="Arial"/>
                <w:b/>
                <w:bCs/>
                <w:color w:val="000000"/>
              </w:rPr>
            </w:pPr>
            <w:r w:rsidRPr="00F31693">
              <w:rPr>
                <w:rFonts w:eastAsia="Times New Roman" w:cs="Arial"/>
                <w:b/>
                <w:bCs/>
                <w:color w:val="000000"/>
              </w:rPr>
              <w:t>Total</w:t>
            </w:r>
          </w:p>
        </w:tc>
        <w:tc>
          <w:tcPr>
            <w:tcW w:w="1260" w:type="dxa"/>
            <w:tcBorders>
              <w:top w:val="nil"/>
              <w:left w:val="nil"/>
              <w:bottom w:val="single" w:sz="4" w:space="0" w:color="auto"/>
              <w:right w:val="single" w:sz="4" w:space="0" w:color="auto"/>
            </w:tcBorders>
            <w:shd w:val="clear" w:color="000000" w:fill="FFFF00"/>
            <w:noWrap/>
            <w:vAlign w:val="bottom"/>
            <w:hideMark/>
          </w:tcPr>
          <w:p w14:paraId="4F525191" w14:textId="77777777" w:rsidR="000C7479" w:rsidRPr="00F31693" w:rsidRDefault="00A374DB" w:rsidP="000C7479">
            <w:pPr>
              <w:spacing w:after="0" w:line="240" w:lineRule="auto"/>
              <w:jc w:val="center"/>
              <w:rPr>
                <w:rFonts w:eastAsia="Times New Roman" w:cs="Arial"/>
                <w:color w:val="000000"/>
              </w:rPr>
            </w:pPr>
            <w:r w:rsidRPr="00F31693">
              <w:rPr>
                <w:rFonts w:eastAsia="Times New Roman" w:cs="Arial"/>
                <w:color w:val="000000"/>
              </w:rPr>
              <w:t>133</w:t>
            </w:r>
          </w:p>
        </w:tc>
        <w:tc>
          <w:tcPr>
            <w:tcW w:w="3420" w:type="dxa"/>
            <w:tcBorders>
              <w:top w:val="nil"/>
              <w:left w:val="nil"/>
              <w:bottom w:val="nil"/>
              <w:right w:val="nil"/>
            </w:tcBorders>
            <w:shd w:val="clear" w:color="auto" w:fill="auto"/>
            <w:vAlign w:val="center"/>
            <w:hideMark/>
          </w:tcPr>
          <w:p w14:paraId="241010E1" w14:textId="77777777" w:rsidR="000C7479" w:rsidRPr="00F31693" w:rsidRDefault="000C7479" w:rsidP="000C7479">
            <w:pPr>
              <w:spacing w:after="0" w:line="240" w:lineRule="auto"/>
              <w:rPr>
                <w:rFonts w:eastAsia="Times New Roman" w:cs="Arial"/>
                <w:color w:val="000000"/>
              </w:rPr>
            </w:pPr>
          </w:p>
        </w:tc>
      </w:tr>
      <w:tr w:rsidR="000C7479" w:rsidRPr="00F31693" w14:paraId="06E8BFE7" w14:textId="77777777" w:rsidTr="000C7479">
        <w:trPr>
          <w:trHeight w:val="300"/>
        </w:trPr>
        <w:tc>
          <w:tcPr>
            <w:tcW w:w="4000" w:type="dxa"/>
            <w:tcBorders>
              <w:top w:val="nil"/>
              <w:left w:val="nil"/>
              <w:bottom w:val="nil"/>
              <w:right w:val="nil"/>
            </w:tcBorders>
            <w:shd w:val="clear" w:color="auto" w:fill="auto"/>
            <w:vAlign w:val="center"/>
            <w:hideMark/>
          </w:tcPr>
          <w:p w14:paraId="7B62FD19" w14:textId="77777777" w:rsidR="000C7479" w:rsidRPr="00F31693" w:rsidRDefault="000C7479" w:rsidP="000C7479">
            <w:pPr>
              <w:spacing w:after="0" w:line="240" w:lineRule="auto"/>
              <w:rPr>
                <w:rFonts w:ascii="Arial" w:eastAsia="Times New Roman" w:hAnsi="Arial" w:cs="Arial"/>
                <w:color w:val="000000"/>
                <w:sz w:val="16"/>
                <w:szCs w:val="16"/>
              </w:rPr>
            </w:pPr>
          </w:p>
        </w:tc>
        <w:tc>
          <w:tcPr>
            <w:tcW w:w="1260" w:type="dxa"/>
            <w:tcBorders>
              <w:top w:val="nil"/>
              <w:left w:val="nil"/>
              <w:bottom w:val="nil"/>
              <w:right w:val="nil"/>
            </w:tcBorders>
            <w:shd w:val="clear" w:color="auto" w:fill="auto"/>
            <w:noWrap/>
            <w:vAlign w:val="center"/>
            <w:hideMark/>
          </w:tcPr>
          <w:p w14:paraId="1F949CBF" w14:textId="77777777" w:rsidR="000C7479" w:rsidRPr="00F31693" w:rsidRDefault="000C7479" w:rsidP="000C7479">
            <w:pPr>
              <w:spacing w:after="0" w:line="240" w:lineRule="auto"/>
              <w:rPr>
                <w:rFonts w:ascii="Arial" w:eastAsia="Times New Roman" w:hAnsi="Arial" w:cs="Arial"/>
                <w:color w:val="000000"/>
                <w:sz w:val="16"/>
                <w:szCs w:val="16"/>
              </w:rPr>
            </w:pPr>
          </w:p>
        </w:tc>
        <w:tc>
          <w:tcPr>
            <w:tcW w:w="3420" w:type="dxa"/>
            <w:tcBorders>
              <w:top w:val="nil"/>
              <w:left w:val="nil"/>
              <w:bottom w:val="nil"/>
              <w:right w:val="nil"/>
            </w:tcBorders>
            <w:shd w:val="clear" w:color="auto" w:fill="auto"/>
            <w:vAlign w:val="center"/>
            <w:hideMark/>
          </w:tcPr>
          <w:p w14:paraId="234E1E2F" w14:textId="77777777" w:rsidR="000C7479" w:rsidRPr="00F31693" w:rsidRDefault="000C7479" w:rsidP="000C7479">
            <w:pPr>
              <w:spacing w:after="0" w:line="240" w:lineRule="auto"/>
              <w:rPr>
                <w:rFonts w:ascii="Arial" w:eastAsia="Times New Roman" w:hAnsi="Arial" w:cs="Arial"/>
                <w:color w:val="000000"/>
                <w:sz w:val="16"/>
                <w:szCs w:val="16"/>
              </w:rPr>
            </w:pPr>
          </w:p>
        </w:tc>
      </w:tr>
      <w:tr w:rsidR="000C7479" w:rsidRPr="00F31693" w14:paraId="10F5EB16" w14:textId="77777777" w:rsidTr="000C7479">
        <w:trPr>
          <w:trHeight w:val="450"/>
        </w:trPr>
        <w:tc>
          <w:tcPr>
            <w:tcW w:w="8680" w:type="dxa"/>
            <w:gridSpan w:val="3"/>
            <w:tcBorders>
              <w:top w:val="nil"/>
              <w:left w:val="nil"/>
              <w:bottom w:val="nil"/>
              <w:right w:val="nil"/>
            </w:tcBorders>
            <w:shd w:val="clear" w:color="auto" w:fill="auto"/>
            <w:vAlign w:val="center"/>
            <w:hideMark/>
          </w:tcPr>
          <w:tbl>
            <w:tblPr>
              <w:tblW w:w="3160" w:type="dxa"/>
              <w:tblLook w:val="04A0" w:firstRow="1" w:lastRow="0" w:firstColumn="1" w:lastColumn="0" w:noHBand="0" w:noVBand="1"/>
            </w:tblPr>
            <w:tblGrid>
              <w:gridCol w:w="2340"/>
              <w:gridCol w:w="820"/>
            </w:tblGrid>
            <w:tr w:rsidR="008B2D39" w:rsidRPr="00F31693" w14:paraId="294BF45E" w14:textId="77777777" w:rsidTr="008B2D39">
              <w:trPr>
                <w:trHeight w:val="450"/>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16B7B1" w14:textId="77777777" w:rsidR="008B2D39" w:rsidRPr="00F31693" w:rsidRDefault="008B2D39" w:rsidP="008B2D39">
                  <w:pPr>
                    <w:spacing w:after="0" w:line="240" w:lineRule="auto"/>
                    <w:jc w:val="center"/>
                    <w:rPr>
                      <w:rFonts w:eastAsia="Times New Roman" w:cs="Arial"/>
                      <w:b/>
                      <w:bCs/>
                      <w:color w:val="000000"/>
                    </w:rPr>
                  </w:pPr>
                  <w:r w:rsidRPr="00F31693">
                    <w:rPr>
                      <w:rFonts w:eastAsia="Times New Roman" w:cs="Arial"/>
                      <w:b/>
                      <w:bCs/>
                      <w:color w:val="000000"/>
                    </w:rPr>
                    <w:t>High Risk for Suspicious Activity</w:t>
                  </w:r>
                </w:p>
              </w:tc>
              <w:tc>
                <w:tcPr>
                  <w:tcW w:w="820" w:type="dxa"/>
                  <w:tcBorders>
                    <w:top w:val="single" w:sz="4" w:space="0" w:color="auto"/>
                    <w:left w:val="nil"/>
                    <w:bottom w:val="single" w:sz="4" w:space="0" w:color="auto"/>
                    <w:right w:val="single" w:sz="4" w:space="0" w:color="auto"/>
                  </w:tcBorders>
                  <w:shd w:val="clear" w:color="000000" w:fill="FFFF00"/>
                  <w:noWrap/>
                  <w:vAlign w:val="center"/>
                  <w:hideMark/>
                </w:tcPr>
                <w:p w14:paraId="4491D2AC" w14:textId="77777777" w:rsidR="008B2D39" w:rsidRPr="00F31693" w:rsidRDefault="00A374DB" w:rsidP="008B2D39">
                  <w:pPr>
                    <w:spacing w:after="0" w:line="240" w:lineRule="auto"/>
                    <w:jc w:val="center"/>
                    <w:rPr>
                      <w:rFonts w:eastAsia="Times New Roman" w:cs="Times New Roman"/>
                      <w:color w:val="000000"/>
                    </w:rPr>
                  </w:pPr>
                  <w:r w:rsidRPr="00F31693">
                    <w:rPr>
                      <w:rFonts w:eastAsia="Times New Roman" w:cs="Times New Roman"/>
                      <w:color w:val="000000"/>
                    </w:rPr>
                    <w:t>24</w:t>
                  </w:r>
                </w:p>
              </w:tc>
            </w:tr>
          </w:tbl>
          <w:p w14:paraId="61EA727E" w14:textId="77777777" w:rsidR="008B2D39" w:rsidRPr="00F31693" w:rsidRDefault="008B2D39" w:rsidP="000C7479">
            <w:pPr>
              <w:spacing w:after="0" w:line="240" w:lineRule="auto"/>
              <w:rPr>
                <w:rFonts w:eastAsia="Times New Roman" w:cs="Arial"/>
                <w:b/>
                <w:bCs/>
                <w:color w:val="000000"/>
              </w:rPr>
            </w:pPr>
          </w:p>
          <w:tbl>
            <w:tblPr>
              <w:tblW w:w="3160" w:type="dxa"/>
              <w:tblLook w:val="04A0" w:firstRow="1" w:lastRow="0" w:firstColumn="1" w:lastColumn="0" w:noHBand="0" w:noVBand="1"/>
            </w:tblPr>
            <w:tblGrid>
              <w:gridCol w:w="1971"/>
              <w:gridCol w:w="1189"/>
            </w:tblGrid>
            <w:tr w:rsidR="008B2D39" w:rsidRPr="00F31693" w14:paraId="16A6BD0F" w14:textId="77777777" w:rsidTr="001632C6">
              <w:trPr>
                <w:trHeight w:val="300"/>
              </w:trPr>
              <w:tc>
                <w:tcPr>
                  <w:tcW w:w="19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73C63" w14:textId="77777777" w:rsidR="008B2D39" w:rsidRPr="00F31693" w:rsidRDefault="008B2D39" w:rsidP="008B2D39">
                  <w:pPr>
                    <w:spacing w:after="0" w:line="240" w:lineRule="auto"/>
                    <w:jc w:val="center"/>
                    <w:rPr>
                      <w:rFonts w:eastAsia="Times New Roman" w:cs="Arial"/>
                      <w:b/>
                      <w:bCs/>
                      <w:color w:val="000000"/>
                    </w:rPr>
                  </w:pPr>
                  <w:r w:rsidRPr="00F31693">
                    <w:rPr>
                      <w:rFonts w:eastAsia="Times New Roman" w:cs="Arial"/>
                      <w:b/>
                      <w:bCs/>
                      <w:color w:val="000000"/>
                    </w:rPr>
                    <w:t xml:space="preserve">High Risk Watchlist </w:t>
                  </w:r>
                </w:p>
              </w:tc>
              <w:tc>
                <w:tcPr>
                  <w:tcW w:w="1189" w:type="dxa"/>
                  <w:tcBorders>
                    <w:top w:val="single" w:sz="4" w:space="0" w:color="auto"/>
                    <w:left w:val="nil"/>
                    <w:bottom w:val="single" w:sz="4" w:space="0" w:color="auto"/>
                    <w:right w:val="single" w:sz="4" w:space="0" w:color="auto"/>
                  </w:tcBorders>
                  <w:shd w:val="clear" w:color="auto" w:fill="auto"/>
                  <w:noWrap/>
                  <w:vAlign w:val="center"/>
                  <w:hideMark/>
                </w:tcPr>
                <w:p w14:paraId="3414A265" w14:textId="77777777" w:rsidR="008B2D39" w:rsidRPr="00F31693" w:rsidRDefault="008B2D39" w:rsidP="008B2D39">
                  <w:pPr>
                    <w:spacing w:after="0" w:line="240" w:lineRule="auto"/>
                    <w:jc w:val="center"/>
                    <w:rPr>
                      <w:rFonts w:eastAsia="Times New Roman" w:cs="Times New Roman"/>
                      <w:b/>
                      <w:bCs/>
                      <w:color w:val="000000"/>
                    </w:rPr>
                  </w:pPr>
                  <w:r w:rsidRPr="00F31693">
                    <w:rPr>
                      <w:rFonts w:eastAsia="Times New Roman" w:cs="Times New Roman"/>
                      <w:b/>
                      <w:bCs/>
                      <w:color w:val="000000"/>
                    </w:rPr>
                    <w:t>Customers</w:t>
                  </w:r>
                </w:p>
              </w:tc>
            </w:tr>
            <w:tr w:rsidR="008B2D39" w:rsidRPr="00F31693" w14:paraId="6FC72750" w14:textId="77777777" w:rsidTr="001632C6">
              <w:trPr>
                <w:trHeight w:val="450"/>
              </w:trPr>
              <w:tc>
                <w:tcPr>
                  <w:tcW w:w="1971" w:type="dxa"/>
                  <w:tcBorders>
                    <w:top w:val="nil"/>
                    <w:left w:val="single" w:sz="4" w:space="0" w:color="auto"/>
                    <w:bottom w:val="single" w:sz="4" w:space="0" w:color="auto"/>
                    <w:right w:val="single" w:sz="4" w:space="0" w:color="auto"/>
                  </w:tcBorders>
                  <w:shd w:val="clear" w:color="auto" w:fill="auto"/>
                  <w:vAlign w:val="center"/>
                  <w:hideMark/>
                </w:tcPr>
                <w:p w14:paraId="15AF9D0D" w14:textId="77777777" w:rsidR="008B2D39" w:rsidRPr="00F31693" w:rsidRDefault="008B2D39" w:rsidP="008B2D39">
                  <w:pPr>
                    <w:spacing w:after="0" w:line="240" w:lineRule="auto"/>
                    <w:jc w:val="center"/>
                    <w:rPr>
                      <w:rFonts w:eastAsia="Times New Roman" w:cs="Arial"/>
                      <w:b/>
                      <w:bCs/>
                      <w:color w:val="000000"/>
                    </w:rPr>
                  </w:pPr>
                  <w:r w:rsidRPr="00F31693">
                    <w:rPr>
                      <w:rFonts w:eastAsia="Times New Roman" w:cs="Arial"/>
                      <w:b/>
                      <w:bCs/>
                      <w:color w:val="000000"/>
                    </w:rPr>
                    <w:t>High Risk for Suspicious Activity</w:t>
                  </w:r>
                </w:p>
              </w:tc>
              <w:tc>
                <w:tcPr>
                  <w:tcW w:w="1189" w:type="dxa"/>
                  <w:tcBorders>
                    <w:top w:val="nil"/>
                    <w:left w:val="nil"/>
                    <w:bottom w:val="single" w:sz="4" w:space="0" w:color="auto"/>
                    <w:right w:val="single" w:sz="4" w:space="0" w:color="auto"/>
                  </w:tcBorders>
                  <w:shd w:val="clear" w:color="auto" w:fill="auto"/>
                  <w:noWrap/>
                  <w:vAlign w:val="center"/>
                  <w:hideMark/>
                </w:tcPr>
                <w:p w14:paraId="0D28C2D5" w14:textId="77777777" w:rsidR="008B2D39" w:rsidRPr="00F31693" w:rsidRDefault="00A374DB" w:rsidP="008B2D39">
                  <w:pPr>
                    <w:spacing w:after="0" w:line="240" w:lineRule="auto"/>
                    <w:jc w:val="center"/>
                    <w:rPr>
                      <w:rFonts w:eastAsia="Times New Roman" w:cs="Times New Roman"/>
                      <w:color w:val="000000"/>
                    </w:rPr>
                  </w:pPr>
                  <w:r w:rsidRPr="00F31693">
                    <w:rPr>
                      <w:rFonts w:eastAsia="Times New Roman" w:cs="Times New Roman"/>
                      <w:color w:val="000000"/>
                    </w:rPr>
                    <w:t>24</w:t>
                  </w:r>
                </w:p>
              </w:tc>
            </w:tr>
            <w:tr w:rsidR="008B2D39" w:rsidRPr="00F31693" w14:paraId="4D8826E2" w14:textId="77777777" w:rsidTr="001632C6">
              <w:trPr>
                <w:trHeight w:val="450"/>
              </w:trPr>
              <w:tc>
                <w:tcPr>
                  <w:tcW w:w="1971" w:type="dxa"/>
                  <w:tcBorders>
                    <w:top w:val="nil"/>
                    <w:left w:val="single" w:sz="4" w:space="0" w:color="auto"/>
                    <w:bottom w:val="single" w:sz="4" w:space="0" w:color="auto"/>
                    <w:right w:val="single" w:sz="4" w:space="0" w:color="auto"/>
                  </w:tcBorders>
                  <w:shd w:val="clear" w:color="auto" w:fill="auto"/>
                  <w:vAlign w:val="center"/>
                  <w:hideMark/>
                </w:tcPr>
                <w:p w14:paraId="463C2245" w14:textId="77777777" w:rsidR="008B2D39" w:rsidRPr="00F31693" w:rsidRDefault="008B2D39" w:rsidP="008B2D39">
                  <w:pPr>
                    <w:spacing w:after="0" w:line="240" w:lineRule="auto"/>
                    <w:jc w:val="center"/>
                    <w:rPr>
                      <w:rFonts w:eastAsia="Times New Roman" w:cs="Arial"/>
                      <w:b/>
                      <w:bCs/>
                      <w:color w:val="000000"/>
                    </w:rPr>
                  </w:pPr>
                  <w:r w:rsidRPr="00F31693">
                    <w:rPr>
                      <w:rFonts w:eastAsia="Times New Roman" w:cs="Arial"/>
                      <w:b/>
                      <w:bCs/>
                      <w:color w:val="000000"/>
                    </w:rPr>
                    <w:t>High Risk by Type of Business</w:t>
                  </w:r>
                </w:p>
              </w:tc>
              <w:tc>
                <w:tcPr>
                  <w:tcW w:w="1189" w:type="dxa"/>
                  <w:tcBorders>
                    <w:top w:val="nil"/>
                    <w:left w:val="nil"/>
                    <w:bottom w:val="single" w:sz="4" w:space="0" w:color="auto"/>
                    <w:right w:val="single" w:sz="4" w:space="0" w:color="auto"/>
                  </w:tcBorders>
                  <w:shd w:val="clear" w:color="auto" w:fill="auto"/>
                  <w:noWrap/>
                  <w:vAlign w:val="center"/>
                  <w:hideMark/>
                </w:tcPr>
                <w:p w14:paraId="0BFB94CD" w14:textId="77777777" w:rsidR="008B2D39" w:rsidRPr="00F31693" w:rsidRDefault="00A374DB" w:rsidP="008B2D39">
                  <w:pPr>
                    <w:spacing w:after="0" w:line="240" w:lineRule="auto"/>
                    <w:jc w:val="center"/>
                    <w:rPr>
                      <w:rFonts w:eastAsia="Times New Roman" w:cs="Times New Roman"/>
                      <w:color w:val="000000"/>
                    </w:rPr>
                  </w:pPr>
                  <w:r w:rsidRPr="00F31693">
                    <w:rPr>
                      <w:rFonts w:eastAsia="Times New Roman" w:cs="Times New Roman"/>
                      <w:color w:val="000000"/>
                    </w:rPr>
                    <w:t>133</w:t>
                  </w:r>
                </w:p>
              </w:tc>
            </w:tr>
            <w:tr w:rsidR="008B2D39" w:rsidRPr="00F31693" w14:paraId="19831AD0" w14:textId="77777777" w:rsidTr="00EA3E34">
              <w:trPr>
                <w:trHeight w:val="300"/>
              </w:trPr>
              <w:tc>
                <w:tcPr>
                  <w:tcW w:w="1971" w:type="dxa"/>
                  <w:tcBorders>
                    <w:top w:val="nil"/>
                    <w:left w:val="nil"/>
                    <w:bottom w:val="nil"/>
                    <w:right w:val="single" w:sz="4" w:space="0" w:color="auto"/>
                  </w:tcBorders>
                  <w:shd w:val="clear" w:color="auto" w:fill="auto"/>
                  <w:vAlign w:val="center"/>
                  <w:hideMark/>
                </w:tcPr>
                <w:p w14:paraId="7B487E98" w14:textId="77777777" w:rsidR="008B2D39" w:rsidRPr="00F31693" w:rsidRDefault="008B2D39" w:rsidP="008B2D39">
                  <w:pPr>
                    <w:spacing w:after="0" w:line="240" w:lineRule="auto"/>
                    <w:jc w:val="center"/>
                    <w:rPr>
                      <w:rFonts w:eastAsia="Times New Roman" w:cs="Arial"/>
                      <w:color w:val="000000"/>
                    </w:rPr>
                  </w:pPr>
                  <w:r w:rsidRPr="00F31693">
                    <w:rPr>
                      <w:rFonts w:eastAsia="Times New Roman" w:cs="Arial"/>
                      <w:color w:val="000000"/>
                    </w:rPr>
                    <w:t> </w:t>
                  </w:r>
                </w:p>
              </w:tc>
              <w:tc>
                <w:tcPr>
                  <w:tcW w:w="1189" w:type="dxa"/>
                  <w:tcBorders>
                    <w:top w:val="nil"/>
                    <w:left w:val="nil"/>
                    <w:bottom w:val="nil"/>
                    <w:right w:val="single" w:sz="4" w:space="0" w:color="auto"/>
                  </w:tcBorders>
                  <w:shd w:val="clear" w:color="000000" w:fill="FFFF00"/>
                  <w:noWrap/>
                  <w:vAlign w:val="center"/>
                  <w:hideMark/>
                </w:tcPr>
                <w:p w14:paraId="272D8CE6" w14:textId="77777777" w:rsidR="008B2D39" w:rsidRPr="00F31693" w:rsidRDefault="00A374DB" w:rsidP="008B2D39">
                  <w:pPr>
                    <w:spacing w:after="0" w:line="240" w:lineRule="auto"/>
                    <w:jc w:val="center"/>
                    <w:rPr>
                      <w:rFonts w:eastAsia="Times New Roman" w:cs="Times New Roman"/>
                      <w:color w:val="000000"/>
                    </w:rPr>
                  </w:pPr>
                  <w:r w:rsidRPr="00F31693">
                    <w:rPr>
                      <w:rFonts w:eastAsia="Times New Roman" w:cs="Times New Roman"/>
                      <w:color w:val="000000"/>
                    </w:rPr>
                    <w:t>157</w:t>
                  </w:r>
                </w:p>
              </w:tc>
            </w:tr>
            <w:tr w:rsidR="00EA3E34" w:rsidRPr="00F31693" w14:paraId="45855449" w14:textId="77777777" w:rsidTr="005A6219">
              <w:trPr>
                <w:trHeight w:val="300"/>
              </w:trPr>
              <w:tc>
                <w:tcPr>
                  <w:tcW w:w="1971" w:type="dxa"/>
                  <w:tcBorders>
                    <w:top w:val="nil"/>
                    <w:left w:val="nil"/>
                    <w:bottom w:val="nil"/>
                    <w:right w:val="single" w:sz="4" w:space="0" w:color="auto"/>
                  </w:tcBorders>
                  <w:shd w:val="clear" w:color="auto" w:fill="auto"/>
                  <w:vAlign w:val="center"/>
                  <w:hideMark/>
                </w:tcPr>
                <w:p w14:paraId="55A86D6F" w14:textId="77777777" w:rsidR="00EA3E34" w:rsidRPr="00F31693" w:rsidRDefault="00EA3E34" w:rsidP="008B2D39">
                  <w:pPr>
                    <w:spacing w:after="0" w:line="240" w:lineRule="auto"/>
                    <w:jc w:val="center"/>
                    <w:rPr>
                      <w:rFonts w:eastAsia="Times New Roman" w:cs="Arial"/>
                      <w:color w:val="000000"/>
                    </w:rPr>
                  </w:pPr>
                </w:p>
              </w:tc>
              <w:tc>
                <w:tcPr>
                  <w:tcW w:w="1189" w:type="dxa"/>
                  <w:tcBorders>
                    <w:top w:val="nil"/>
                    <w:left w:val="nil"/>
                    <w:bottom w:val="nil"/>
                    <w:right w:val="single" w:sz="4" w:space="0" w:color="auto"/>
                  </w:tcBorders>
                  <w:shd w:val="clear" w:color="000000" w:fill="FFFF00"/>
                  <w:noWrap/>
                  <w:vAlign w:val="center"/>
                  <w:hideMark/>
                </w:tcPr>
                <w:p w14:paraId="397B2D4A" w14:textId="77777777" w:rsidR="00EA3E34" w:rsidRPr="00F31693" w:rsidRDefault="00EA3E34" w:rsidP="008B2D39">
                  <w:pPr>
                    <w:spacing w:after="0" w:line="240" w:lineRule="auto"/>
                    <w:jc w:val="center"/>
                    <w:rPr>
                      <w:rFonts w:eastAsia="Times New Roman" w:cs="Times New Roman"/>
                      <w:color w:val="000000"/>
                    </w:rPr>
                  </w:pPr>
                </w:p>
              </w:tc>
            </w:tr>
            <w:tr w:rsidR="005A6219" w:rsidRPr="00F31693" w14:paraId="13E360CE" w14:textId="77777777" w:rsidTr="001632C6">
              <w:trPr>
                <w:trHeight w:val="300"/>
              </w:trPr>
              <w:tc>
                <w:tcPr>
                  <w:tcW w:w="1971" w:type="dxa"/>
                  <w:tcBorders>
                    <w:top w:val="nil"/>
                    <w:left w:val="nil"/>
                    <w:bottom w:val="nil"/>
                    <w:right w:val="single" w:sz="4" w:space="0" w:color="auto"/>
                  </w:tcBorders>
                  <w:shd w:val="clear" w:color="auto" w:fill="auto"/>
                  <w:vAlign w:val="center"/>
                  <w:hideMark/>
                </w:tcPr>
                <w:p w14:paraId="26FF5DA5" w14:textId="77777777" w:rsidR="005A6219" w:rsidRPr="00F31693" w:rsidRDefault="005A6219" w:rsidP="008B2D39">
                  <w:pPr>
                    <w:spacing w:after="0" w:line="240" w:lineRule="auto"/>
                    <w:jc w:val="center"/>
                    <w:rPr>
                      <w:rFonts w:eastAsia="Times New Roman" w:cs="Arial"/>
                      <w:color w:val="000000"/>
                    </w:rPr>
                  </w:pPr>
                </w:p>
              </w:tc>
              <w:tc>
                <w:tcPr>
                  <w:tcW w:w="1189" w:type="dxa"/>
                  <w:tcBorders>
                    <w:top w:val="nil"/>
                    <w:left w:val="nil"/>
                    <w:bottom w:val="single" w:sz="4" w:space="0" w:color="auto"/>
                    <w:right w:val="single" w:sz="4" w:space="0" w:color="auto"/>
                  </w:tcBorders>
                  <w:shd w:val="clear" w:color="000000" w:fill="FFFF00"/>
                  <w:noWrap/>
                  <w:vAlign w:val="center"/>
                  <w:hideMark/>
                </w:tcPr>
                <w:p w14:paraId="2DB856B6" w14:textId="77777777" w:rsidR="005A6219" w:rsidRPr="00F31693" w:rsidRDefault="005A6219" w:rsidP="008B2D39">
                  <w:pPr>
                    <w:spacing w:after="0" w:line="240" w:lineRule="auto"/>
                    <w:jc w:val="center"/>
                    <w:rPr>
                      <w:rFonts w:eastAsia="Times New Roman" w:cs="Times New Roman"/>
                      <w:color w:val="000000"/>
                    </w:rPr>
                  </w:pPr>
                </w:p>
              </w:tc>
            </w:tr>
          </w:tbl>
          <w:p w14:paraId="15058CC4" w14:textId="77777777" w:rsidR="001632C6" w:rsidRPr="00F31693" w:rsidRDefault="001632C6" w:rsidP="000C7479">
            <w:pPr>
              <w:spacing w:after="0" w:line="240" w:lineRule="auto"/>
              <w:rPr>
                <w:rFonts w:ascii="Arial" w:eastAsia="Times New Roman" w:hAnsi="Arial" w:cs="Arial"/>
                <w:b/>
                <w:bCs/>
                <w:color w:val="000000"/>
                <w:sz w:val="16"/>
                <w:szCs w:val="16"/>
              </w:rPr>
            </w:pPr>
          </w:p>
        </w:tc>
      </w:tr>
    </w:tbl>
    <w:p w14:paraId="45486117" w14:textId="77777777" w:rsidR="00A13B1B" w:rsidRPr="00F31693" w:rsidRDefault="00A13B1B" w:rsidP="00A95E97"/>
    <w:p w14:paraId="04C18EBE" w14:textId="77777777" w:rsidR="00A95E97" w:rsidRPr="00F31693" w:rsidRDefault="00A95E97" w:rsidP="00A95E97">
      <w:r w:rsidRPr="00F31693">
        <w:t xml:space="preserve">In addition, </w:t>
      </w:r>
      <w:r w:rsidR="003126FB" w:rsidRPr="00F31693">
        <w:t xml:space="preserve">all </w:t>
      </w:r>
      <w:proofErr w:type="gramStart"/>
      <w:r w:rsidR="003126FB" w:rsidRPr="00F31693">
        <w:t>High Risk</w:t>
      </w:r>
      <w:proofErr w:type="gramEnd"/>
      <w:r w:rsidR="003126FB" w:rsidRPr="00F31693">
        <w:t xml:space="preserve"> customers are classi</w:t>
      </w:r>
      <w:r w:rsidRPr="00F31693">
        <w:t>fied as</w:t>
      </w:r>
      <w:r w:rsidR="00926846" w:rsidRPr="00F31693">
        <w:t xml:space="preserve"> </w:t>
      </w:r>
      <w:proofErr w:type="gramStart"/>
      <w:r w:rsidR="00926846" w:rsidRPr="00F31693">
        <w:t>such,</w:t>
      </w:r>
      <w:proofErr w:type="gramEnd"/>
      <w:r w:rsidR="00926846" w:rsidRPr="00F31693">
        <w:t xml:space="preserve"> </w:t>
      </w:r>
      <w:r w:rsidRPr="00F31693">
        <w:t xml:space="preserve">on the Watch List for Suspicious Activity and monitored on a quarterly basis. Included in the </w:t>
      </w:r>
      <w:r w:rsidR="00FF1668" w:rsidRPr="00F31693">
        <w:t>157</w:t>
      </w:r>
      <w:r w:rsidRPr="00F31693">
        <w:t xml:space="preserve"> are 1</w:t>
      </w:r>
      <w:r w:rsidR="00FF1668" w:rsidRPr="00F31693">
        <w:t>33</w:t>
      </w:r>
      <w:r w:rsidRPr="00F31693">
        <w:t xml:space="preserve"> customers that are also classified as </w:t>
      </w:r>
      <w:r w:rsidRPr="00F31693">
        <w:rPr>
          <w:b/>
        </w:rPr>
        <w:t xml:space="preserve">High Risk </w:t>
      </w:r>
      <w:r w:rsidRPr="00F31693">
        <w:t>due to their business classification.</w:t>
      </w:r>
    </w:p>
    <w:p w14:paraId="108DCB45" w14:textId="77777777" w:rsidR="00A95E97" w:rsidRPr="00F31693" w:rsidRDefault="00A95E97" w:rsidP="00A95E97">
      <w:r w:rsidRPr="00F31693">
        <w:t xml:space="preserve">Despite being located in a High Intensity Drug and Crime Risk Area and the additional re-classification of existing customers as High Risk it is believed the Risk Assessment remains as </w:t>
      </w:r>
      <w:r w:rsidRPr="00F31693">
        <w:rPr>
          <w:b/>
        </w:rPr>
        <w:t xml:space="preserve">Moderate </w:t>
      </w:r>
      <w:r w:rsidRPr="00F31693">
        <w:t xml:space="preserve">for the following </w:t>
      </w:r>
      <w:r w:rsidRPr="00F31693">
        <w:lastRenderedPageBreak/>
        <w:t xml:space="preserve">reasons: the additional High Risk customers’ accounts were being monitored through Patriot Officer for suspicious activity before being re-classified; there has been no terrorist activity detected by the Bank or notified of by any law enforcement agency; there has been no appreciable increase in suspicious activity detected during the past 2 </w:t>
      </w:r>
      <w:r w:rsidR="000273F1" w:rsidRPr="00F31693">
        <w:t>assessment periods</w:t>
      </w:r>
      <w:r w:rsidRPr="00F31693">
        <w:t xml:space="preserve">; and, </w:t>
      </w:r>
      <w:r w:rsidR="00516A36" w:rsidRPr="00F31693">
        <w:t>i</w:t>
      </w:r>
      <w:r w:rsidRPr="00F31693">
        <w:t xml:space="preserve">t is believed the use of the automated anti-money laundering detection system and the BSA employee training provided justifies the Risk Rating remaining as </w:t>
      </w:r>
      <w:r w:rsidRPr="00F31693">
        <w:rPr>
          <w:b/>
        </w:rPr>
        <w:t>Moderate</w:t>
      </w:r>
      <w:r w:rsidRPr="00F31693">
        <w:t>.</w:t>
      </w:r>
    </w:p>
    <w:p w14:paraId="2ABBCB0B" w14:textId="77777777" w:rsidR="00A95E97" w:rsidRPr="00F31693" w:rsidRDefault="00A95E97" w:rsidP="00A95E97">
      <w:pPr>
        <w:rPr>
          <w:b/>
        </w:rPr>
      </w:pPr>
      <w:r w:rsidRPr="00F31693">
        <w:rPr>
          <w:b/>
        </w:rPr>
        <w:t>Trade Finance, I</w:t>
      </w:r>
      <w:r w:rsidR="00993BC9" w:rsidRPr="00F31693">
        <w:rPr>
          <w:b/>
        </w:rPr>
        <w:t>mport/Export Companies</w:t>
      </w:r>
    </w:p>
    <w:p w14:paraId="01692896" w14:textId="77777777" w:rsidR="00A95E97" w:rsidRPr="00F31693" w:rsidRDefault="00A95E97" w:rsidP="00A95E97">
      <w:r w:rsidRPr="00F31693">
        <w:t xml:space="preserve">The bank does not maintain any Trade Finance relationships. </w:t>
      </w:r>
    </w:p>
    <w:p w14:paraId="3A46AFD3" w14:textId="77777777" w:rsidR="00A95E97" w:rsidRPr="00F31693" w:rsidRDefault="00A95E97" w:rsidP="00A95E97">
      <w:r w:rsidRPr="00F31693">
        <w:rPr>
          <w:b/>
        </w:rPr>
        <w:t>Politically Exposed Persons (“PEPs”)</w:t>
      </w:r>
    </w:p>
    <w:p w14:paraId="44D4075F" w14:textId="77777777" w:rsidR="00A95E97" w:rsidRPr="00F31693" w:rsidRDefault="00A95E97" w:rsidP="00A95E97">
      <w:r w:rsidRPr="00F31693">
        <w:t xml:space="preserve">The bank does not </w:t>
      </w:r>
      <w:r w:rsidR="00576239" w:rsidRPr="00F31693">
        <w:t xml:space="preserve">accept or </w:t>
      </w:r>
      <w:r w:rsidRPr="00F31693">
        <w:t xml:space="preserve">maintain accounts for PEPs. </w:t>
      </w:r>
    </w:p>
    <w:p w14:paraId="152BA506" w14:textId="77777777" w:rsidR="00A95E97" w:rsidRPr="00F31693" w:rsidRDefault="00A95E97" w:rsidP="00A95E97">
      <w:pPr>
        <w:rPr>
          <w:b/>
        </w:rPr>
      </w:pPr>
      <w:r w:rsidRPr="00F31693">
        <w:rPr>
          <w:b/>
        </w:rPr>
        <w:t>Mo</w:t>
      </w:r>
      <w:r w:rsidR="00993BC9" w:rsidRPr="00F31693">
        <w:rPr>
          <w:b/>
        </w:rPr>
        <w:t>ney Service Businesses (“MSBs”)</w:t>
      </w:r>
    </w:p>
    <w:p w14:paraId="4666A508" w14:textId="39BC519F" w:rsidR="00531B47" w:rsidRPr="00F31693" w:rsidRDefault="002E4D1B" w:rsidP="00F34BC7">
      <w:r w:rsidRPr="00F31693">
        <w:t xml:space="preserve">As a matter of policy, </w:t>
      </w:r>
      <w:r w:rsidR="006473DB">
        <w:t xml:space="preserve">J. Wallace </w:t>
      </w:r>
      <w:r w:rsidRPr="00F31693">
        <w:t xml:space="preserve">does </w:t>
      </w:r>
      <w:r w:rsidR="00A95E97" w:rsidRPr="00F31693">
        <w:t xml:space="preserve">not open </w:t>
      </w:r>
      <w:r w:rsidR="00F34BC7" w:rsidRPr="00F31693">
        <w:t>or accept MSB</w:t>
      </w:r>
      <w:r w:rsidRPr="00F31693">
        <w:t xml:space="preserve"> accounts</w:t>
      </w:r>
      <w:r w:rsidR="00531B47" w:rsidRPr="00F31693">
        <w:t>,</w:t>
      </w:r>
      <w:r w:rsidR="00F34BC7" w:rsidRPr="00F31693">
        <w:t xml:space="preserve"> only agents for MSBs</w:t>
      </w:r>
      <w:r w:rsidR="00531B47" w:rsidRPr="00F31693">
        <w:t xml:space="preserve"> such as Western Union.</w:t>
      </w:r>
    </w:p>
    <w:p w14:paraId="6AD5F32E" w14:textId="77777777" w:rsidR="00A95E97" w:rsidRPr="00F31693" w:rsidRDefault="00993BC9" w:rsidP="00F34BC7">
      <w:pPr>
        <w:rPr>
          <w:b/>
        </w:rPr>
      </w:pPr>
      <w:r w:rsidRPr="00F31693">
        <w:rPr>
          <w:b/>
        </w:rPr>
        <w:t>Third Party Payment Processors</w:t>
      </w:r>
    </w:p>
    <w:p w14:paraId="2CDF0C4C" w14:textId="77777777" w:rsidR="00A95E97" w:rsidRPr="00F31693" w:rsidRDefault="00A95E97" w:rsidP="00A95E97">
      <w:r w:rsidRPr="00F31693">
        <w:t xml:space="preserve">The day-to-day responsibility of oversight of </w:t>
      </w:r>
      <w:proofErr w:type="gramStart"/>
      <w:r w:rsidRPr="00F31693">
        <w:t>Third Party</w:t>
      </w:r>
      <w:proofErr w:type="gramEnd"/>
      <w:r w:rsidRPr="00F31693">
        <w:t xml:space="preserve"> Provider Management has been assigned to the Senior Vice President/Corporate Secretary who will interact with the primary relationship managers and periodically report to the Management Compliance Committee. An annual review will be provided to the Nominating and Corporate Governance Committee of the Board of Directors by the Management Compliance Committee.</w:t>
      </w:r>
    </w:p>
    <w:p w14:paraId="03E77856" w14:textId="77777777" w:rsidR="00A95E97" w:rsidRPr="00F31693" w:rsidRDefault="00A95E97" w:rsidP="00A95E97">
      <w:r w:rsidRPr="00F31693">
        <w:t xml:space="preserve">All Providers will be risk rated based on the nature of the Bank’s relationship or proposed relationship with the Provider. A rating of high, </w:t>
      </w:r>
      <w:proofErr w:type="gramStart"/>
      <w:r w:rsidRPr="00F31693">
        <w:t>medium</w:t>
      </w:r>
      <w:proofErr w:type="gramEnd"/>
      <w:r w:rsidRPr="00F31693">
        <w:t xml:space="preserve"> or low risk will be assigned to each Provider. The Provider will then be further classified based on likelihood of exposure to our customers’ </w:t>
      </w:r>
      <w:proofErr w:type="spellStart"/>
      <w:proofErr w:type="gramStart"/>
      <w:r w:rsidRPr="00F31693">
        <w:t>non public</w:t>
      </w:r>
      <w:proofErr w:type="spellEnd"/>
      <w:proofErr w:type="gramEnd"/>
      <w:r w:rsidRPr="00F31693">
        <w:t xml:space="preserve"> personal information (“NPPI”). These ratings will be utilized to determine the level of due diligence that is required. Provider ratings will be reviewed annually to identify any relationships that might have changed </w:t>
      </w:r>
      <w:proofErr w:type="gramStart"/>
      <w:r w:rsidRPr="00F31693">
        <w:t>during the course of</w:t>
      </w:r>
      <w:proofErr w:type="gramEnd"/>
      <w:r w:rsidRPr="00F31693">
        <w:t xml:space="preserve"> the year.</w:t>
      </w:r>
    </w:p>
    <w:p w14:paraId="62001B9C" w14:textId="77777777" w:rsidR="00A95E97" w:rsidRPr="00F31693" w:rsidRDefault="00A95E97" w:rsidP="00A95E97">
      <w:pPr>
        <w:rPr>
          <w:b/>
        </w:rPr>
      </w:pPr>
      <w:r w:rsidRPr="00F31693">
        <w:rPr>
          <w:b/>
        </w:rPr>
        <w:t xml:space="preserve">Products &amp; Services </w:t>
      </w:r>
    </w:p>
    <w:p w14:paraId="39301B7F" w14:textId="08940759" w:rsidR="00A95E97" w:rsidRPr="00F31693" w:rsidRDefault="006473DB" w:rsidP="00A95E97">
      <w:r>
        <w:t xml:space="preserve">J. Wallace </w:t>
      </w:r>
      <w:r w:rsidR="00A95E97" w:rsidRPr="00F31693">
        <w:t>continues to offer the following existing products and services:</w:t>
      </w:r>
    </w:p>
    <w:p w14:paraId="059B993A" w14:textId="77777777" w:rsidR="00A95E97" w:rsidRPr="00F31693" w:rsidRDefault="00A95E97" w:rsidP="00447AE2">
      <w:pPr>
        <w:pStyle w:val="ListParagraph"/>
        <w:numPr>
          <w:ilvl w:val="0"/>
          <w:numId w:val="13"/>
        </w:numPr>
      </w:pPr>
      <w:r w:rsidRPr="00F31693">
        <w:t>Consumer deposit products: Checking, Money Market, Statement and Passbook Savings, Certificate of Deposits, Traditional IRAs (CDs).</w:t>
      </w:r>
    </w:p>
    <w:p w14:paraId="3D52017D" w14:textId="77777777" w:rsidR="00A95E97" w:rsidRPr="00F31693" w:rsidRDefault="00A95E97" w:rsidP="00447AE2">
      <w:pPr>
        <w:pStyle w:val="ListParagraph"/>
        <w:numPr>
          <w:ilvl w:val="0"/>
          <w:numId w:val="13"/>
        </w:numPr>
      </w:pPr>
      <w:r w:rsidRPr="00F31693">
        <w:t>Consumer lending product: Residential Mortgages</w:t>
      </w:r>
    </w:p>
    <w:p w14:paraId="0E0FF3D3" w14:textId="77777777" w:rsidR="00A95E97" w:rsidRPr="00F31693" w:rsidRDefault="00A95E97" w:rsidP="00447AE2">
      <w:pPr>
        <w:pStyle w:val="ListParagraph"/>
        <w:numPr>
          <w:ilvl w:val="0"/>
          <w:numId w:val="13"/>
        </w:numPr>
      </w:pPr>
      <w:r w:rsidRPr="00F31693">
        <w:t>Commercial deposit products: Business Checking, Money Market, Statement Savings, and Certificate of Deposits.</w:t>
      </w:r>
    </w:p>
    <w:p w14:paraId="1509B035" w14:textId="77777777" w:rsidR="00A95E97" w:rsidRPr="00F31693" w:rsidRDefault="00A95E97" w:rsidP="00447AE2">
      <w:pPr>
        <w:pStyle w:val="ListParagraph"/>
        <w:numPr>
          <w:ilvl w:val="0"/>
          <w:numId w:val="13"/>
        </w:numPr>
      </w:pPr>
      <w:r w:rsidRPr="00F31693">
        <w:t>Commercial lending products: Commercial Mortgage Loans, Commercial Lines of Credit, Term Loans, and Trade Financing.</w:t>
      </w:r>
    </w:p>
    <w:p w14:paraId="2FB9B0D4" w14:textId="77777777" w:rsidR="00A95E97" w:rsidRPr="00F31693" w:rsidRDefault="00A95E97" w:rsidP="00447AE2">
      <w:pPr>
        <w:pStyle w:val="ListParagraph"/>
        <w:numPr>
          <w:ilvl w:val="0"/>
          <w:numId w:val="13"/>
        </w:numPr>
      </w:pPr>
      <w:r w:rsidRPr="00F31693">
        <w:lastRenderedPageBreak/>
        <w:t>Sale of Monetary instruments (Cashier’s Checks, Money Orders, Travelers Checks and Gift Checks) to customers only.</w:t>
      </w:r>
    </w:p>
    <w:p w14:paraId="01C18B1D" w14:textId="31EA98DB" w:rsidR="00A95E97" w:rsidRPr="00F31693" w:rsidRDefault="006473DB" w:rsidP="00A95E97">
      <w:r>
        <w:t xml:space="preserve">J. Wallace </w:t>
      </w:r>
      <w:r w:rsidR="00A95E97" w:rsidRPr="00F31693">
        <w:t xml:space="preserve">provides Electronic Banking services to its customers such as ATM cards, Debit Card, ACH, Remote Deposit Capture (RDC), Wire Transfers, and Internet. </w:t>
      </w:r>
    </w:p>
    <w:p w14:paraId="79027FB2" w14:textId="0FF6D3E4" w:rsidR="00A95E97" w:rsidRPr="00F31693" w:rsidRDefault="006473DB" w:rsidP="00A95E97">
      <w:r>
        <w:t xml:space="preserve">J. Wallace </w:t>
      </w:r>
      <w:r w:rsidR="00A95E97" w:rsidRPr="00F31693">
        <w:t xml:space="preserve">does not offer the following </w:t>
      </w:r>
      <w:proofErr w:type="gramStart"/>
      <w:r w:rsidR="00A95E97" w:rsidRPr="00F31693">
        <w:t>high risk</w:t>
      </w:r>
      <w:proofErr w:type="gramEnd"/>
      <w:r w:rsidR="00A95E97" w:rsidRPr="00F31693">
        <w:t xml:space="preserve"> products and services:</w:t>
      </w:r>
    </w:p>
    <w:p w14:paraId="6FE9B74A" w14:textId="77777777" w:rsidR="00A95E97" w:rsidRPr="00F31693" w:rsidRDefault="00A95E97" w:rsidP="00447AE2">
      <w:pPr>
        <w:pStyle w:val="ListParagraph"/>
        <w:numPr>
          <w:ilvl w:val="0"/>
          <w:numId w:val="14"/>
        </w:numPr>
      </w:pPr>
      <w:r w:rsidRPr="00F31693">
        <w:t>Stored value cards</w:t>
      </w:r>
    </w:p>
    <w:p w14:paraId="74298ABD" w14:textId="77777777" w:rsidR="00A95E97" w:rsidRPr="00F31693" w:rsidRDefault="00A95E97" w:rsidP="00447AE2">
      <w:pPr>
        <w:pStyle w:val="ListParagraph"/>
        <w:numPr>
          <w:ilvl w:val="0"/>
          <w:numId w:val="14"/>
        </w:numPr>
      </w:pPr>
      <w:r w:rsidRPr="00F31693">
        <w:t>Electronic Cash</w:t>
      </w:r>
    </w:p>
    <w:p w14:paraId="78BC7469" w14:textId="77777777" w:rsidR="00A95E97" w:rsidRPr="00F31693" w:rsidRDefault="00447AE2" w:rsidP="00A95E97">
      <w:r w:rsidRPr="00F31693">
        <w:rPr>
          <w:b/>
        </w:rPr>
        <w:t>Monetary Instruments</w:t>
      </w:r>
    </w:p>
    <w:p w14:paraId="70CAD4CE" w14:textId="20B9C698" w:rsidR="00A95E97" w:rsidRPr="00F31693" w:rsidRDefault="00A95E97" w:rsidP="00A95E97">
      <w:r w:rsidRPr="00F31693">
        <w:t xml:space="preserve">The Bank does not sell monetary instruments or perform funds transfer for non-customers. Only </w:t>
      </w:r>
      <w:r w:rsidR="006473DB">
        <w:t xml:space="preserve">J. Wallace </w:t>
      </w:r>
      <w:r w:rsidRPr="00F31693">
        <w:t xml:space="preserve">customer (“on-us”) checks are cashed for non-customers up to a maximum of $500.00. Photo Identification is </w:t>
      </w:r>
      <w:proofErr w:type="gramStart"/>
      <w:r w:rsidRPr="00F31693">
        <w:t>required</w:t>
      </w:r>
      <w:proofErr w:type="gramEnd"/>
      <w:r w:rsidRPr="00F31693">
        <w:t xml:space="preserve"> and Watch List checks are performed for each. </w:t>
      </w:r>
      <w:proofErr w:type="gramStart"/>
      <w:r w:rsidRPr="00F31693">
        <w:t>By limiting</w:t>
      </w:r>
      <w:proofErr w:type="gramEnd"/>
      <w:r w:rsidRPr="00F31693">
        <w:t xml:space="preserve"> the issuance of these items to customers only mitigates the risk by enabling the Bank to monitor these items through the Bank’s automated anti-money laundering system. The Bank performs OFAC / Watch List Checks for all </w:t>
      </w:r>
      <w:proofErr w:type="gramStart"/>
      <w:r w:rsidRPr="00F31693">
        <w:t>third party</w:t>
      </w:r>
      <w:proofErr w:type="gramEnd"/>
      <w:r w:rsidRPr="00F31693">
        <w:t xml:space="preserve"> </w:t>
      </w:r>
      <w:proofErr w:type="gramStart"/>
      <w:r w:rsidRPr="00F31693">
        <w:t>payees</w:t>
      </w:r>
      <w:proofErr w:type="gramEnd"/>
      <w:r w:rsidRPr="00F31693">
        <w:t xml:space="preserve"> (non-customers) listed on Cashier’s Checks and </w:t>
      </w:r>
      <w:r w:rsidR="006473DB">
        <w:t xml:space="preserve">J. Wallace Bank </w:t>
      </w:r>
      <w:r w:rsidRPr="00F31693">
        <w:t>customer checks cashed in the branches.</w:t>
      </w:r>
    </w:p>
    <w:p w14:paraId="3052DBFF" w14:textId="1204829F" w:rsidR="00A95E97" w:rsidRPr="00F31693" w:rsidRDefault="00A95E97" w:rsidP="00A95E97">
      <w:r w:rsidRPr="00F31693">
        <w:t xml:space="preserve">Business </w:t>
      </w:r>
      <w:proofErr w:type="gramStart"/>
      <w:r w:rsidRPr="00F31693">
        <w:t>customer</w:t>
      </w:r>
      <w:proofErr w:type="gramEnd"/>
      <w:r w:rsidRPr="00F31693">
        <w:t xml:space="preserve"> with payroll accounts requires an agreement on file with a list of current employees. Employees who do not have accounts with </w:t>
      </w:r>
      <w:r w:rsidR="006473DB">
        <w:t xml:space="preserve">J. Wallace </w:t>
      </w:r>
      <w:r w:rsidRPr="00F31693">
        <w:t xml:space="preserve">are required to present photo identification and Watch List checks are </w:t>
      </w:r>
      <w:proofErr w:type="gramStart"/>
      <w:r w:rsidRPr="00F31693">
        <w:t>performed</w:t>
      </w:r>
      <w:proofErr w:type="gramEnd"/>
      <w:r w:rsidRPr="00F31693">
        <w:t xml:space="preserve"> the 15th of every month and each time a new list is received. When cashing checks employees’ names are verified against the current list. The branches log on-us checks </w:t>
      </w:r>
      <w:proofErr w:type="gramStart"/>
      <w:r w:rsidRPr="00F31693">
        <w:t>cashed</w:t>
      </w:r>
      <w:proofErr w:type="gramEnd"/>
      <w:r w:rsidRPr="00F31693">
        <w:t xml:space="preserve"> but they have been logging them for both customers and non-customers. That practice has </w:t>
      </w:r>
      <w:proofErr w:type="gramStart"/>
      <w:r w:rsidRPr="00F31693">
        <w:t>ceased</w:t>
      </w:r>
      <w:proofErr w:type="gramEnd"/>
      <w:r w:rsidRPr="00F31693">
        <w:t xml:space="preserve"> and they will now only be logging on-us checks cashed for non-customers. The Vice President, Retail Banking believes the branches currently cash only a small amount of on-us checks for non-customers, excluding customer payroll checks. When these checks are cashed, including business customer payroll checks, valid current identification, such as a driver’s license or any other item listed in our new account procedures, is obtained and the information is recorded and retained and an OFAC</w:t>
      </w:r>
      <w:r w:rsidR="001429AE" w:rsidRPr="00F31693">
        <w:t xml:space="preserve"> </w:t>
      </w:r>
      <w:r w:rsidRPr="00F31693">
        <w:t>Watch List Report is run and retained. The transaction is then approved by a supervisor.</w:t>
      </w:r>
    </w:p>
    <w:p w14:paraId="75CE9489" w14:textId="77777777" w:rsidR="00A95E97" w:rsidRPr="00F31693" w:rsidRDefault="00A95E97" w:rsidP="00A95E97">
      <w:r w:rsidRPr="00F31693">
        <w:t xml:space="preserve">There </w:t>
      </w:r>
      <w:proofErr w:type="gramStart"/>
      <w:r w:rsidRPr="00F31693">
        <w:t>were</w:t>
      </w:r>
      <w:proofErr w:type="gramEnd"/>
      <w:r w:rsidRPr="00F31693">
        <w:t xml:space="preserve"> a total of </w:t>
      </w:r>
      <w:r w:rsidR="009F359A" w:rsidRPr="00F31693">
        <w:t>1</w:t>
      </w:r>
      <w:r w:rsidR="00022F43" w:rsidRPr="00F31693">
        <w:t>2</w:t>
      </w:r>
      <w:r w:rsidR="00410C8E" w:rsidRPr="00F31693">
        <w:t xml:space="preserve"> Bank Checks</w:t>
      </w:r>
      <w:r w:rsidRPr="00F31693">
        <w:t xml:space="preserve"> sold during the assessment period and </w:t>
      </w:r>
      <w:r w:rsidR="00410C8E" w:rsidRPr="00F31693">
        <w:t>868</w:t>
      </w:r>
      <w:r w:rsidRPr="00F31693">
        <w:t xml:space="preserve"> money order sales</w:t>
      </w:r>
      <w:r w:rsidR="00410C8E" w:rsidRPr="00F31693">
        <w:t>. The instruments were sold as follows:</w:t>
      </w:r>
      <w:r w:rsidRPr="00F31693">
        <w:t xml:space="preserve"> </w:t>
      </w:r>
    </w:p>
    <w:p w14:paraId="11252FE0" w14:textId="77777777" w:rsidR="00022F43" w:rsidRPr="00F31693" w:rsidRDefault="00022F43" w:rsidP="00022F43">
      <w:r w:rsidRPr="00F31693">
        <w:t xml:space="preserve">Bank Checks (12) totaling </w:t>
      </w:r>
      <w:proofErr w:type="gramStart"/>
      <w:r w:rsidRPr="00F31693">
        <w:t>$144,295.93</w:t>
      </w:r>
      <w:proofErr w:type="gramEnd"/>
    </w:p>
    <w:p w14:paraId="5AAA71A0" w14:textId="77777777" w:rsidR="00022F43" w:rsidRPr="00F31693" w:rsidRDefault="00022F43" w:rsidP="00022F43">
      <w:r w:rsidRPr="00F31693">
        <w:t xml:space="preserve">Money Orders (649) totaling </w:t>
      </w:r>
      <w:proofErr w:type="gramStart"/>
      <w:r w:rsidRPr="00F31693">
        <w:t>$237,943.72</w:t>
      </w:r>
      <w:proofErr w:type="gramEnd"/>
    </w:p>
    <w:p w14:paraId="57D5EB61" w14:textId="77777777" w:rsidR="00022F43" w:rsidRPr="00F31693" w:rsidRDefault="00022F43" w:rsidP="00022F43">
      <w:r w:rsidRPr="00F31693">
        <w:t>Two branches (#7 and #30) did not have any monetary instrument sales for the risk assessment period.</w:t>
      </w:r>
      <w:r w:rsidRPr="00F31693">
        <w:tab/>
      </w:r>
    </w:p>
    <w:p w14:paraId="44B3C36D" w14:textId="77777777" w:rsidR="00A95E97" w:rsidRPr="00F31693" w:rsidRDefault="00A95E97" w:rsidP="00A95E97">
      <w:r w:rsidRPr="00F31693">
        <w:t xml:space="preserve">The sale of monetary instruments is relatively low compared to the overall customer base. </w:t>
      </w:r>
      <w:r w:rsidR="00E30507" w:rsidRPr="00F31693">
        <w:t xml:space="preserve">Branch </w:t>
      </w:r>
      <w:r w:rsidR="000E634F" w:rsidRPr="00F31693">
        <w:t>Administration</w:t>
      </w:r>
      <w:r w:rsidR="00E30507" w:rsidRPr="00F31693">
        <w:t xml:space="preserve"> should consider amending the policy and procedures relating to Monetary I</w:t>
      </w:r>
      <w:r w:rsidR="00CE6C79" w:rsidRPr="00F31693">
        <w:t xml:space="preserve">nstruments. </w:t>
      </w:r>
      <w:r w:rsidR="00CE6C79" w:rsidRPr="00F31693">
        <w:lastRenderedPageBreak/>
        <w:t xml:space="preserve">They </w:t>
      </w:r>
      <w:r w:rsidR="000E634F" w:rsidRPr="00F31693">
        <w:t>should</w:t>
      </w:r>
      <w:r w:rsidR="00CE6C79" w:rsidRPr="00F31693">
        <w:t xml:space="preserve"> become more </w:t>
      </w:r>
      <w:r w:rsidR="006B0AE2" w:rsidRPr="00F31693">
        <w:t>comprehensive by</w:t>
      </w:r>
      <w:r w:rsidR="00CE6C79" w:rsidRPr="00F31693">
        <w:t xml:space="preserve"> including regulatory guidance </w:t>
      </w:r>
      <w:r w:rsidR="006B0AE2" w:rsidRPr="00F31693">
        <w:t>for</w:t>
      </w:r>
      <w:r w:rsidR="00CE6C79" w:rsidRPr="00F31693">
        <w:t xml:space="preserve"> processing</w:t>
      </w:r>
      <w:r w:rsidR="000E634F" w:rsidRPr="00F31693">
        <w:t xml:space="preserve"> Monetary Instruments</w:t>
      </w:r>
      <w:r w:rsidR="006B0AE2" w:rsidRPr="00F31693">
        <w:t xml:space="preserve"> and related definitions</w:t>
      </w:r>
      <w:r w:rsidR="000E634F" w:rsidRPr="00F31693">
        <w:t>.</w:t>
      </w:r>
    </w:p>
    <w:p w14:paraId="3F5D089C" w14:textId="77777777" w:rsidR="004F4950" w:rsidRPr="00F31693" w:rsidRDefault="004F4950" w:rsidP="00A95E97">
      <w:pPr>
        <w:rPr>
          <w:b/>
        </w:rPr>
      </w:pPr>
      <w:r w:rsidRPr="00F31693">
        <w:rPr>
          <w:b/>
        </w:rPr>
        <w:t>Debit Cards</w:t>
      </w:r>
    </w:p>
    <w:p w14:paraId="6F20249B" w14:textId="77777777" w:rsidR="00393C41" w:rsidRPr="00F31693" w:rsidRDefault="00393C41" w:rsidP="00A95E97">
      <w:pPr>
        <w:rPr>
          <w:b/>
          <w:u w:val="single"/>
        </w:rPr>
      </w:pPr>
      <w:r w:rsidRPr="00F31693">
        <w:rPr>
          <w:b/>
          <w:u w:val="single"/>
        </w:rPr>
        <w:t xml:space="preserve">Debit </w:t>
      </w:r>
      <w:r w:rsidR="00967457" w:rsidRPr="00F31693">
        <w:rPr>
          <w:b/>
          <w:u w:val="single"/>
        </w:rPr>
        <w:t xml:space="preserve">Card </w:t>
      </w:r>
      <w:r w:rsidR="00236961" w:rsidRPr="00F31693">
        <w:rPr>
          <w:b/>
          <w:u w:val="single"/>
        </w:rPr>
        <w:t>(Point of Sale (“POS”) Purchases</w:t>
      </w:r>
      <w:r w:rsidR="002C6AA3" w:rsidRPr="00F31693">
        <w:rPr>
          <w:b/>
          <w:u w:val="single"/>
        </w:rPr>
        <w:t xml:space="preserve">) </w:t>
      </w:r>
      <w:r w:rsidR="00967457" w:rsidRPr="00F31693">
        <w:rPr>
          <w:b/>
          <w:u w:val="single"/>
        </w:rPr>
        <w:t>Transactions</w:t>
      </w:r>
      <w:r w:rsidR="00236961" w:rsidRPr="00F31693">
        <w:rPr>
          <w:b/>
          <w:u w:val="single"/>
        </w:rPr>
        <w:t xml:space="preserve"> per month</w:t>
      </w:r>
    </w:p>
    <w:tbl>
      <w:tblPr>
        <w:tblW w:w="0" w:type="auto"/>
        <w:tblCellMar>
          <w:left w:w="0" w:type="dxa"/>
          <w:right w:w="0" w:type="dxa"/>
        </w:tblCellMar>
        <w:tblLook w:val="04A0" w:firstRow="1" w:lastRow="0" w:firstColumn="1" w:lastColumn="0" w:noHBand="0" w:noVBand="1"/>
      </w:tblPr>
      <w:tblGrid>
        <w:gridCol w:w="1261"/>
        <w:gridCol w:w="1199"/>
        <w:gridCol w:w="1131"/>
        <w:gridCol w:w="973"/>
        <w:gridCol w:w="1326"/>
        <w:gridCol w:w="1506"/>
        <w:gridCol w:w="1944"/>
      </w:tblGrid>
      <w:tr w:rsidR="00626B8C" w:rsidRPr="00F31693" w14:paraId="01460E12" w14:textId="77777777" w:rsidTr="00626B8C">
        <w:trPr>
          <w:trHeight w:val="290"/>
        </w:trPr>
        <w:tc>
          <w:tcPr>
            <w:tcW w:w="1291" w:type="dxa"/>
            <w:gridSpan w:val="4"/>
            <w:tcBorders>
              <w:top w:val="single" w:sz="8" w:space="0" w:color="auto"/>
              <w:left w:val="single" w:sz="8" w:space="0" w:color="auto"/>
              <w:bottom w:val="single" w:sz="8" w:space="0" w:color="auto"/>
              <w:right w:val="nil"/>
            </w:tcBorders>
            <w:tcMar>
              <w:top w:w="0" w:type="dxa"/>
              <w:left w:w="30" w:type="dxa"/>
              <w:bottom w:w="0" w:type="dxa"/>
              <w:right w:w="30" w:type="dxa"/>
            </w:tcMar>
            <w:hideMark/>
          </w:tcPr>
          <w:p w14:paraId="3F2949A4" w14:textId="77777777" w:rsidR="00626B8C" w:rsidRPr="00F31693" w:rsidRDefault="00626B8C" w:rsidP="00626B8C">
            <w:pPr>
              <w:autoSpaceDE w:val="0"/>
              <w:autoSpaceDN w:val="0"/>
              <w:spacing w:after="0" w:line="240" w:lineRule="auto"/>
              <w:jc w:val="center"/>
              <w:rPr>
                <w:rFonts w:ascii="Calibri" w:hAnsi="Calibri" w:cs="Times New Roman"/>
                <w:color w:val="000000"/>
              </w:rPr>
            </w:pPr>
            <w:r w:rsidRPr="00F31693">
              <w:rPr>
                <w:rFonts w:ascii="Calibri" w:hAnsi="Calibri" w:cs="Times New Roman"/>
                <w:color w:val="000000"/>
              </w:rPr>
              <w:t xml:space="preserve">Debit Card Transaction Volumes  </w:t>
            </w:r>
          </w:p>
        </w:tc>
        <w:tc>
          <w:tcPr>
            <w:tcW w:w="1454" w:type="dxa"/>
            <w:tcBorders>
              <w:top w:val="single" w:sz="8" w:space="0" w:color="auto"/>
              <w:left w:val="nil"/>
              <w:bottom w:val="single" w:sz="8" w:space="0" w:color="auto"/>
              <w:right w:val="nil"/>
            </w:tcBorders>
            <w:tcMar>
              <w:top w:w="0" w:type="dxa"/>
              <w:left w:w="30" w:type="dxa"/>
              <w:bottom w:w="0" w:type="dxa"/>
              <w:right w:w="30" w:type="dxa"/>
            </w:tcMar>
          </w:tcPr>
          <w:p w14:paraId="2DFAF1D2" w14:textId="77777777" w:rsidR="00626B8C" w:rsidRPr="00F31693" w:rsidRDefault="00626B8C" w:rsidP="00626B8C">
            <w:pPr>
              <w:autoSpaceDE w:val="0"/>
              <w:autoSpaceDN w:val="0"/>
              <w:spacing w:after="0" w:line="240" w:lineRule="auto"/>
              <w:jc w:val="center"/>
              <w:rPr>
                <w:rFonts w:ascii="Calibri" w:hAnsi="Calibri" w:cs="Times New Roman"/>
                <w:color w:val="000000"/>
              </w:rPr>
            </w:pPr>
          </w:p>
        </w:tc>
        <w:tc>
          <w:tcPr>
            <w:tcW w:w="1541" w:type="dxa"/>
            <w:tcBorders>
              <w:top w:val="single" w:sz="8" w:space="0" w:color="auto"/>
              <w:left w:val="nil"/>
              <w:bottom w:val="single" w:sz="8" w:space="0" w:color="auto"/>
              <w:right w:val="nil"/>
            </w:tcBorders>
            <w:tcMar>
              <w:top w:w="0" w:type="dxa"/>
              <w:left w:w="30" w:type="dxa"/>
              <w:bottom w:w="0" w:type="dxa"/>
              <w:right w:w="30" w:type="dxa"/>
            </w:tcMar>
          </w:tcPr>
          <w:p w14:paraId="0F1BC595" w14:textId="77777777" w:rsidR="00626B8C" w:rsidRPr="00F31693" w:rsidRDefault="00626B8C" w:rsidP="00626B8C">
            <w:pPr>
              <w:autoSpaceDE w:val="0"/>
              <w:autoSpaceDN w:val="0"/>
              <w:spacing w:after="0" w:line="240" w:lineRule="auto"/>
              <w:jc w:val="center"/>
              <w:rPr>
                <w:rFonts w:ascii="Calibri" w:hAnsi="Calibri" w:cs="Times New Roman"/>
                <w:color w:val="000000"/>
              </w:rPr>
            </w:pPr>
          </w:p>
        </w:tc>
        <w:tc>
          <w:tcPr>
            <w:tcW w:w="2182" w:type="dxa"/>
            <w:tcBorders>
              <w:top w:val="single" w:sz="8" w:space="0" w:color="auto"/>
              <w:left w:val="nil"/>
              <w:bottom w:val="single" w:sz="8" w:space="0" w:color="auto"/>
              <w:right w:val="single" w:sz="8" w:space="0" w:color="auto"/>
            </w:tcBorders>
            <w:tcMar>
              <w:top w:w="0" w:type="dxa"/>
              <w:left w:w="30" w:type="dxa"/>
              <w:bottom w:w="0" w:type="dxa"/>
              <w:right w:w="30" w:type="dxa"/>
            </w:tcMar>
          </w:tcPr>
          <w:p w14:paraId="377792C3" w14:textId="77777777" w:rsidR="00626B8C" w:rsidRPr="00F31693" w:rsidRDefault="00626B8C" w:rsidP="00626B8C">
            <w:pPr>
              <w:autoSpaceDE w:val="0"/>
              <w:autoSpaceDN w:val="0"/>
              <w:spacing w:after="0" w:line="240" w:lineRule="auto"/>
              <w:jc w:val="center"/>
              <w:rPr>
                <w:rFonts w:ascii="Calibri" w:hAnsi="Calibri" w:cs="Times New Roman"/>
                <w:color w:val="000000"/>
              </w:rPr>
            </w:pPr>
          </w:p>
        </w:tc>
      </w:tr>
      <w:tr w:rsidR="00626B8C" w:rsidRPr="00F31693" w14:paraId="732D7346" w14:textId="77777777" w:rsidTr="00626B8C">
        <w:trPr>
          <w:trHeight w:val="936"/>
        </w:trPr>
        <w:tc>
          <w:tcPr>
            <w:tcW w:w="1291"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77968A19" w14:textId="77777777" w:rsidR="00626B8C" w:rsidRPr="00F31693" w:rsidRDefault="00626B8C" w:rsidP="00626B8C">
            <w:pPr>
              <w:autoSpaceDE w:val="0"/>
              <w:autoSpaceDN w:val="0"/>
              <w:spacing w:after="0" w:line="240" w:lineRule="auto"/>
              <w:rPr>
                <w:rFonts w:ascii="Calibri" w:hAnsi="Calibri" w:cs="Times New Roman"/>
                <w:color w:val="000000"/>
              </w:rPr>
            </w:pPr>
            <w:r w:rsidRPr="00F31693">
              <w:rPr>
                <w:rFonts w:ascii="Calibri" w:hAnsi="Calibri" w:cs="Times New Roman"/>
                <w:color w:val="000000"/>
              </w:rPr>
              <w:t>Month/Year</w:t>
            </w:r>
          </w:p>
        </w:tc>
        <w:tc>
          <w:tcPr>
            <w:tcW w:w="1291" w:type="dxa"/>
            <w:tcBorders>
              <w:top w:val="nil"/>
              <w:left w:val="nil"/>
              <w:bottom w:val="single" w:sz="8" w:space="0" w:color="auto"/>
              <w:right w:val="single" w:sz="8" w:space="0" w:color="auto"/>
            </w:tcBorders>
            <w:tcMar>
              <w:top w:w="0" w:type="dxa"/>
              <w:left w:w="30" w:type="dxa"/>
              <w:bottom w:w="0" w:type="dxa"/>
              <w:right w:w="30" w:type="dxa"/>
            </w:tcMar>
            <w:hideMark/>
          </w:tcPr>
          <w:p w14:paraId="653CDED0" w14:textId="77777777" w:rsidR="00626B8C" w:rsidRPr="00F31693" w:rsidRDefault="00626B8C" w:rsidP="00626B8C">
            <w:pPr>
              <w:autoSpaceDE w:val="0"/>
              <w:autoSpaceDN w:val="0"/>
              <w:spacing w:after="0" w:line="240" w:lineRule="auto"/>
              <w:rPr>
                <w:rFonts w:ascii="Calibri" w:hAnsi="Calibri" w:cs="Times New Roman"/>
                <w:color w:val="000000"/>
              </w:rPr>
            </w:pPr>
            <w:r w:rsidRPr="00F31693">
              <w:rPr>
                <w:rFonts w:ascii="Calibri" w:hAnsi="Calibri" w:cs="Times New Roman"/>
                <w:color w:val="000000"/>
              </w:rPr>
              <w:t>DDA Purchase</w:t>
            </w:r>
          </w:p>
        </w:tc>
        <w:tc>
          <w:tcPr>
            <w:tcW w:w="1203" w:type="dxa"/>
            <w:tcBorders>
              <w:top w:val="nil"/>
              <w:left w:val="nil"/>
              <w:bottom w:val="single" w:sz="8" w:space="0" w:color="auto"/>
              <w:right w:val="single" w:sz="8" w:space="0" w:color="auto"/>
            </w:tcBorders>
            <w:tcMar>
              <w:top w:w="0" w:type="dxa"/>
              <w:left w:w="30" w:type="dxa"/>
              <w:bottom w:w="0" w:type="dxa"/>
              <w:right w:w="30" w:type="dxa"/>
            </w:tcMar>
            <w:hideMark/>
          </w:tcPr>
          <w:p w14:paraId="6B3CAEFF" w14:textId="77777777" w:rsidR="00626B8C" w:rsidRPr="00F31693" w:rsidRDefault="00626B8C" w:rsidP="00626B8C">
            <w:pPr>
              <w:autoSpaceDE w:val="0"/>
              <w:autoSpaceDN w:val="0"/>
              <w:spacing w:after="0" w:line="240" w:lineRule="auto"/>
              <w:rPr>
                <w:rFonts w:ascii="Calibri" w:hAnsi="Calibri" w:cs="Times New Roman"/>
                <w:color w:val="000000"/>
              </w:rPr>
            </w:pPr>
            <w:r w:rsidRPr="00F31693">
              <w:rPr>
                <w:rFonts w:ascii="Calibri" w:hAnsi="Calibri" w:cs="Times New Roman"/>
                <w:color w:val="000000"/>
              </w:rPr>
              <w:t>MC Purchase</w:t>
            </w:r>
          </w:p>
        </w:tc>
        <w:tc>
          <w:tcPr>
            <w:tcW w:w="1015" w:type="dxa"/>
            <w:tcBorders>
              <w:top w:val="nil"/>
              <w:left w:val="nil"/>
              <w:bottom w:val="single" w:sz="8" w:space="0" w:color="auto"/>
              <w:right w:val="single" w:sz="8" w:space="0" w:color="auto"/>
            </w:tcBorders>
            <w:tcMar>
              <w:top w:w="0" w:type="dxa"/>
              <w:left w:w="30" w:type="dxa"/>
              <w:bottom w:w="0" w:type="dxa"/>
              <w:right w:w="30" w:type="dxa"/>
            </w:tcMar>
            <w:hideMark/>
          </w:tcPr>
          <w:p w14:paraId="121259E3" w14:textId="77777777" w:rsidR="00626B8C" w:rsidRPr="00F31693" w:rsidRDefault="00626B8C" w:rsidP="00626B8C">
            <w:pPr>
              <w:autoSpaceDE w:val="0"/>
              <w:autoSpaceDN w:val="0"/>
              <w:spacing w:after="0" w:line="240" w:lineRule="auto"/>
              <w:rPr>
                <w:rFonts w:ascii="Calibri" w:hAnsi="Calibri" w:cs="Times New Roman"/>
                <w:color w:val="000000"/>
              </w:rPr>
            </w:pPr>
            <w:r w:rsidRPr="00F31693">
              <w:rPr>
                <w:rFonts w:ascii="Calibri" w:hAnsi="Calibri" w:cs="Times New Roman"/>
                <w:color w:val="000000"/>
              </w:rPr>
              <w:t>MC Cash Advance</w:t>
            </w:r>
          </w:p>
        </w:tc>
        <w:tc>
          <w:tcPr>
            <w:tcW w:w="1454" w:type="dxa"/>
            <w:tcBorders>
              <w:top w:val="nil"/>
              <w:left w:val="nil"/>
              <w:bottom w:val="single" w:sz="8" w:space="0" w:color="auto"/>
              <w:right w:val="single" w:sz="8" w:space="0" w:color="auto"/>
            </w:tcBorders>
            <w:tcMar>
              <w:top w:w="0" w:type="dxa"/>
              <w:left w:w="30" w:type="dxa"/>
              <w:bottom w:w="0" w:type="dxa"/>
              <w:right w:w="30" w:type="dxa"/>
            </w:tcMar>
            <w:hideMark/>
          </w:tcPr>
          <w:p w14:paraId="650F06A5" w14:textId="77777777" w:rsidR="00626B8C" w:rsidRPr="00F31693" w:rsidRDefault="00626B8C" w:rsidP="00626B8C">
            <w:pPr>
              <w:autoSpaceDE w:val="0"/>
              <w:autoSpaceDN w:val="0"/>
              <w:spacing w:after="0" w:line="240" w:lineRule="auto"/>
              <w:rPr>
                <w:rFonts w:ascii="Calibri" w:hAnsi="Calibri" w:cs="Times New Roman"/>
                <w:color w:val="000000"/>
              </w:rPr>
            </w:pPr>
            <w:r w:rsidRPr="00F31693">
              <w:rPr>
                <w:rFonts w:ascii="Calibri" w:hAnsi="Calibri" w:cs="Times New Roman"/>
                <w:color w:val="000000"/>
              </w:rPr>
              <w:t>MC Int'l Purchase</w:t>
            </w:r>
          </w:p>
        </w:tc>
        <w:tc>
          <w:tcPr>
            <w:tcW w:w="1541" w:type="dxa"/>
            <w:tcBorders>
              <w:top w:val="nil"/>
              <w:left w:val="nil"/>
              <w:bottom w:val="single" w:sz="8" w:space="0" w:color="auto"/>
              <w:right w:val="single" w:sz="8" w:space="0" w:color="auto"/>
            </w:tcBorders>
            <w:tcMar>
              <w:top w:w="0" w:type="dxa"/>
              <w:left w:w="30" w:type="dxa"/>
              <w:bottom w:w="0" w:type="dxa"/>
              <w:right w:w="30" w:type="dxa"/>
            </w:tcMar>
            <w:hideMark/>
          </w:tcPr>
          <w:p w14:paraId="0C7ED617" w14:textId="77777777" w:rsidR="00626B8C" w:rsidRPr="00F31693" w:rsidRDefault="00626B8C" w:rsidP="00626B8C">
            <w:pPr>
              <w:autoSpaceDE w:val="0"/>
              <w:autoSpaceDN w:val="0"/>
              <w:spacing w:after="0" w:line="240" w:lineRule="auto"/>
              <w:rPr>
                <w:rFonts w:ascii="Calibri" w:hAnsi="Calibri" w:cs="Times New Roman"/>
                <w:color w:val="000000"/>
              </w:rPr>
            </w:pPr>
            <w:r w:rsidRPr="00F31693">
              <w:rPr>
                <w:rFonts w:ascii="Calibri" w:hAnsi="Calibri" w:cs="Times New Roman"/>
                <w:color w:val="000000"/>
              </w:rPr>
              <w:t>DDA Purchase/Cash Back</w:t>
            </w:r>
          </w:p>
        </w:tc>
        <w:tc>
          <w:tcPr>
            <w:tcW w:w="2182" w:type="dxa"/>
            <w:tcBorders>
              <w:top w:val="nil"/>
              <w:left w:val="nil"/>
              <w:bottom w:val="single" w:sz="8" w:space="0" w:color="auto"/>
              <w:right w:val="single" w:sz="8" w:space="0" w:color="auto"/>
            </w:tcBorders>
            <w:tcMar>
              <w:top w:w="0" w:type="dxa"/>
              <w:left w:w="30" w:type="dxa"/>
              <w:bottom w:w="0" w:type="dxa"/>
              <w:right w:w="30" w:type="dxa"/>
            </w:tcMar>
            <w:hideMark/>
          </w:tcPr>
          <w:p w14:paraId="78E7E447" w14:textId="77777777" w:rsidR="00626B8C" w:rsidRPr="00F31693" w:rsidRDefault="00626B8C" w:rsidP="00626B8C">
            <w:pPr>
              <w:autoSpaceDE w:val="0"/>
              <w:autoSpaceDN w:val="0"/>
              <w:spacing w:after="0" w:line="240" w:lineRule="auto"/>
              <w:rPr>
                <w:rFonts w:ascii="Calibri" w:hAnsi="Calibri" w:cs="Times New Roman"/>
                <w:color w:val="000000"/>
              </w:rPr>
            </w:pPr>
            <w:r w:rsidRPr="00F31693">
              <w:rPr>
                <w:rFonts w:ascii="Calibri" w:hAnsi="Calibri" w:cs="Times New Roman"/>
                <w:color w:val="000000"/>
              </w:rPr>
              <w:t>Total Debit Card Transaction Volume</w:t>
            </w:r>
          </w:p>
        </w:tc>
      </w:tr>
      <w:tr w:rsidR="00626B8C" w:rsidRPr="00F31693" w14:paraId="4FC196B0" w14:textId="77777777" w:rsidTr="00626B8C">
        <w:trPr>
          <w:trHeight w:val="290"/>
        </w:trPr>
        <w:tc>
          <w:tcPr>
            <w:tcW w:w="1291"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31AC2B75"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Jul-15</w:t>
            </w:r>
          </w:p>
        </w:tc>
        <w:tc>
          <w:tcPr>
            <w:tcW w:w="1291" w:type="dxa"/>
            <w:tcBorders>
              <w:top w:val="nil"/>
              <w:left w:val="nil"/>
              <w:bottom w:val="single" w:sz="8" w:space="0" w:color="auto"/>
              <w:right w:val="single" w:sz="8" w:space="0" w:color="auto"/>
            </w:tcBorders>
            <w:tcMar>
              <w:top w:w="0" w:type="dxa"/>
              <w:left w:w="30" w:type="dxa"/>
              <w:bottom w:w="0" w:type="dxa"/>
              <w:right w:w="30" w:type="dxa"/>
            </w:tcMar>
            <w:hideMark/>
          </w:tcPr>
          <w:p w14:paraId="350BF80E"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16,979</w:t>
            </w:r>
          </w:p>
        </w:tc>
        <w:tc>
          <w:tcPr>
            <w:tcW w:w="1203" w:type="dxa"/>
            <w:tcBorders>
              <w:top w:val="nil"/>
              <w:left w:val="nil"/>
              <w:bottom w:val="single" w:sz="8" w:space="0" w:color="auto"/>
              <w:right w:val="single" w:sz="8" w:space="0" w:color="auto"/>
            </w:tcBorders>
            <w:tcMar>
              <w:top w:w="0" w:type="dxa"/>
              <w:left w:w="30" w:type="dxa"/>
              <w:bottom w:w="0" w:type="dxa"/>
              <w:right w:w="30" w:type="dxa"/>
            </w:tcMar>
            <w:hideMark/>
          </w:tcPr>
          <w:p w14:paraId="2737EEAE"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32,540</w:t>
            </w:r>
          </w:p>
        </w:tc>
        <w:tc>
          <w:tcPr>
            <w:tcW w:w="1015" w:type="dxa"/>
            <w:tcBorders>
              <w:top w:val="nil"/>
              <w:left w:val="nil"/>
              <w:bottom w:val="single" w:sz="8" w:space="0" w:color="auto"/>
              <w:right w:val="single" w:sz="8" w:space="0" w:color="auto"/>
            </w:tcBorders>
            <w:tcMar>
              <w:top w:w="0" w:type="dxa"/>
              <w:left w:w="30" w:type="dxa"/>
              <w:bottom w:w="0" w:type="dxa"/>
              <w:right w:w="30" w:type="dxa"/>
            </w:tcMar>
            <w:hideMark/>
          </w:tcPr>
          <w:p w14:paraId="27CC4887"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10</w:t>
            </w:r>
          </w:p>
        </w:tc>
        <w:tc>
          <w:tcPr>
            <w:tcW w:w="1454" w:type="dxa"/>
            <w:tcBorders>
              <w:top w:val="nil"/>
              <w:left w:val="nil"/>
              <w:bottom w:val="single" w:sz="8" w:space="0" w:color="auto"/>
              <w:right w:val="single" w:sz="8" w:space="0" w:color="auto"/>
            </w:tcBorders>
            <w:tcMar>
              <w:top w:w="0" w:type="dxa"/>
              <w:left w:w="30" w:type="dxa"/>
              <w:bottom w:w="0" w:type="dxa"/>
              <w:right w:w="30" w:type="dxa"/>
            </w:tcMar>
            <w:hideMark/>
          </w:tcPr>
          <w:p w14:paraId="6307292D"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328</w:t>
            </w:r>
          </w:p>
        </w:tc>
        <w:tc>
          <w:tcPr>
            <w:tcW w:w="1541" w:type="dxa"/>
            <w:tcBorders>
              <w:top w:val="nil"/>
              <w:left w:val="nil"/>
              <w:bottom w:val="single" w:sz="8" w:space="0" w:color="auto"/>
              <w:right w:val="single" w:sz="8" w:space="0" w:color="auto"/>
            </w:tcBorders>
            <w:tcMar>
              <w:top w:w="0" w:type="dxa"/>
              <w:left w:w="30" w:type="dxa"/>
              <w:bottom w:w="0" w:type="dxa"/>
              <w:right w:w="30" w:type="dxa"/>
            </w:tcMar>
            <w:hideMark/>
          </w:tcPr>
          <w:p w14:paraId="24C37DCA"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1,970</w:t>
            </w:r>
          </w:p>
        </w:tc>
        <w:tc>
          <w:tcPr>
            <w:tcW w:w="2182" w:type="dxa"/>
            <w:tcBorders>
              <w:top w:val="nil"/>
              <w:left w:val="nil"/>
              <w:bottom w:val="single" w:sz="8" w:space="0" w:color="auto"/>
              <w:right w:val="single" w:sz="8" w:space="0" w:color="auto"/>
            </w:tcBorders>
            <w:tcMar>
              <w:top w:w="0" w:type="dxa"/>
              <w:left w:w="30" w:type="dxa"/>
              <w:bottom w:w="0" w:type="dxa"/>
              <w:right w:w="30" w:type="dxa"/>
            </w:tcMar>
            <w:hideMark/>
          </w:tcPr>
          <w:p w14:paraId="7ABD6B12"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51,827</w:t>
            </w:r>
          </w:p>
        </w:tc>
      </w:tr>
      <w:tr w:rsidR="00626B8C" w:rsidRPr="00F31693" w14:paraId="306948E7" w14:textId="77777777" w:rsidTr="00626B8C">
        <w:trPr>
          <w:trHeight w:val="290"/>
        </w:trPr>
        <w:tc>
          <w:tcPr>
            <w:tcW w:w="1291"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50BEAF3C"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Aug-15</w:t>
            </w:r>
          </w:p>
        </w:tc>
        <w:tc>
          <w:tcPr>
            <w:tcW w:w="1291" w:type="dxa"/>
            <w:tcBorders>
              <w:top w:val="nil"/>
              <w:left w:val="nil"/>
              <w:bottom w:val="single" w:sz="8" w:space="0" w:color="auto"/>
              <w:right w:val="single" w:sz="8" w:space="0" w:color="auto"/>
            </w:tcBorders>
            <w:tcMar>
              <w:top w:w="0" w:type="dxa"/>
              <w:left w:w="30" w:type="dxa"/>
              <w:bottom w:w="0" w:type="dxa"/>
              <w:right w:w="30" w:type="dxa"/>
            </w:tcMar>
            <w:hideMark/>
          </w:tcPr>
          <w:p w14:paraId="3E556DB5"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16,856</w:t>
            </w:r>
          </w:p>
        </w:tc>
        <w:tc>
          <w:tcPr>
            <w:tcW w:w="1203" w:type="dxa"/>
            <w:tcBorders>
              <w:top w:val="nil"/>
              <w:left w:val="nil"/>
              <w:bottom w:val="single" w:sz="8" w:space="0" w:color="auto"/>
              <w:right w:val="single" w:sz="8" w:space="0" w:color="auto"/>
            </w:tcBorders>
            <w:tcMar>
              <w:top w:w="0" w:type="dxa"/>
              <w:left w:w="30" w:type="dxa"/>
              <w:bottom w:w="0" w:type="dxa"/>
              <w:right w:w="30" w:type="dxa"/>
            </w:tcMar>
            <w:hideMark/>
          </w:tcPr>
          <w:p w14:paraId="6E5E9B95"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32,646</w:t>
            </w:r>
          </w:p>
        </w:tc>
        <w:tc>
          <w:tcPr>
            <w:tcW w:w="1015" w:type="dxa"/>
            <w:tcBorders>
              <w:top w:val="nil"/>
              <w:left w:val="nil"/>
              <w:bottom w:val="single" w:sz="8" w:space="0" w:color="auto"/>
              <w:right w:val="single" w:sz="8" w:space="0" w:color="auto"/>
            </w:tcBorders>
            <w:tcMar>
              <w:top w:w="0" w:type="dxa"/>
              <w:left w:w="30" w:type="dxa"/>
              <w:bottom w:w="0" w:type="dxa"/>
              <w:right w:w="30" w:type="dxa"/>
            </w:tcMar>
            <w:hideMark/>
          </w:tcPr>
          <w:p w14:paraId="3E83935F"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10</w:t>
            </w:r>
          </w:p>
        </w:tc>
        <w:tc>
          <w:tcPr>
            <w:tcW w:w="1454" w:type="dxa"/>
            <w:tcBorders>
              <w:top w:val="nil"/>
              <w:left w:val="nil"/>
              <w:bottom w:val="single" w:sz="8" w:space="0" w:color="auto"/>
              <w:right w:val="single" w:sz="8" w:space="0" w:color="auto"/>
            </w:tcBorders>
            <w:tcMar>
              <w:top w:w="0" w:type="dxa"/>
              <w:left w:w="30" w:type="dxa"/>
              <w:bottom w:w="0" w:type="dxa"/>
              <w:right w:w="30" w:type="dxa"/>
            </w:tcMar>
            <w:hideMark/>
          </w:tcPr>
          <w:p w14:paraId="58B9813F"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342</w:t>
            </w:r>
          </w:p>
        </w:tc>
        <w:tc>
          <w:tcPr>
            <w:tcW w:w="1541" w:type="dxa"/>
            <w:tcBorders>
              <w:top w:val="nil"/>
              <w:left w:val="nil"/>
              <w:bottom w:val="single" w:sz="8" w:space="0" w:color="auto"/>
              <w:right w:val="single" w:sz="8" w:space="0" w:color="auto"/>
            </w:tcBorders>
            <w:tcMar>
              <w:top w:w="0" w:type="dxa"/>
              <w:left w:w="30" w:type="dxa"/>
              <w:bottom w:w="0" w:type="dxa"/>
              <w:right w:w="30" w:type="dxa"/>
            </w:tcMar>
            <w:hideMark/>
          </w:tcPr>
          <w:p w14:paraId="5FA030A4"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1,909</w:t>
            </w:r>
          </w:p>
        </w:tc>
        <w:tc>
          <w:tcPr>
            <w:tcW w:w="2182" w:type="dxa"/>
            <w:tcBorders>
              <w:top w:val="nil"/>
              <w:left w:val="nil"/>
              <w:bottom w:val="single" w:sz="8" w:space="0" w:color="auto"/>
              <w:right w:val="single" w:sz="8" w:space="0" w:color="auto"/>
            </w:tcBorders>
            <w:tcMar>
              <w:top w:w="0" w:type="dxa"/>
              <w:left w:w="30" w:type="dxa"/>
              <w:bottom w:w="0" w:type="dxa"/>
              <w:right w:w="30" w:type="dxa"/>
            </w:tcMar>
            <w:hideMark/>
          </w:tcPr>
          <w:p w14:paraId="1F76ECDB"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51,763</w:t>
            </w:r>
          </w:p>
        </w:tc>
      </w:tr>
      <w:tr w:rsidR="00626B8C" w:rsidRPr="00F31693" w14:paraId="66F85B39" w14:textId="77777777" w:rsidTr="00626B8C">
        <w:trPr>
          <w:trHeight w:val="290"/>
        </w:trPr>
        <w:tc>
          <w:tcPr>
            <w:tcW w:w="1291"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521E9A5D"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Sep-15</w:t>
            </w:r>
          </w:p>
        </w:tc>
        <w:tc>
          <w:tcPr>
            <w:tcW w:w="1291" w:type="dxa"/>
            <w:tcBorders>
              <w:top w:val="nil"/>
              <w:left w:val="nil"/>
              <w:bottom w:val="single" w:sz="8" w:space="0" w:color="auto"/>
              <w:right w:val="single" w:sz="8" w:space="0" w:color="auto"/>
            </w:tcBorders>
            <w:tcMar>
              <w:top w:w="0" w:type="dxa"/>
              <w:left w:w="30" w:type="dxa"/>
              <w:bottom w:w="0" w:type="dxa"/>
              <w:right w:w="30" w:type="dxa"/>
            </w:tcMar>
            <w:hideMark/>
          </w:tcPr>
          <w:p w14:paraId="7B14B075"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16,332</w:t>
            </w:r>
          </w:p>
        </w:tc>
        <w:tc>
          <w:tcPr>
            <w:tcW w:w="1203" w:type="dxa"/>
            <w:tcBorders>
              <w:top w:val="nil"/>
              <w:left w:val="nil"/>
              <w:bottom w:val="single" w:sz="8" w:space="0" w:color="auto"/>
              <w:right w:val="single" w:sz="8" w:space="0" w:color="auto"/>
            </w:tcBorders>
            <w:tcMar>
              <w:top w:w="0" w:type="dxa"/>
              <w:left w:w="30" w:type="dxa"/>
              <w:bottom w:w="0" w:type="dxa"/>
              <w:right w:w="30" w:type="dxa"/>
            </w:tcMar>
            <w:hideMark/>
          </w:tcPr>
          <w:p w14:paraId="63C26E11"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30,690</w:t>
            </w:r>
          </w:p>
        </w:tc>
        <w:tc>
          <w:tcPr>
            <w:tcW w:w="1015" w:type="dxa"/>
            <w:tcBorders>
              <w:top w:val="nil"/>
              <w:left w:val="nil"/>
              <w:bottom w:val="single" w:sz="8" w:space="0" w:color="auto"/>
              <w:right w:val="single" w:sz="8" w:space="0" w:color="auto"/>
            </w:tcBorders>
            <w:tcMar>
              <w:top w:w="0" w:type="dxa"/>
              <w:left w:w="30" w:type="dxa"/>
              <w:bottom w:w="0" w:type="dxa"/>
              <w:right w:w="30" w:type="dxa"/>
            </w:tcMar>
            <w:hideMark/>
          </w:tcPr>
          <w:p w14:paraId="35055BDE"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6</w:t>
            </w:r>
          </w:p>
        </w:tc>
        <w:tc>
          <w:tcPr>
            <w:tcW w:w="1454" w:type="dxa"/>
            <w:tcBorders>
              <w:top w:val="nil"/>
              <w:left w:val="nil"/>
              <w:bottom w:val="single" w:sz="8" w:space="0" w:color="auto"/>
              <w:right w:val="single" w:sz="8" w:space="0" w:color="auto"/>
            </w:tcBorders>
            <w:tcMar>
              <w:top w:w="0" w:type="dxa"/>
              <w:left w:w="30" w:type="dxa"/>
              <w:bottom w:w="0" w:type="dxa"/>
              <w:right w:w="30" w:type="dxa"/>
            </w:tcMar>
            <w:hideMark/>
          </w:tcPr>
          <w:p w14:paraId="29A21763"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330</w:t>
            </w:r>
          </w:p>
        </w:tc>
        <w:tc>
          <w:tcPr>
            <w:tcW w:w="1541" w:type="dxa"/>
            <w:tcBorders>
              <w:top w:val="nil"/>
              <w:left w:val="nil"/>
              <w:bottom w:val="single" w:sz="8" w:space="0" w:color="auto"/>
              <w:right w:val="single" w:sz="8" w:space="0" w:color="auto"/>
            </w:tcBorders>
            <w:tcMar>
              <w:top w:w="0" w:type="dxa"/>
              <w:left w:w="30" w:type="dxa"/>
              <w:bottom w:w="0" w:type="dxa"/>
              <w:right w:w="30" w:type="dxa"/>
            </w:tcMar>
            <w:hideMark/>
          </w:tcPr>
          <w:p w14:paraId="4A67EC3C"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1,817</w:t>
            </w:r>
          </w:p>
        </w:tc>
        <w:tc>
          <w:tcPr>
            <w:tcW w:w="2182" w:type="dxa"/>
            <w:tcBorders>
              <w:top w:val="nil"/>
              <w:left w:val="nil"/>
              <w:bottom w:val="single" w:sz="8" w:space="0" w:color="auto"/>
              <w:right w:val="single" w:sz="8" w:space="0" w:color="auto"/>
            </w:tcBorders>
            <w:tcMar>
              <w:top w:w="0" w:type="dxa"/>
              <w:left w:w="30" w:type="dxa"/>
              <w:bottom w:w="0" w:type="dxa"/>
              <w:right w:w="30" w:type="dxa"/>
            </w:tcMar>
            <w:hideMark/>
          </w:tcPr>
          <w:p w14:paraId="0FDE8747"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49,175</w:t>
            </w:r>
          </w:p>
        </w:tc>
      </w:tr>
      <w:tr w:rsidR="00626B8C" w:rsidRPr="00F31693" w14:paraId="560B68D2" w14:textId="77777777" w:rsidTr="00626B8C">
        <w:trPr>
          <w:trHeight w:val="290"/>
        </w:trPr>
        <w:tc>
          <w:tcPr>
            <w:tcW w:w="1291"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60D08EE5"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Oct-15</w:t>
            </w:r>
          </w:p>
        </w:tc>
        <w:tc>
          <w:tcPr>
            <w:tcW w:w="1291" w:type="dxa"/>
            <w:tcBorders>
              <w:top w:val="nil"/>
              <w:left w:val="nil"/>
              <w:bottom w:val="single" w:sz="8" w:space="0" w:color="auto"/>
              <w:right w:val="single" w:sz="8" w:space="0" w:color="auto"/>
            </w:tcBorders>
            <w:tcMar>
              <w:top w:w="0" w:type="dxa"/>
              <w:left w:w="30" w:type="dxa"/>
              <w:bottom w:w="0" w:type="dxa"/>
              <w:right w:w="30" w:type="dxa"/>
            </w:tcMar>
            <w:hideMark/>
          </w:tcPr>
          <w:p w14:paraId="3C06C454"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17,451</w:t>
            </w:r>
          </w:p>
        </w:tc>
        <w:tc>
          <w:tcPr>
            <w:tcW w:w="1203" w:type="dxa"/>
            <w:tcBorders>
              <w:top w:val="nil"/>
              <w:left w:val="nil"/>
              <w:bottom w:val="single" w:sz="8" w:space="0" w:color="auto"/>
              <w:right w:val="single" w:sz="8" w:space="0" w:color="auto"/>
            </w:tcBorders>
            <w:tcMar>
              <w:top w:w="0" w:type="dxa"/>
              <w:left w:w="30" w:type="dxa"/>
              <w:bottom w:w="0" w:type="dxa"/>
              <w:right w:w="30" w:type="dxa"/>
            </w:tcMar>
            <w:hideMark/>
          </w:tcPr>
          <w:p w14:paraId="6AA69BE3"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31,740</w:t>
            </w:r>
          </w:p>
        </w:tc>
        <w:tc>
          <w:tcPr>
            <w:tcW w:w="1015" w:type="dxa"/>
            <w:tcBorders>
              <w:top w:val="nil"/>
              <w:left w:val="nil"/>
              <w:bottom w:val="single" w:sz="8" w:space="0" w:color="auto"/>
              <w:right w:val="single" w:sz="8" w:space="0" w:color="auto"/>
            </w:tcBorders>
            <w:tcMar>
              <w:top w:w="0" w:type="dxa"/>
              <w:left w:w="30" w:type="dxa"/>
              <w:bottom w:w="0" w:type="dxa"/>
              <w:right w:w="30" w:type="dxa"/>
            </w:tcMar>
            <w:hideMark/>
          </w:tcPr>
          <w:p w14:paraId="14B73759"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10</w:t>
            </w:r>
          </w:p>
        </w:tc>
        <w:tc>
          <w:tcPr>
            <w:tcW w:w="1454" w:type="dxa"/>
            <w:tcBorders>
              <w:top w:val="nil"/>
              <w:left w:val="nil"/>
              <w:bottom w:val="single" w:sz="8" w:space="0" w:color="auto"/>
              <w:right w:val="single" w:sz="8" w:space="0" w:color="auto"/>
            </w:tcBorders>
            <w:tcMar>
              <w:top w:w="0" w:type="dxa"/>
              <w:left w:w="30" w:type="dxa"/>
              <w:bottom w:w="0" w:type="dxa"/>
              <w:right w:w="30" w:type="dxa"/>
            </w:tcMar>
            <w:hideMark/>
          </w:tcPr>
          <w:p w14:paraId="53D309AD"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327</w:t>
            </w:r>
          </w:p>
        </w:tc>
        <w:tc>
          <w:tcPr>
            <w:tcW w:w="1541" w:type="dxa"/>
            <w:tcBorders>
              <w:top w:val="nil"/>
              <w:left w:val="nil"/>
              <w:bottom w:val="single" w:sz="8" w:space="0" w:color="auto"/>
              <w:right w:val="single" w:sz="8" w:space="0" w:color="auto"/>
            </w:tcBorders>
            <w:tcMar>
              <w:top w:w="0" w:type="dxa"/>
              <w:left w:w="30" w:type="dxa"/>
              <w:bottom w:w="0" w:type="dxa"/>
              <w:right w:w="30" w:type="dxa"/>
            </w:tcMar>
            <w:hideMark/>
          </w:tcPr>
          <w:p w14:paraId="62272277"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1,995</w:t>
            </w:r>
          </w:p>
        </w:tc>
        <w:tc>
          <w:tcPr>
            <w:tcW w:w="2182" w:type="dxa"/>
            <w:tcBorders>
              <w:top w:val="nil"/>
              <w:left w:val="nil"/>
              <w:bottom w:val="single" w:sz="8" w:space="0" w:color="auto"/>
              <w:right w:val="single" w:sz="8" w:space="0" w:color="auto"/>
            </w:tcBorders>
            <w:tcMar>
              <w:top w:w="0" w:type="dxa"/>
              <w:left w:w="30" w:type="dxa"/>
              <w:bottom w:w="0" w:type="dxa"/>
              <w:right w:w="30" w:type="dxa"/>
            </w:tcMar>
            <w:hideMark/>
          </w:tcPr>
          <w:p w14:paraId="1262094C"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51,523</w:t>
            </w:r>
          </w:p>
        </w:tc>
      </w:tr>
      <w:tr w:rsidR="00626B8C" w:rsidRPr="00F31693" w14:paraId="28F03E38" w14:textId="77777777" w:rsidTr="00626B8C">
        <w:trPr>
          <w:trHeight w:val="290"/>
        </w:trPr>
        <w:tc>
          <w:tcPr>
            <w:tcW w:w="1291"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0EC133AF"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Nov-15</w:t>
            </w:r>
          </w:p>
        </w:tc>
        <w:tc>
          <w:tcPr>
            <w:tcW w:w="1291" w:type="dxa"/>
            <w:tcBorders>
              <w:top w:val="nil"/>
              <w:left w:val="nil"/>
              <w:bottom w:val="single" w:sz="8" w:space="0" w:color="auto"/>
              <w:right w:val="single" w:sz="8" w:space="0" w:color="auto"/>
            </w:tcBorders>
            <w:tcMar>
              <w:top w:w="0" w:type="dxa"/>
              <w:left w:w="30" w:type="dxa"/>
              <w:bottom w:w="0" w:type="dxa"/>
              <w:right w:w="30" w:type="dxa"/>
            </w:tcMar>
            <w:hideMark/>
          </w:tcPr>
          <w:p w14:paraId="24E86990"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17,560</w:t>
            </w:r>
          </w:p>
        </w:tc>
        <w:tc>
          <w:tcPr>
            <w:tcW w:w="1203" w:type="dxa"/>
            <w:tcBorders>
              <w:top w:val="nil"/>
              <w:left w:val="nil"/>
              <w:bottom w:val="single" w:sz="8" w:space="0" w:color="auto"/>
              <w:right w:val="single" w:sz="8" w:space="0" w:color="auto"/>
            </w:tcBorders>
            <w:tcMar>
              <w:top w:w="0" w:type="dxa"/>
              <w:left w:w="30" w:type="dxa"/>
              <w:bottom w:w="0" w:type="dxa"/>
              <w:right w:w="30" w:type="dxa"/>
            </w:tcMar>
            <w:hideMark/>
          </w:tcPr>
          <w:p w14:paraId="03267A81"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30,857</w:t>
            </w:r>
          </w:p>
        </w:tc>
        <w:tc>
          <w:tcPr>
            <w:tcW w:w="1015" w:type="dxa"/>
            <w:tcBorders>
              <w:top w:val="nil"/>
              <w:left w:val="nil"/>
              <w:bottom w:val="single" w:sz="8" w:space="0" w:color="auto"/>
              <w:right w:val="single" w:sz="8" w:space="0" w:color="auto"/>
            </w:tcBorders>
            <w:tcMar>
              <w:top w:w="0" w:type="dxa"/>
              <w:left w:w="30" w:type="dxa"/>
              <w:bottom w:w="0" w:type="dxa"/>
              <w:right w:w="30" w:type="dxa"/>
            </w:tcMar>
            <w:hideMark/>
          </w:tcPr>
          <w:p w14:paraId="76365B63"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6</w:t>
            </w:r>
          </w:p>
        </w:tc>
        <w:tc>
          <w:tcPr>
            <w:tcW w:w="1454" w:type="dxa"/>
            <w:tcBorders>
              <w:top w:val="nil"/>
              <w:left w:val="nil"/>
              <w:bottom w:val="single" w:sz="8" w:space="0" w:color="auto"/>
              <w:right w:val="single" w:sz="8" w:space="0" w:color="auto"/>
            </w:tcBorders>
            <w:tcMar>
              <w:top w:w="0" w:type="dxa"/>
              <w:left w:w="30" w:type="dxa"/>
              <w:bottom w:w="0" w:type="dxa"/>
              <w:right w:w="30" w:type="dxa"/>
            </w:tcMar>
            <w:hideMark/>
          </w:tcPr>
          <w:p w14:paraId="1E5CCB79"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357</w:t>
            </w:r>
          </w:p>
        </w:tc>
        <w:tc>
          <w:tcPr>
            <w:tcW w:w="1541" w:type="dxa"/>
            <w:tcBorders>
              <w:top w:val="nil"/>
              <w:left w:val="nil"/>
              <w:bottom w:val="single" w:sz="8" w:space="0" w:color="auto"/>
              <w:right w:val="single" w:sz="8" w:space="0" w:color="auto"/>
            </w:tcBorders>
            <w:tcMar>
              <w:top w:w="0" w:type="dxa"/>
              <w:left w:w="30" w:type="dxa"/>
              <w:bottom w:w="0" w:type="dxa"/>
              <w:right w:w="30" w:type="dxa"/>
            </w:tcMar>
            <w:hideMark/>
          </w:tcPr>
          <w:p w14:paraId="68F697BA"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1,851</w:t>
            </w:r>
          </w:p>
        </w:tc>
        <w:tc>
          <w:tcPr>
            <w:tcW w:w="2182" w:type="dxa"/>
            <w:tcBorders>
              <w:top w:val="nil"/>
              <w:left w:val="nil"/>
              <w:bottom w:val="single" w:sz="8" w:space="0" w:color="auto"/>
              <w:right w:val="single" w:sz="8" w:space="0" w:color="auto"/>
            </w:tcBorders>
            <w:tcMar>
              <w:top w:w="0" w:type="dxa"/>
              <w:left w:w="30" w:type="dxa"/>
              <w:bottom w:w="0" w:type="dxa"/>
              <w:right w:w="30" w:type="dxa"/>
            </w:tcMar>
            <w:hideMark/>
          </w:tcPr>
          <w:p w14:paraId="5727B24E"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50,631</w:t>
            </w:r>
          </w:p>
        </w:tc>
      </w:tr>
      <w:tr w:rsidR="00626B8C" w:rsidRPr="00F31693" w14:paraId="3069B582" w14:textId="77777777" w:rsidTr="00626B8C">
        <w:trPr>
          <w:trHeight w:val="290"/>
        </w:trPr>
        <w:tc>
          <w:tcPr>
            <w:tcW w:w="1291"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238FA2B1"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Dec-15</w:t>
            </w:r>
          </w:p>
        </w:tc>
        <w:tc>
          <w:tcPr>
            <w:tcW w:w="1291" w:type="dxa"/>
            <w:tcBorders>
              <w:top w:val="nil"/>
              <w:left w:val="nil"/>
              <w:bottom w:val="single" w:sz="8" w:space="0" w:color="auto"/>
              <w:right w:val="single" w:sz="8" w:space="0" w:color="auto"/>
            </w:tcBorders>
            <w:tcMar>
              <w:top w:w="0" w:type="dxa"/>
              <w:left w:w="30" w:type="dxa"/>
              <w:bottom w:w="0" w:type="dxa"/>
              <w:right w:w="30" w:type="dxa"/>
            </w:tcMar>
            <w:hideMark/>
          </w:tcPr>
          <w:p w14:paraId="58612A8E"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20,083</w:t>
            </w:r>
          </w:p>
        </w:tc>
        <w:tc>
          <w:tcPr>
            <w:tcW w:w="1203" w:type="dxa"/>
            <w:tcBorders>
              <w:top w:val="nil"/>
              <w:left w:val="nil"/>
              <w:bottom w:val="single" w:sz="8" w:space="0" w:color="auto"/>
              <w:right w:val="single" w:sz="8" w:space="0" w:color="auto"/>
            </w:tcBorders>
            <w:tcMar>
              <w:top w:w="0" w:type="dxa"/>
              <w:left w:w="30" w:type="dxa"/>
              <w:bottom w:w="0" w:type="dxa"/>
              <w:right w:w="30" w:type="dxa"/>
            </w:tcMar>
            <w:hideMark/>
          </w:tcPr>
          <w:p w14:paraId="22AA63A7"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33,790</w:t>
            </w:r>
          </w:p>
        </w:tc>
        <w:tc>
          <w:tcPr>
            <w:tcW w:w="1015" w:type="dxa"/>
            <w:tcBorders>
              <w:top w:val="nil"/>
              <w:left w:val="nil"/>
              <w:bottom w:val="single" w:sz="8" w:space="0" w:color="auto"/>
              <w:right w:val="single" w:sz="8" w:space="0" w:color="auto"/>
            </w:tcBorders>
            <w:tcMar>
              <w:top w:w="0" w:type="dxa"/>
              <w:left w:w="30" w:type="dxa"/>
              <w:bottom w:w="0" w:type="dxa"/>
              <w:right w:w="30" w:type="dxa"/>
            </w:tcMar>
            <w:hideMark/>
          </w:tcPr>
          <w:p w14:paraId="7DBDBDE1"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6</w:t>
            </w:r>
          </w:p>
        </w:tc>
        <w:tc>
          <w:tcPr>
            <w:tcW w:w="1454" w:type="dxa"/>
            <w:tcBorders>
              <w:top w:val="nil"/>
              <w:left w:val="nil"/>
              <w:bottom w:val="single" w:sz="8" w:space="0" w:color="auto"/>
              <w:right w:val="single" w:sz="8" w:space="0" w:color="auto"/>
            </w:tcBorders>
            <w:tcMar>
              <w:top w:w="0" w:type="dxa"/>
              <w:left w:w="30" w:type="dxa"/>
              <w:bottom w:w="0" w:type="dxa"/>
              <w:right w:w="30" w:type="dxa"/>
            </w:tcMar>
            <w:hideMark/>
          </w:tcPr>
          <w:p w14:paraId="732A5420"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406</w:t>
            </w:r>
          </w:p>
        </w:tc>
        <w:tc>
          <w:tcPr>
            <w:tcW w:w="1541" w:type="dxa"/>
            <w:tcBorders>
              <w:top w:val="nil"/>
              <w:left w:val="nil"/>
              <w:bottom w:val="single" w:sz="8" w:space="0" w:color="auto"/>
              <w:right w:val="single" w:sz="8" w:space="0" w:color="auto"/>
            </w:tcBorders>
            <w:tcMar>
              <w:top w:w="0" w:type="dxa"/>
              <w:left w:w="30" w:type="dxa"/>
              <w:bottom w:w="0" w:type="dxa"/>
              <w:right w:w="30" w:type="dxa"/>
            </w:tcMar>
            <w:hideMark/>
          </w:tcPr>
          <w:p w14:paraId="39EA4557"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1,785</w:t>
            </w:r>
          </w:p>
        </w:tc>
        <w:tc>
          <w:tcPr>
            <w:tcW w:w="2182" w:type="dxa"/>
            <w:tcBorders>
              <w:top w:val="nil"/>
              <w:left w:val="nil"/>
              <w:bottom w:val="single" w:sz="8" w:space="0" w:color="auto"/>
              <w:right w:val="single" w:sz="8" w:space="0" w:color="auto"/>
            </w:tcBorders>
            <w:tcMar>
              <w:top w:w="0" w:type="dxa"/>
              <w:left w:w="30" w:type="dxa"/>
              <w:bottom w:w="0" w:type="dxa"/>
              <w:right w:w="30" w:type="dxa"/>
            </w:tcMar>
            <w:hideMark/>
          </w:tcPr>
          <w:p w14:paraId="6B72DBDE"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56,070</w:t>
            </w:r>
          </w:p>
        </w:tc>
      </w:tr>
      <w:tr w:rsidR="00626B8C" w:rsidRPr="00F31693" w14:paraId="434ABE40" w14:textId="77777777" w:rsidTr="00626B8C">
        <w:trPr>
          <w:trHeight w:val="290"/>
        </w:trPr>
        <w:tc>
          <w:tcPr>
            <w:tcW w:w="1291"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6264F864"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Jan-16</w:t>
            </w:r>
          </w:p>
        </w:tc>
        <w:tc>
          <w:tcPr>
            <w:tcW w:w="1291" w:type="dxa"/>
            <w:tcBorders>
              <w:top w:val="nil"/>
              <w:left w:val="nil"/>
              <w:bottom w:val="single" w:sz="8" w:space="0" w:color="auto"/>
              <w:right w:val="single" w:sz="8" w:space="0" w:color="auto"/>
            </w:tcBorders>
            <w:tcMar>
              <w:top w:w="0" w:type="dxa"/>
              <w:left w:w="30" w:type="dxa"/>
              <w:bottom w:w="0" w:type="dxa"/>
              <w:right w:w="30" w:type="dxa"/>
            </w:tcMar>
            <w:hideMark/>
          </w:tcPr>
          <w:p w14:paraId="569A0F0F"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15,930</w:t>
            </w:r>
          </w:p>
        </w:tc>
        <w:tc>
          <w:tcPr>
            <w:tcW w:w="1203" w:type="dxa"/>
            <w:tcBorders>
              <w:top w:val="nil"/>
              <w:left w:val="nil"/>
              <w:bottom w:val="single" w:sz="8" w:space="0" w:color="auto"/>
              <w:right w:val="single" w:sz="8" w:space="0" w:color="auto"/>
            </w:tcBorders>
            <w:tcMar>
              <w:top w:w="0" w:type="dxa"/>
              <w:left w:w="30" w:type="dxa"/>
              <w:bottom w:w="0" w:type="dxa"/>
              <w:right w:w="30" w:type="dxa"/>
            </w:tcMar>
            <w:hideMark/>
          </w:tcPr>
          <w:p w14:paraId="6F40A084"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28,574</w:t>
            </w:r>
          </w:p>
        </w:tc>
        <w:tc>
          <w:tcPr>
            <w:tcW w:w="1015" w:type="dxa"/>
            <w:tcBorders>
              <w:top w:val="nil"/>
              <w:left w:val="nil"/>
              <w:bottom w:val="single" w:sz="8" w:space="0" w:color="auto"/>
              <w:right w:val="single" w:sz="8" w:space="0" w:color="auto"/>
            </w:tcBorders>
            <w:tcMar>
              <w:top w:w="0" w:type="dxa"/>
              <w:left w:w="30" w:type="dxa"/>
              <w:bottom w:w="0" w:type="dxa"/>
              <w:right w:w="30" w:type="dxa"/>
            </w:tcMar>
            <w:hideMark/>
          </w:tcPr>
          <w:p w14:paraId="1D5AE1A4"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2</w:t>
            </w:r>
          </w:p>
        </w:tc>
        <w:tc>
          <w:tcPr>
            <w:tcW w:w="1454" w:type="dxa"/>
            <w:tcBorders>
              <w:top w:val="nil"/>
              <w:left w:val="nil"/>
              <w:bottom w:val="single" w:sz="8" w:space="0" w:color="auto"/>
              <w:right w:val="single" w:sz="8" w:space="0" w:color="auto"/>
            </w:tcBorders>
            <w:tcMar>
              <w:top w:w="0" w:type="dxa"/>
              <w:left w:w="30" w:type="dxa"/>
              <w:bottom w:w="0" w:type="dxa"/>
              <w:right w:w="30" w:type="dxa"/>
            </w:tcMar>
            <w:hideMark/>
          </w:tcPr>
          <w:p w14:paraId="428F0374"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350</w:t>
            </w:r>
          </w:p>
        </w:tc>
        <w:tc>
          <w:tcPr>
            <w:tcW w:w="1541" w:type="dxa"/>
            <w:tcBorders>
              <w:top w:val="nil"/>
              <w:left w:val="nil"/>
              <w:bottom w:val="single" w:sz="8" w:space="0" w:color="auto"/>
              <w:right w:val="single" w:sz="8" w:space="0" w:color="auto"/>
            </w:tcBorders>
            <w:tcMar>
              <w:top w:w="0" w:type="dxa"/>
              <w:left w:w="30" w:type="dxa"/>
              <w:bottom w:w="0" w:type="dxa"/>
              <w:right w:w="30" w:type="dxa"/>
            </w:tcMar>
            <w:hideMark/>
          </w:tcPr>
          <w:p w14:paraId="03845FCC"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1,839</w:t>
            </w:r>
          </w:p>
        </w:tc>
        <w:tc>
          <w:tcPr>
            <w:tcW w:w="2182" w:type="dxa"/>
            <w:tcBorders>
              <w:top w:val="nil"/>
              <w:left w:val="nil"/>
              <w:bottom w:val="single" w:sz="8" w:space="0" w:color="auto"/>
              <w:right w:val="single" w:sz="8" w:space="0" w:color="auto"/>
            </w:tcBorders>
            <w:tcMar>
              <w:top w:w="0" w:type="dxa"/>
              <w:left w:w="30" w:type="dxa"/>
              <w:bottom w:w="0" w:type="dxa"/>
              <w:right w:w="30" w:type="dxa"/>
            </w:tcMar>
            <w:hideMark/>
          </w:tcPr>
          <w:p w14:paraId="085BC2BF"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46,695</w:t>
            </w:r>
          </w:p>
        </w:tc>
      </w:tr>
      <w:tr w:rsidR="00626B8C" w:rsidRPr="00F31693" w14:paraId="4A0208D6" w14:textId="77777777" w:rsidTr="00626B8C">
        <w:trPr>
          <w:trHeight w:val="290"/>
        </w:trPr>
        <w:tc>
          <w:tcPr>
            <w:tcW w:w="1291"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2571852D"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Feb-16</w:t>
            </w:r>
          </w:p>
        </w:tc>
        <w:tc>
          <w:tcPr>
            <w:tcW w:w="1291" w:type="dxa"/>
            <w:tcBorders>
              <w:top w:val="nil"/>
              <w:left w:val="nil"/>
              <w:bottom w:val="single" w:sz="8" w:space="0" w:color="auto"/>
              <w:right w:val="single" w:sz="8" w:space="0" w:color="auto"/>
            </w:tcBorders>
            <w:tcMar>
              <w:top w:w="0" w:type="dxa"/>
              <w:left w:w="30" w:type="dxa"/>
              <w:bottom w:w="0" w:type="dxa"/>
              <w:right w:w="30" w:type="dxa"/>
            </w:tcMar>
            <w:hideMark/>
          </w:tcPr>
          <w:p w14:paraId="0F0EE6B8"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15,933</w:t>
            </w:r>
          </w:p>
        </w:tc>
        <w:tc>
          <w:tcPr>
            <w:tcW w:w="1203" w:type="dxa"/>
            <w:tcBorders>
              <w:top w:val="nil"/>
              <w:left w:val="nil"/>
              <w:bottom w:val="single" w:sz="8" w:space="0" w:color="auto"/>
              <w:right w:val="single" w:sz="8" w:space="0" w:color="auto"/>
            </w:tcBorders>
            <w:tcMar>
              <w:top w:w="0" w:type="dxa"/>
              <w:left w:w="30" w:type="dxa"/>
              <w:bottom w:w="0" w:type="dxa"/>
              <w:right w:w="30" w:type="dxa"/>
            </w:tcMar>
            <w:hideMark/>
          </w:tcPr>
          <w:p w14:paraId="49B5CC60"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32,130</w:t>
            </w:r>
          </w:p>
        </w:tc>
        <w:tc>
          <w:tcPr>
            <w:tcW w:w="1015" w:type="dxa"/>
            <w:tcBorders>
              <w:top w:val="nil"/>
              <w:left w:val="nil"/>
              <w:bottom w:val="single" w:sz="8" w:space="0" w:color="auto"/>
              <w:right w:val="single" w:sz="8" w:space="0" w:color="auto"/>
            </w:tcBorders>
            <w:tcMar>
              <w:top w:w="0" w:type="dxa"/>
              <w:left w:w="30" w:type="dxa"/>
              <w:bottom w:w="0" w:type="dxa"/>
              <w:right w:w="30" w:type="dxa"/>
            </w:tcMar>
            <w:hideMark/>
          </w:tcPr>
          <w:p w14:paraId="5E6E6D2B"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6</w:t>
            </w:r>
          </w:p>
        </w:tc>
        <w:tc>
          <w:tcPr>
            <w:tcW w:w="1454" w:type="dxa"/>
            <w:tcBorders>
              <w:top w:val="nil"/>
              <w:left w:val="nil"/>
              <w:bottom w:val="single" w:sz="8" w:space="0" w:color="auto"/>
              <w:right w:val="single" w:sz="8" w:space="0" w:color="auto"/>
            </w:tcBorders>
            <w:tcMar>
              <w:top w:w="0" w:type="dxa"/>
              <w:left w:w="30" w:type="dxa"/>
              <w:bottom w:w="0" w:type="dxa"/>
              <w:right w:w="30" w:type="dxa"/>
            </w:tcMar>
            <w:hideMark/>
          </w:tcPr>
          <w:p w14:paraId="4D5EF2D9"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325</w:t>
            </w:r>
          </w:p>
        </w:tc>
        <w:tc>
          <w:tcPr>
            <w:tcW w:w="1541" w:type="dxa"/>
            <w:tcBorders>
              <w:top w:val="nil"/>
              <w:left w:val="nil"/>
              <w:bottom w:val="single" w:sz="8" w:space="0" w:color="auto"/>
              <w:right w:val="single" w:sz="8" w:space="0" w:color="auto"/>
            </w:tcBorders>
            <w:tcMar>
              <w:top w:w="0" w:type="dxa"/>
              <w:left w:w="30" w:type="dxa"/>
              <w:bottom w:w="0" w:type="dxa"/>
              <w:right w:w="30" w:type="dxa"/>
            </w:tcMar>
            <w:hideMark/>
          </w:tcPr>
          <w:p w14:paraId="4E973BB5"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1,697</w:t>
            </w:r>
          </w:p>
        </w:tc>
        <w:tc>
          <w:tcPr>
            <w:tcW w:w="2182" w:type="dxa"/>
            <w:tcBorders>
              <w:top w:val="nil"/>
              <w:left w:val="nil"/>
              <w:bottom w:val="single" w:sz="8" w:space="0" w:color="auto"/>
              <w:right w:val="single" w:sz="8" w:space="0" w:color="auto"/>
            </w:tcBorders>
            <w:tcMar>
              <w:top w:w="0" w:type="dxa"/>
              <w:left w:w="30" w:type="dxa"/>
              <w:bottom w:w="0" w:type="dxa"/>
              <w:right w:w="30" w:type="dxa"/>
            </w:tcMar>
            <w:hideMark/>
          </w:tcPr>
          <w:p w14:paraId="1ADA7688"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50,091</w:t>
            </w:r>
          </w:p>
        </w:tc>
      </w:tr>
      <w:tr w:rsidR="00626B8C" w:rsidRPr="00F31693" w14:paraId="4F183752" w14:textId="77777777" w:rsidTr="00626B8C">
        <w:trPr>
          <w:trHeight w:val="290"/>
        </w:trPr>
        <w:tc>
          <w:tcPr>
            <w:tcW w:w="1291"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4B19D3E1"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Mar-16</w:t>
            </w:r>
          </w:p>
        </w:tc>
        <w:tc>
          <w:tcPr>
            <w:tcW w:w="1291" w:type="dxa"/>
            <w:tcBorders>
              <w:top w:val="nil"/>
              <w:left w:val="nil"/>
              <w:bottom w:val="single" w:sz="8" w:space="0" w:color="auto"/>
              <w:right w:val="single" w:sz="8" w:space="0" w:color="auto"/>
            </w:tcBorders>
            <w:tcMar>
              <w:top w:w="0" w:type="dxa"/>
              <w:left w:w="30" w:type="dxa"/>
              <w:bottom w:w="0" w:type="dxa"/>
              <w:right w:w="30" w:type="dxa"/>
            </w:tcMar>
            <w:hideMark/>
          </w:tcPr>
          <w:p w14:paraId="38E24C49"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18,231</w:t>
            </w:r>
          </w:p>
        </w:tc>
        <w:tc>
          <w:tcPr>
            <w:tcW w:w="1203" w:type="dxa"/>
            <w:tcBorders>
              <w:top w:val="nil"/>
              <w:left w:val="nil"/>
              <w:bottom w:val="single" w:sz="8" w:space="0" w:color="auto"/>
              <w:right w:val="single" w:sz="8" w:space="0" w:color="auto"/>
            </w:tcBorders>
            <w:tcMar>
              <w:top w:w="0" w:type="dxa"/>
              <w:left w:w="30" w:type="dxa"/>
              <w:bottom w:w="0" w:type="dxa"/>
              <w:right w:w="30" w:type="dxa"/>
            </w:tcMar>
            <w:hideMark/>
          </w:tcPr>
          <w:p w14:paraId="5C95556C"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34,987</w:t>
            </w:r>
          </w:p>
        </w:tc>
        <w:tc>
          <w:tcPr>
            <w:tcW w:w="1015" w:type="dxa"/>
            <w:tcBorders>
              <w:top w:val="nil"/>
              <w:left w:val="nil"/>
              <w:bottom w:val="single" w:sz="8" w:space="0" w:color="auto"/>
              <w:right w:val="single" w:sz="8" w:space="0" w:color="auto"/>
            </w:tcBorders>
            <w:tcMar>
              <w:top w:w="0" w:type="dxa"/>
              <w:left w:w="30" w:type="dxa"/>
              <w:bottom w:w="0" w:type="dxa"/>
              <w:right w:w="30" w:type="dxa"/>
            </w:tcMar>
            <w:hideMark/>
          </w:tcPr>
          <w:p w14:paraId="67FB0652"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2</w:t>
            </w:r>
          </w:p>
        </w:tc>
        <w:tc>
          <w:tcPr>
            <w:tcW w:w="1454" w:type="dxa"/>
            <w:tcBorders>
              <w:top w:val="nil"/>
              <w:left w:val="nil"/>
              <w:bottom w:val="single" w:sz="8" w:space="0" w:color="auto"/>
              <w:right w:val="single" w:sz="8" w:space="0" w:color="auto"/>
            </w:tcBorders>
            <w:tcMar>
              <w:top w:w="0" w:type="dxa"/>
              <w:left w:w="30" w:type="dxa"/>
              <w:bottom w:w="0" w:type="dxa"/>
              <w:right w:w="30" w:type="dxa"/>
            </w:tcMar>
            <w:hideMark/>
          </w:tcPr>
          <w:p w14:paraId="242E5BD2"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318</w:t>
            </w:r>
          </w:p>
        </w:tc>
        <w:tc>
          <w:tcPr>
            <w:tcW w:w="1541" w:type="dxa"/>
            <w:tcBorders>
              <w:top w:val="nil"/>
              <w:left w:val="nil"/>
              <w:bottom w:val="single" w:sz="8" w:space="0" w:color="auto"/>
              <w:right w:val="single" w:sz="8" w:space="0" w:color="auto"/>
            </w:tcBorders>
            <w:tcMar>
              <w:top w:w="0" w:type="dxa"/>
              <w:left w:w="30" w:type="dxa"/>
              <w:bottom w:w="0" w:type="dxa"/>
              <w:right w:w="30" w:type="dxa"/>
            </w:tcMar>
            <w:hideMark/>
          </w:tcPr>
          <w:p w14:paraId="21854D93"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1,934</w:t>
            </w:r>
          </w:p>
        </w:tc>
        <w:tc>
          <w:tcPr>
            <w:tcW w:w="2182" w:type="dxa"/>
            <w:tcBorders>
              <w:top w:val="nil"/>
              <w:left w:val="nil"/>
              <w:bottom w:val="single" w:sz="8" w:space="0" w:color="auto"/>
              <w:right w:val="single" w:sz="8" w:space="0" w:color="auto"/>
            </w:tcBorders>
            <w:tcMar>
              <w:top w:w="0" w:type="dxa"/>
              <w:left w:w="30" w:type="dxa"/>
              <w:bottom w:w="0" w:type="dxa"/>
              <w:right w:w="30" w:type="dxa"/>
            </w:tcMar>
            <w:hideMark/>
          </w:tcPr>
          <w:p w14:paraId="11FDC26B"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55,472</w:t>
            </w:r>
          </w:p>
        </w:tc>
      </w:tr>
      <w:tr w:rsidR="00626B8C" w:rsidRPr="00F31693" w14:paraId="1A339BBC" w14:textId="77777777" w:rsidTr="00626B8C">
        <w:trPr>
          <w:trHeight w:val="290"/>
        </w:trPr>
        <w:tc>
          <w:tcPr>
            <w:tcW w:w="1291"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6F0F2452"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Apr-16</w:t>
            </w:r>
          </w:p>
        </w:tc>
        <w:tc>
          <w:tcPr>
            <w:tcW w:w="1291" w:type="dxa"/>
            <w:tcBorders>
              <w:top w:val="nil"/>
              <w:left w:val="nil"/>
              <w:bottom w:val="single" w:sz="8" w:space="0" w:color="auto"/>
              <w:right w:val="single" w:sz="8" w:space="0" w:color="auto"/>
            </w:tcBorders>
            <w:tcMar>
              <w:top w:w="0" w:type="dxa"/>
              <w:left w:w="30" w:type="dxa"/>
              <w:bottom w:w="0" w:type="dxa"/>
              <w:right w:w="30" w:type="dxa"/>
            </w:tcMar>
            <w:hideMark/>
          </w:tcPr>
          <w:p w14:paraId="32F14E55"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17,696</w:t>
            </w:r>
          </w:p>
        </w:tc>
        <w:tc>
          <w:tcPr>
            <w:tcW w:w="1203" w:type="dxa"/>
            <w:tcBorders>
              <w:top w:val="nil"/>
              <w:left w:val="nil"/>
              <w:bottom w:val="single" w:sz="8" w:space="0" w:color="auto"/>
              <w:right w:val="single" w:sz="8" w:space="0" w:color="auto"/>
            </w:tcBorders>
            <w:tcMar>
              <w:top w:w="0" w:type="dxa"/>
              <w:left w:w="30" w:type="dxa"/>
              <w:bottom w:w="0" w:type="dxa"/>
              <w:right w:w="30" w:type="dxa"/>
            </w:tcMar>
            <w:hideMark/>
          </w:tcPr>
          <w:p w14:paraId="6E56E61F"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34,752</w:t>
            </w:r>
          </w:p>
        </w:tc>
        <w:tc>
          <w:tcPr>
            <w:tcW w:w="1015" w:type="dxa"/>
            <w:tcBorders>
              <w:top w:val="nil"/>
              <w:left w:val="nil"/>
              <w:bottom w:val="single" w:sz="8" w:space="0" w:color="auto"/>
              <w:right w:val="single" w:sz="8" w:space="0" w:color="auto"/>
            </w:tcBorders>
            <w:tcMar>
              <w:top w:w="0" w:type="dxa"/>
              <w:left w:w="30" w:type="dxa"/>
              <w:bottom w:w="0" w:type="dxa"/>
              <w:right w:w="30" w:type="dxa"/>
            </w:tcMar>
            <w:hideMark/>
          </w:tcPr>
          <w:p w14:paraId="16C72BE6"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8</w:t>
            </w:r>
          </w:p>
        </w:tc>
        <w:tc>
          <w:tcPr>
            <w:tcW w:w="1454" w:type="dxa"/>
            <w:tcBorders>
              <w:top w:val="nil"/>
              <w:left w:val="nil"/>
              <w:bottom w:val="single" w:sz="8" w:space="0" w:color="auto"/>
              <w:right w:val="single" w:sz="8" w:space="0" w:color="auto"/>
            </w:tcBorders>
            <w:tcMar>
              <w:top w:w="0" w:type="dxa"/>
              <w:left w:w="30" w:type="dxa"/>
              <w:bottom w:w="0" w:type="dxa"/>
              <w:right w:w="30" w:type="dxa"/>
            </w:tcMar>
            <w:hideMark/>
          </w:tcPr>
          <w:p w14:paraId="71EBDB1D"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315</w:t>
            </w:r>
          </w:p>
        </w:tc>
        <w:tc>
          <w:tcPr>
            <w:tcW w:w="1541" w:type="dxa"/>
            <w:tcBorders>
              <w:top w:val="nil"/>
              <w:left w:val="nil"/>
              <w:bottom w:val="single" w:sz="8" w:space="0" w:color="auto"/>
              <w:right w:val="single" w:sz="8" w:space="0" w:color="auto"/>
            </w:tcBorders>
            <w:tcMar>
              <w:top w:w="0" w:type="dxa"/>
              <w:left w:w="30" w:type="dxa"/>
              <w:bottom w:w="0" w:type="dxa"/>
              <w:right w:w="30" w:type="dxa"/>
            </w:tcMar>
            <w:hideMark/>
          </w:tcPr>
          <w:p w14:paraId="0041C919"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1,957</w:t>
            </w:r>
          </w:p>
        </w:tc>
        <w:tc>
          <w:tcPr>
            <w:tcW w:w="2182" w:type="dxa"/>
            <w:tcBorders>
              <w:top w:val="nil"/>
              <w:left w:val="nil"/>
              <w:bottom w:val="single" w:sz="8" w:space="0" w:color="auto"/>
              <w:right w:val="single" w:sz="8" w:space="0" w:color="auto"/>
            </w:tcBorders>
            <w:tcMar>
              <w:top w:w="0" w:type="dxa"/>
              <w:left w:w="30" w:type="dxa"/>
              <w:bottom w:w="0" w:type="dxa"/>
              <w:right w:w="30" w:type="dxa"/>
            </w:tcMar>
            <w:hideMark/>
          </w:tcPr>
          <w:p w14:paraId="76CC6460"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54,728</w:t>
            </w:r>
          </w:p>
        </w:tc>
      </w:tr>
      <w:tr w:rsidR="00626B8C" w:rsidRPr="00F31693" w14:paraId="2C4BD508" w14:textId="77777777" w:rsidTr="00626B8C">
        <w:trPr>
          <w:trHeight w:val="290"/>
        </w:trPr>
        <w:tc>
          <w:tcPr>
            <w:tcW w:w="1291"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48EA2987"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May-16</w:t>
            </w:r>
          </w:p>
        </w:tc>
        <w:tc>
          <w:tcPr>
            <w:tcW w:w="1291" w:type="dxa"/>
            <w:tcBorders>
              <w:top w:val="nil"/>
              <w:left w:val="nil"/>
              <w:bottom w:val="single" w:sz="8" w:space="0" w:color="auto"/>
              <w:right w:val="single" w:sz="8" w:space="0" w:color="auto"/>
            </w:tcBorders>
            <w:tcMar>
              <w:top w:w="0" w:type="dxa"/>
              <w:left w:w="30" w:type="dxa"/>
              <w:bottom w:w="0" w:type="dxa"/>
              <w:right w:w="30" w:type="dxa"/>
            </w:tcMar>
            <w:hideMark/>
          </w:tcPr>
          <w:p w14:paraId="5A47FCA7"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19,154</w:t>
            </w:r>
          </w:p>
        </w:tc>
        <w:tc>
          <w:tcPr>
            <w:tcW w:w="1203" w:type="dxa"/>
            <w:tcBorders>
              <w:top w:val="nil"/>
              <w:left w:val="nil"/>
              <w:bottom w:val="single" w:sz="8" w:space="0" w:color="auto"/>
              <w:right w:val="single" w:sz="8" w:space="0" w:color="auto"/>
            </w:tcBorders>
            <w:tcMar>
              <w:top w:w="0" w:type="dxa"/>
              <w:left w:w="30" w:type="dxa"/>
              <w:bottom w:w="0" w:type="dxa"/>
              <w:right w:w="30" w:type="dxa"/>
            </w:tcMar>
            <w:hideMark/>
          </w:tcPr>
          <w:p w14:paraId="16B47FFE"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36,631</w:t>
            </w:r>
          </w:p>
        </w:tc>
        <w:tc>
          <w:tcPr>
            <w:tcW w:w="1015" w:type="dxa"/>
            <w:tcBorders>
              <w:top w:val="nil"/>
              <w:left w:val="nil"/>
              <w:bottom w:val="single" w:sz="8" w:space="0" w:color="auto"/>
              <w:right w:val="single" w:sz="8" w:space="0" w:color="auto"/>
            </w:tcBorders>
            <w:tcMar>
              <w:top w:w="0" w:type="dxa"/>
              <w:left w:w="30" w:type="dxa"/>
              <w:bottom w:w="0" w:type="dxa"/>
              <w:right w:w="30" w:type="dxa"/>
            </w:tcMar>
            <w:hideMark/>
          </w:tcPr>
          <w:p w14:paraId="259EE747"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4</w:t>
            </w:r>
          </w:p>
        </w:tc>
        <w:tc>
          <w:tcPr>
            <w:tcW w:w="1454" w:type="dxa"/>
            <w:tcBorders>
              <w:top w:val="nil"/>
              <w:left w:val="nil"/>
              <w:bottom w:val="single" w:sz="8" w:space="0" w:color="auto"/>
              <w:right w:val="single" w:sz="8" w:space="0" w:color="auto"/>
            </w:tcBorders>
            <w:tcMar>
              <w:top w:w="0" w:type="dxa"/>
              <w:left w:w="30" w:type="dxa"/>
              <w:bottom w:w="0" w:type="dxa"/>
              <w:right w:w="30" w:type="dxa"/>
            </w:tcMar>
            <w:hideMark/>
          </w:tcPr>
          <w:p w14:paraId="5C1B4484"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304</w:t>
            </w:r>
          </w:p>
        </w:tc>
        <w:tc>
          <w:tcPr>
            <w:tcW w:w="1541" w:type="dxa"/>
            <w:tcBorders>
              <w:top w:val="nil"/>
              <w:left w:val="nil"/>
              <w:bottom w:val="single" w:sz="8" w:space="0" w:color="auto"/>
              <w:right w:val="single" w:sz="8" w:space="0" w:color="auto"/>
            </w:tcBorders>
            <w:tcMar>
              <w:top w:w="0" w:type="dxa"/>
              <w:left w:w="30" w:type="dxa"/>
              <w:bottom w:w="0" w:type="dxa"/>
              <w:right w:w="30" w:type="dxa"/>
            </w:tcMar>
            <w:hideMark/>
          </w:tcPr>
          <w:p w14:paraId="1D205EDC"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1,977</w:t>
            </w:r>
          </w:p>
        </w:tc>
        <w:tc>
          <w:tcPr>
            <w:tcW w:w="2182" w:type="dxa"/>
            <w:tcBorders>
              <w:top w:val="nil"/>
              <w:left w:val="nil"/>
              <w:bottom w:val="single" w:sz="8" w:space="0" w:color="auto"/>
              <w:right w:val="single" w:sz="8" w:space="0" w:color="auto"/>
            </w:tcBorders>
            <w:tcMar>
              <w:top w:w="0" w:type="dxa"/>
              <w:left w:w="30" w:type="dxa"/>
              <w:bottom w:w="0" w:type="dxa"/>
              <w:right w:w="30" w:type="dxa"/>
            </w:tcMar>
            <w:hideMark/>
          </w:tcPr>
          <w:p w14:paraId="7DE3EEC4"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58,070</w:t>
            </w:r>
          </w:p>
        </w:tc>
      </w:tr>
      <w:tr w:rsidR="00626B8C" w:rsidRPr="00F31693" w14:paraId="7A8019EE" w14:textId="77777777" w:rsidTr="00626B8C">
        <w:trPr>
          <w:trHeight w:val="290"/>
        </w:trPr>
        <w:tc>
          <w:tcPr>
            <w:tcW w:w="1291"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7438693F"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Jun-16</w:t>
            </w:r>
          </w:p>
        </w:tc>
        <w:tc>
          <w:tcPr>
            <w:tcW w:w="1291" w:type="dxa"/>
            <w:tcBorders>
              <w:top w:val="nil"/>
              <w:left w:val="nil"/>
              <w:bottom w:val="single" w:sz="8" w:space="0" w:color="auto"/>
              <w:right w:val="single" w:sz="8" w:space="0" w:color="auto"/>
            </w:tcBorders>
            <w:tcMar>
              <w:top w:w="0" w:type="dxa"/>
              <w:left w:w="30" w:type="dxa"/>
              <w:bottom w:w="0" w:type="dxa"/>
              <w:right w:w="30" w:type="dxa"/>
            </w:tcMar>
            <w:hideMark/>
          </w:tcPr>
          <w:p w14:paraId="332A91D2"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18,218</w:t>
            </w:r>
          </w:p>
        </w:tc>
        <w:tc>
          <w:tcPr>
            <w:tcW w:w="1203" w:type="dxa"/>
            <w:tcBorders>
              <w:top w:val="nil"/>
              <w:left w:val="nil"/>
              <w:bottom w:val="single" w:sz="8" w:space="0" w:color="auto"/>
              <w:right w:val="single" w:sz="8" w:space="0" w:color="auto"/>
            </w:tcBorders>
            <w:tcMar>
              <w:top w:w="0" w:type="dxa"/>
              <w:left w:w="30" w:type="dxa"/>
              <w:bottom w:w="0" w:type="dxa"/>
              <w:right w:w="30" w:type="dxa"/>
            </w:tcMar>
            <w:hideMark/>
          </w:tcPr>
          <w:p w14:paraId="0328E98E"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35,665</w:t>
            </w:r>
          </w:p>
        </w:tc>
        <w:tc>
          <w:tcPr>
            <w:tcW w:w="1015" w:type="dxa"/>
            <w:tcBorders>
              <w:top w:val="nil"/>
              <w:left w:val="nil"/>
              <w:bottom w:val="single" w:sz="8" w:space="0" w:color="auto"/>
              <w:right w:val="single" w:sz="8" w:space="0" w:color="auto"/>
            </w:tcBorders>
            <w:tcMar>
              <w:top w:w="0" w:type="dxa"/>
              <w:left w:w="30" w:type="dxa"/>
              <w:bottom w:w="0" w:type="dxa"/>
              <w:right w:w="30" w:type="dxa"/>
            </w:tcMar>
            <w:hideMark/>
          </w:tcPr>
          <w:p w14:paraId="53948BE8"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8</w:t>
            </w:r>
          </w:p>
        </w:tc>
        <w:tc>
          <w:tcPr>
            <w:tcW w:w="1454" w:type="dxa"/>
            <w:tcBorders>
              <w:top w:val="nil"/>
              <w:left w:val="nil"/>
              <w:bottom w:val="single" w:sz="8" w:space="0" w:color="auto"/>
              <w:right w:val="single" w:sz="8" w:space="0" w:color="auto"/>
            </w:tcBorders>
            <w:tcMar>
              <w:top w:w="0" w:type="dxa"/>
              <w:left w:w="30" w:type="dxa"/>
              <w:bottom w:w="0" w:type="dxa"/>
              <w:right w:w="30" w:type="dxa"/>
            </w:tcMar>
            <w:hideMark/>
          </w:tcPr>
          <w:p w14:paraId="04C81A47"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318</w:t>
            </w:r>
          </w:p>
        </w:tc>
        <w:tc>
          <w:tcPr>
            <w:tcW w:w="1541" w:type="dxa"/>
            <w:tcBorders>
              <w:top w:val="nil"/>
              <w:left w:val="nil"/>
              <w:bottom w:val="single" w:sz="8" w:space="0" w:color="auto"/>
              <w:right w:val="single" w:sz="8" w:space="0" w:color="auto"/>
            </w:tcBorders>
            <w:tcMar>
              <w:top w:w="0" w:type="dxa"/>
              <w:left w:w="30" w:type="dxa"/>
              <w:bottom w:w="0" w:type="dxa"/>
              <w:right w:w="30" w:type="dxa"/>
            </w:tcMar>
            <w:hideMark/>
          </w:tcPr>
          <w:p w14:paraId="0BA4DBDB"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1,893</w:t>
            </w:r>
          </w:p>
        </w:tc>
        <w:tc>
          <w:tcPr>
            <w:tcW w:w="2182" w:type="dxa"/>
            <w:tcBorders>
              <w:top w:val="nil"/>
              <w:left w:val="nil"/>
              <w:bottom w:val="single" w:sz="8" w:space="0" w:color="auto"/>
              <w:right w:val="single" w:sz="8" w:space="0" w:color="auto"/>
            </w:tcBorders>
            <w:tcMar>
              <w:top w:w="0" w:type="dxa"/>
              <w:left w:w="30" w:type="dxa"/>
              <w:bottom w:w="0" w:type="dxa"/>
              <w:right w:w="30" w:type="dxa"/>
            </w:tcMar>
            <w:hideMark/>
          </w:tcPr>
          <w:p w14:paraId="4E930DAA"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56,102</w:t>
            </w:r>
          </w:p>
        </w:tc>
      </w:tr>
      <w:tr w:rsidR="00626B8C" w:rsidRPr="00F31693" w14:paraId="5BFC90A9" w14:textId="77777777" w:rsidTr="00626B8C">
        <w:trPr>
          <w:trHeight w:val="290"/>
        </w:trPr>
        <w:tc>
          <w:tcPr>
            <w:tcW w:w="1291" w:type="dxa"/>
            <w:tcBorders>
              <w:top w:val="nil"/>
              <w:left w:val="single" w:sz="8" w:space="0" w:color="auto"/>
              <w:bottom w:val="single" w:sz="8" w:space="0" w:color="auto"/>
              <w:right w:val="single" w:sz="8" w:space="0" w:color="auto"/>
            </w:tcBorders>
            <w:tcMar>
              <w:top w:w="0" w:type="dxa"/>
              <w:left w:w="30" w:type="dxa"/>
              <w:bottom w:w="0" w:type="dxa"/>
              <w:right w:w="30" w:type="dxa"/>
            </w:tcMar>
            <w:hideMark/>
          </w:tcPr>
          <w:p w14:paraId="1F6FC43C"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Jul-16</w:t>
            </w:r>
          </w:p>
        </w:tc>
        <w:tc>
          <w:tcPr>
            <w:tcW w:w="1291" w:type="dxa"/>
            <w:tcBorders>
              <w:top w:val="nil"/>
              <w:left w:val="nil"/>
              <w:bottom w:val="single" w:sz="8" w:space="0" w:color="auto"/>
              <w:right w:val="single" w:sz="8" w:space="0" w:color="auto"/>
            </w:tcBorders>
            <w:tcMar>
              <w:top w:w="0" w:type="dxa"/>
              <w:left w:w="30" w:type="dxa"/>
              <w:bottom w:w="0" w:type="dxa"/>
              <w:right w:w="30" w:type="dxa"/>
            </w:tcMar>
            <w:hideMark/>
          </w:tcPr>
          <w:p w14:paraId="1DC8068B"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18,687</w:t>
            </w:r>
          </w:p>
        </w:tc>
        <w:tc>
          <w:tcPr>
            <w:tcW w:w="1203" w:type="dxa"/>
            <w:tcBorders>
              <w:top w:val="nil"/>
              <w:left w:val="nil"/>
              <w:bottom w:val="single" w:sz="8" w:space="0" w:color="auto"/>
              <w:right w:val="single" w:sz="8" w:space="0" w:color="auto"/>
            </w:tcBorders>
            <w:tcMar>
              <w:top w:w="0" w:type="dxa"/>
              <w:left w:w="30" w:type="dxa"/>
              <w:bottom w:w="0" w:type="dxa"/>
              <w:right w:w="30" w:type="dxa"/>
            </w:tcMar>
            <w:hideMark/>
          </w:tcPr>
          <w:p w14:paraId="1DAFC6AF"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35,017</w:t>
            </w:r>
          </w:p>
        </w:tc>
        <w:tc>
          <w:tcPr>
            <w:tcW w:w="1015" w:type="dxa"/>
            <w:tcBorders>
              <w:top w:val="nil"/>
              <w:left w:val="nil"/>
              <w:bottom w:val="single" w:sz="8" w:space="0" w:color="auto"/>
              <w:right w:val="single" w:sz="8" w:space="0" w:color="auto"/>
            </w:tcBorders>
            <w:tcMar>
              <w:top w:w="0" w:type="dxa"/>
              <w:left w:w="30" w:type="dxa"/>
              <w:bottom w:w="0" w:type="dxa"/>
              <w:right w:w="30" w:type="dxa"/>
            </w:tcMar>
            <w:hideMark/>
          </w:tcPr>
          <w:p w14:paraId="7B65E649"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0</w:t>
            </w:r>
          </w:p>
        </w:tc>
        <w:tc>
          <w:tcPr>
            <w:tcW w:w="1454" w:type="dxa"/>
            <w:tcBorders>
              <w:top w:val="nil"/>
              <w:left w:val="nil"/>
              <w:bottom w:val="single" w:sz="8" w:space="0" w:color="auto"/>
              <w:right w:val="single" w:sz="8" w:space="0" w:color="auto"/>
            </w:tcBorders>
            <w:tcMar>
              <w:top w:w="0" w:type="dxa"/>
              <w:left w:w="30" w:type="dxa"/>
              <w:bottom w:w="0" w:type="dxa"/>
              <w:right w:w="30" w:type="dxa"/>
            </w:tcMar>
            <w:hideMark/>
          </w:tcPr>
          <w:p w14:paraId="0F408000"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315</w:t>
            </w:r>
          </w:p>
        </w:tc>
        <w:tc>
          <w:tcPr>
            <w:tcW w:w="1541" w:type="dxa"/>
            <w:tcBorders>
              <w:top w:val="nil"/>
              <w:left w:val="nil"/>
              <w:bottom w:val="single" w:sz="8" w:space="0" w:color="auto"/>
              <w:right w:val="single" w:sz="8" w:space="0" w:color="auto"/>
            </w:tcBorders>
            <w:tcMar>
              <w:top w:w="0" w:type="dxa"/>
              <w:left w:w="30" w:type="dxa"/>
              <w:bottom w:w="0" w:type="dxa"/>
              <w:right w:w="30" w:type="dxa"/>
            </w:tcMar>
            <w:hideMark/>
          </w:tcPr>
          <w:p w14:paraId="387B2EAE"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2,040</w:t>
            </w:r>
          </w:p>
        </w:tc>
        <w:tc>
          <w:tcPr>
            <w:tcW w:w="2182" w:type="dxa"/>
            <w:tcBorders>
              <w:top w:val="nil"/>
              <w:left w:val="nil"/>
              <w:bottom w:val="single" w:sz="8" w:space="0" w:color="auto"/>
              <w:right w:val="single" w:sz="8" w:space="0" w:color="auto"/>
            </w:tcBorders>
            <w:tcMar>
              <w:top w:w="0" w:type="dxa"/>
              <w:left w:w="30" w:type="dxa"/>
              <w:bottom w:w="0" w:type="dxa"/>
              <w:right w:w="30" w:type="dxa"/>
            </w:tcMar>
            <w:hideMark/>
          </w:tcPr>
          <w:p w14:paraId="68BAA944" w14:textId="77777777" w:rsidR="00626B8C" w:rsidRPr="00F31693" w:rsidRDefault="00626B8C" w:rsidP="00626B8C">
            <w:pPr>
              <w:autoSpaceDE w:val="0"/>
              <w:autoSpaceDN w:val="0"/>
              <w:spacing w:after="0" w:line="240" w:lineRule="auto"/>
              <w:jc w:val="right"/>
              <w:rPr>
                <w:rFonts w:ascii="Calibri" w:hAnsi="Calibri" w:cs="Times New Roman"/>
                <w:color w:val="000000"/>
              </w:rPr>
            </w:pPr>
            <w:r w:rsidRPr="00F31693">
              <w:rPr>
                <w:rFonts w:ascii="Calibri" w:hAnsi="Calibri" w:cs="Times New Roman"/>
                <w:color w:val="000000"/>
              </w:rPr>
              <w:t>56,059</w:t>
            </w:r>
          </w:p>
        </w:tc>
      </w:tr>
    </w:tbl>
    <w:p w14:paraId="03468003" w14:textId="77777777" w:rsidR="00967457" w:rsidRPr="00F31693" w:rsidRDefault="00967457" w:rsidP="0048130B">
      <w:pPr>
        <w:pStyle w:val="NoSpacing"/>
      </w:pPr>
    </w:p>
    <w:p w14:paraId="42A993AF" w14:textId="77777777" w:rsidR="002C6AA3" w:rsidRPr="00F31693" w:rsidRDefault="002C6AA3" w:rsidP="002C6AA3">
      <w:pPr>
        <w:rPr>
          <w:b/>
          <w:u w:val="single"/>
        </w:rPr>
      </w:pPr>
      <w:r w:rsidRPr="00F31693">
        <w:rPr>
          <w:b/>
          <w:u w:val="single"/>
        </w:rPr>
        <w:t>Total FY</w:t>
      </w:r>
      <w:r w:rsidR="00DF49A8">
        <w:rPr>
          <w:b/>
          <w:u w:val="single"/>
        </w:rPr>
        <w:t>E</w:t>
      </w:r>
      <w:r w:rsidRPr="00F31693">
        <w:rPr>
          <w:b/>
          <w:u w:val="single"/>
        </w:rPr>
        <w:t xml:space="preserve"> Point of Sale (“POS”) Purchases</w:t>
      </w:r>
    </w:p>
    <w:tbl>
      <w:tblPr>
        <w:tblW w:w="7040" w:type="dxa"/>
        <w:tblInd w:w="95" w:type="dxa"/>
        <w:tblLook w:val="04A0" w:firstRow="1" w:lastRow="0" w:firstColumn="1" w:lastColumn="0" w:noHBand="0" w:noVBand="1"/>
      </w:tblPr>
      <w:tblGrid>
        <w:gridCol w:w="1940"/>
        <w:gridCol w:w="1200"/>
        <w:gridCol w:w="1120"/>
        <w:gridCol w:w="1300"/>
        <w:gridCol w:w="1480"/>
      </w:tblGrid>
      <w:tr w:rsidR="0044225E" w:rsidRPr="00F31693" w14:paraId="53CAA5A7" w14:textId="77777777" w:rsidTr="0044225E">
        <w:trPr>
          <w:trHeight w:val="51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37AF0" w14:textId="77777777" w:rsidR="0044225E" w:rsidRPr="00F31693" w:rsidRDefault="0044225E" w:rsidP="00297375">
            <w:pPr>
              <w:spacing w:after="0" w:line="240" w:lineRule="auto"/>
              <w:rPr>
                <w:rFonts w:eastAsia="Times New Roman" w:cs="Arial"/>
                <w:b/>
                <w:bCs/>
                <w:color w:val="000000"/>
              </w:rPr>
            </w:pPr>
            <w:r w:rsidRPr="00F31693">
              <w:rPr>
                <w:rFonts w:eastAsia="Times New Roman" w:cs="Arial"/>
                <w:b/>
                <w:bCs/>
                <w:color w:val="000000"/>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AE03C46" w14:textId="77777777" w:rsidR="0044225E" w:rsidRPr="00F31693" w:rsidRDefault="0044225E" w:rsidP="00212FBE">
            <w:pPr>
              <w:spacing w:after="0" w:line="240" w:lineRule="auto"/>
              <w:jc w:val="center"/>
              <w:rPr>
                <w:rFonts w:eastAsia="Times New Roman" w:cs="Arial"/>
                <w:b/>
                <w:bCs/>
                <w:color w:val="000000"/>
              </w:rPr>
            </w:pPr>
            <w:r w:rsidRPr="00F31693">
              <w:rPr>
                <w:rFonts w:eastAsia="Times New Roman" w:cs="Arial"/>
                <w:b/>
                <w:bCs/>
                <w:color w:val="000000"/>
              </w:rPr>
              <w:t>FY</w:t>
            </w:r>
            <w:r w:rsidR="00DF49A8">
              <w:rPr>
                <w:rFonts w:eastAsia="Times New Roman" w:cs="Arial"/>
                <w:b/>
                <w:bCs/>
                <w:color w:val="000000"/>
              </w:rPr>
              <w:t xml:space="preserve">E </w:t>
            </w:r>
            <w:r w:rsidRPr="00F31693">
              <w:rPr>
                <w:rFonts w:eastAsia="Times New Roman" w:cs="Arial"/>
                <w:b/>
                <w:bCs/>
                <w:color w:val="000000"/>
              </w:rPr>
              <w:t>2016</w:t>
            </w:r>
          </w:p>
        </w:tc>
        <w:tc>
          <w:tcPr>
            <w:tcW w:w="1120" w:type="dxa"/>
            <w:tcBorders>
              <w:top w:val="single" w:sz="4" w:space="0" w:color="auto"/>
              <w:left w:val="nil"/>
              <w:bottom w:val="single" w:sz="4" w:space="0" w:color="auto"/>
              <w:right w:val="nil"/>
            </w:tcBorders>
            <w:vAlign w:val="bottom"/>
          </w:tcPr>
          <w:p w14:paraId="077549A3" w14:textId="77777777" w:rsidR="0044225E" w:rsidRPr="00F31693" w:rsidRDefault="0044225E" w:rsidP="00F31693">
            <w:pPr>
              <w:spacing w:after="0" w:line="240" w:lineRule="auto"/>
              <w:jc w:val="center"/>
              <w:rPr>
                <w:rFonts w:eastAsia="Times New Roman" w:cs="Arial"/>
                <w:b/>
                <w:bCs/>
                <w:color w:val="000000"/>
              </w:rPr>
            </w:pPr>
            <w:r w:rsidRPr="00F31693">
              <w:rPr>
                <w:rFonts w:eastAsia="Times New Roman" w:cs="Arial"/>
                <w:b/>
                <w:bCs/>
                <w:color w:val="000000"/>
              </w:rPr>
              <w:t>FY</w:t>
            </w:r>
            <w:r w:rsidR="00DF49A8">
              <w:rPr>
                <w:rFonts w:eastAsia="Times New Roman" w:cs="Arial"/>
                <w:b/>
                <w:bCs/>
                <w:color w:val="000000"/>
              </w:rPr>
              <w:t xml:space="preserve">E </w:t>
            </w:r>
            <w:r w:rsidRPr="00F31693">
              <w:rPr>
                <w:rFonts w:eastAsia="Times New Roman" w:cs="Arial"/>
                <w:b/>
                <w:bCs/>
                <w:color w:val="000000"/>
              </w:rPr>
              <w:t>2015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9969D99" w14:textId="77777777" w:rsidR="0044225E" w:rsidRPr="00F31693" w:rsidRDefault="0044225E" w:rsidP="00297375">
            <w:pPr>
              <w:spacing w:after="0" w:line="240" w:lineRule="auto"/>
              <w:jc w:val="center"/>
              <w:rPr>
                <w:rFonts w:eastAsia="Times New Roman" w:cs="Arial"/>
                <w:b/>
                <w:bCs/>
                <w:color w:val="000000"/>
              </w:rPr>
            </w:pPr>
            <w:r w:rsidRPr="00F31693">
              <w:rPr>
                <w:rFonts w:eastAsia="Times New Roman" w:cs="Arial"/>
                <w:b/>
                <w:bCs/>
                <w:color w:val="000000"/>
              </w:rPr>
              <w:t>Increase</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14:paraId="6228D6F0" w14:textId="77777777" w:rsidR="0044225E" w:rsidRPr="00F31693" w:rsidRDefault="0044225E" w:rsidP="00297375">
            <w:pPr>
              <w:spacing w:after="0" w:line="240" w:lineRule="auto"/>
              <w:jc w:val="center"/>
              <w:rPr>
                <w:rFonts w:eastAsia="Times New Roman" w:cs="Arial"/>
                <w:b/>
                <w:bCs/>
                <w:color w:val="000000"/>
              </w:rPr>
            </w:pPr>
            <w:r w:rsidRPr="00F31693">
              <w:rPr>
                <w:rFonts w:eastAsia="Times New Roman" w:cs="Arial"/>
                <w:b/>
                <w:bCs/>
                <w:color w:val="000000"/>
              </w:rPr>
              <w:t xml:space="preserve">Percent </w:t>
            </w:r>
            <w:r w:rsidRPr="00F31693">
              <w:rPr>
                <w:rFonts w:eastAsia="Times New Roman" w:cs="Arial"/>
                <w:b/>
                <w:bCs/>
                <w:color w:val="000000"/>
              </w:rPr>
              <w:br/>
              <w:t>Increase</w:t>
            </w:r>
          </w:p>
        </w:tc>
      </w:tr>
      <w:tr w:rsidR="0044225E" w:rsidRPr="00F31693" w14:paraId="03EE5E94" w14:textId="77777777" w:rsidTr="0044225E">
        <w:trPr>
          <w:trHeight w:val="25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041EA29" w14:textId="77777777" w:rsidR="0044225E" w:rsidRPr="00F31693" w:rsidRDefault="0044225E" w:rsidP="00297375">
            <w:pPr>
              <w:spacing w:after="0" w:line="240" w:lineRule="auto"/>
              <w:jc w:val="center"/>
              <w:rPr>
                <w:rFonts w:eastAsia="Times New Roman" w:cs="Arial"/>
                <w:b/>
                <w:bCs/>
                <w:color w:val="000000"/>
              </w:rPr>
            </w:pPr>
            <w:r w:rsidRPr="00F31693">
              <w:rPr>
                <w:rFonts w:eastAsia="Times New Roman" w:cs="Arial"/>
                <w:b/>
                <w:bCs/>
                <w:color w:val="000000"/>
              </w:rPr>
              <w:t>POS</w:t>
            </w:r>
          </w:p>
        </w:tc>
        <w:tc>
          <w:tcPr>
            <w:tcW w:w="1200" w:type="dxa"/>
            <w:tcBorders>
              <w:top w:val="nil"/>
              <w:left w:val="nil"/>
              <w:bottom w:val="single" w:sz="4" w:space="0" w:color="auto"/>
              <w:right w:val="single" w:sz="4" w:space="0" w:color="auto"/>
            </w:tcBorders>
            <w:shd w:val="clear" w:color="auto" w:fill="auto"/>
            <w:noWrap/>
            <w:vAlign w:val="bottom"/>
            <w:hideMark/>
          </w:tcPr>
          <w:p w14:paraId="1BC0EF5A" w14:textId="77777777" w:rsidR="0044225E" w:rsidRPr="00F31693" w:rsidRDefault="0044225E" w:rsidP="0023329D">
            <w:pPr>
              <w:spacing w:after="0" w:line="240" w:lineRule="auto"/>
              <w:rPr>
                <w:rFonts w:eastAsia="Times New Roman" w:cs="Arial"/>
                <w:color w:val="000000"/>
              </w:rPr>
            </w:pPr>
            <w:r w:rsidRPr="00F31693">
              <w:rPr>
                <w:rFonts w:eastAsia="Times New Roman" w:cs="Arial"/>
                <w:color w:val="000000"/>
              </w:rPr>
              <w:t>688,206</w:t>
            </w:r>
          </w:p>
        </w:tc>
        <w:tc>
          <w:tcPr>
            <w:tcW w:w="1120" w:type="dxa"/>
            <w:tcBorders>
              <w:top w:val="nil"/>
              <w:left w:val="nil"/>
              <w:bottom w:val="single" w:sz="4" w:space="0" w:color="auto"/>
              <w:right w:val="nil"/>
            </w:tcBorders>
            <w:vAlign w:val="bottom"/>
          </w:tcPr>
          <w:p w14:paraId="53AB1BF9" w14:textId="77777777" w:rsidR="0044225E" w:rsidRPr="00F31693" w:rsidRDefault="0044225E" w:rsidP="00F31693">
            <w:pPr>
              <w:spacing w:after="0" w:line="240" w:lineRule="auto"/>
              <w:rPr>
                <w:rFonts w:eastAsia="Times New Roman" w:cs="Arial"/>
                <w:color w:val="000000"/>
              </w:rPr>
            </w:pPr>
            <w:r w:rsidRPr="00F31693">
              <w:rPr>
                <w:rFonts w:eastAsia="Times New Roman" w:cs="Arial"/>
                <w:color w:val="000000"/>
              </w:rPr>
              <w:t>593,610</w:t>
            </w:r>
          </w:p>
        </w:tc>
        <w:tc>
          <w:tcPr>
            <w:tcW w:w="1300" w:type="dxa"/>
            <w:tcBorders>
              <w:top w:val="nil"/>
              <w:left w:val="nil"/>
              <w:bottom w:val="single" w:sz="4" w:space="0" w:color="auto"/>
              <w:right w:val="single" w:sz="4" w:space="0" w:color="auto"/>
            </w:tcBorders>
            <w:shd w:val="clear" w:color="auto" w:fill="auto"/>
            <w:noWrap/>
            <w:vAlign w:val="bottom"/>
            <w:hideMark/>
          </w:tcPr>
          <w:p w14:paraId="665CF5D9" w14:textId="77777777" w:rsidR="0044225E" w:rsidRPr="00F31693" w:rsidRDefault="0044225E" w:rsidP="0023329D">
            <w:pPr>
              <w:spacing w:after="0" w:line="240" w:lineRule="auto"/>
              <w:rPr>
                <w:rFonts w:eastAsia="Times New Roman" w:cs="Arial"/>
                <w:color w:val="000000"/>
              </w:rPr>
            </w:pPr>
            <w:r w:rsidRPr="00F31693">
              <w:rPr>
                <w:rFonts w:eastAsia="Times New Roman" w:cs="Arial"/>
                <w:color w:val="000000"/>
              </w:rPr>
              <w:t>151,610</w:t>
            </w:r>
          </w:p>
        </w:tc>
        <w:tc>
          <w:tcPr>
            <w:tcW w:w="1480" w:type="dxa"/>
            <w:tcBorders>
              <w:top w:val="nil"/>
              <w:left w:val="nil"/>
              <w:bottom w:val="single" w:sz="4" w:space="0" w:color="auto"/>
              <w:right w:val="single" w:sz="4" w:space="0" w:color="auto"/>
            </w:tcBorders>
            <w:shd w:val="clear" w:color="auto" w:fill="auto"/>
            <w:noWrap/>
            <w:vAlign w:val="bottom"/>
            <w:hideMark/>
          </w:tcPr>
          <w:p w14:paraId="1750703C" w14:textId="77777777" w:rsidR="0044225E" w:rsidRPr="00F31693" w:rsidRDefault="00732B88" w:rsidP="00732B88">
            <w:pPr>
              <w:spacing w:after="0" w:line="240" w:lineRule="auto"/>
              <w:rPr>
                <w:rFonts w:eastAsia="Times New Roman" w:cs="Arial"/>
                <w:color w:val="000000"/>
              </w:rPr>
            </w:pPr>
            <w:r w:rsidRPr="00F31693">
              <w:rPr>
                <w:rFonts w:eastAsia="Times New Roman" w:cs="Arial"/>
                <w:color w:val="000000"/>
              </w:rPr>
              <w:t>15.93</w:t>
            </w:r>
            <w:r w:rsidR="0044225E" w:rsidRPr="00F31693">
              <w:rPr>
                <w:rFonts w:eastAsia="Times New Roman" w:cs="Arial"/>
                <w:color w:val="000000"/>
              </w:rPr>
              <w:t>%</w:t>
            </w:r>
          </w:p>
        </w:tc>
      </w:tr>
    </w:tbl>
    <w:p w14:paraId="6AAF10C1" w14:textId="77777777" w:rsidR="0013162D" w:rsidRPr="00F31693" w:rsidRDefault="0013162D" w:rsidP="0013162D">
      <w:pPr>
        <w:pStyle w:val="NoSpacing"/>
      </w:pPr>
    </w:p>
    <w:p w14:paraId="5922B6C5" w14:textId="77777777" w:rsidR="00297375" w:rsidRPr="00F31693" w:rsidRDefault="00297375" w:rsidP="00A95E97">
      <w:pPr>
        <w:rPr>
          <w:b/>
          <w:u w:val="single"/>
        </w:rPr>
      </w:pPr>
      <w:r w:rsidRPr="00F31693">
        <w:rPr>
          <w:b/>
          <w:u w:val="single"/>
        </w:rPr>
        <w:t>Fraud Totals</w:t>
      </w:r>
    </w:p>
    <w:tbl>
      <w:tblPr>
        <w:tblW w:w="7158" w:type="dxa"/>
        <w:tblInd w:w="95" w:type="dxa"/>
        <w:tblLook w:val="04A0" w:firstRow="1" w:lastRow="0" w:firstColumn="1" w:lastColumn="0" w:noHBand="0" w:noVBand="1"/>
      </w:tblPr>
      <w:tblGrid>
        <w:gridCol w:w="1940"/>
        <w:gridCol w:w="1200"/>
        <w:gridCol w:w="19"/>
        <w:gridCol w:w="1101"/>
        <w:gridCol w:w="118"/>
        <w:gridCol w:w="1182"/>
        <w:gridCol w:w="118"/>
        <w:gridCol w:w="1480"/>
      </w:tblGrid>
      <w:tr w:rsidR="00297375" w:rsidRPr="00F31693" w14:paraId="674EB0B9" w14:textId="77777777" w:rsidTr="009D3548">
        <w:trPr>
          <w:trHeight w:val="66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A8AAB" w14:textId="77777777" w:rsidR="00297375" w:rsidRPr="00F31693" w:rsidRDefault="00297375" w:rsidP="0023329D">
            <w:pPr>
              <w:spacing w:after="0" w:line="240" w:lineRule="auto"/>
              <w:jc w:val="center"/>
              <w:rPr>
                <w:rFonts w:eastAsia="Times New Roman" w:cs="Arial"/>
                <w:b/>
                <w:bCs/>
                <w:color w:val="000000"/>
              </w:rPr>
            </w:pPr>
            <w:r w:rsidRPr="00F31693">
              <w:rPr>
                <w:rFonts w:eastAsia="Times New Roman" w:cs="Arial"/>
                <w:b/>
                <w:bCs/>
                <w:color w:val="000000"/>
              </w:rPr>
              <w:t>Fraud Totals</w:t>
            </w:r>
          </w:p>
        </w:tc>
        <w:tc>
          <w:tcPr>
            <w:tcW w:w="1219" w:type="dxa"/>
            <w:gridSpan w:val="2"/>
            <w:tcBorders>
              <w:top w:val="single" w:sz="4" w:space="0" w:color="auto"/>
              <w:left w:val="nil"/>
              <w:bottom w:val="single" w:sz="4" w:space="0" w:color="auto"/>
              <w:right w:val="single" w:sz="4" w:space="0" w:color="auto"/>
            </w:tcBorders>
            <w:shd w:val="clear" w:color="auto" w:fill="auto"/>
            <w:vAlign w:val="bottom"/>
            <w:hideMark/>
          </w:tcPr>
          <w:p w14:paraId="2C369990" w14:textId="77777777" w:rsidR="00297375" w:rsidRPr="00F31693" w:rsidRDefault="00297375" w:rsidP="00297375">
            <w:pPr>
              <w:spacing w:after="0" w:line="240" w:lineRule="auto"/>
              <w:jc w:val="center"/>
              <w:rPr>
                <w:rFonts w:eastAsia="Times New Roman" w:cs="Arial"/>
                <w:b/>
                <w:bCs/>
              </w:rPr>
            </w:pPr>
            <w:r w:rsidRPr="00F31693">
              <w:rPr>
                <w:rFonts w:eastAsia="Times New Roman" w:cs="Arial"/>
                <w:b/>
                <w:bCs/>
              </w:rPr>
              <w:t>Claims</w:t>
            </w:r>
          </w:p>
        </w:tc>
        <w:tc>
          <w:tcPr>
            <w:tcW w:w="12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5AE022D" w14:textId="77777777" w:rsidR="00297375" w:rsidRPr="00F31693" w:rsidRDefault="00297375" w:rsidP="00297375">
            <w:pPr>
              <w:spacing w:after="0" w:line="240" w:lineRule="auto"/>
              <w:jc w:val="center"/>
              <w:rPr>
                <w:rFonts w:eastAsia="Times New Roman" w:cs="Arial"/>
                <w:b/>
                <w:bCs/>
              </w:rPr>
            </w:pPr>
            <w:r w:rsidRPr="00F31693">
              <w:rPr>
                <w:rFonts w:eastAsia="Times New Roman" w:cs="Arial"/>
                <w:b/>
                <w:bCs/>
              </w:rPr>
              <w:t>Items</w:t>
            </w:r>
          </w:p>
        </w:tc>
        <w:tc>
          <w:tcPr>
            <w:tcW w:w="1300" w:type="dxa"/>
            <w:gridSpan w:val="2"/>
            <w:tcBorders>
              <w:top w:val="single" w:sz="4" w:space="0" w:color="auto"/>
              <w:left w:val="nil"/>
              <w:bottom w:val="single" w:sz="4" w:space="0" w:color="auto"/>
              <w:right w:val="single" w:sz="4" w:space="0" w:color="auto"/>
            </w:tcBorders>
            <w:shd w:val="clear" w:color="auto" w:fill="auto"/>
            <w:vAlign w:val="bottom"/>
            <w:hideMark/>
          </w:tcPr>
          <w:p w14:paraId="3F966285" w14:textId="77777777" w:rsidR="00297375" w:rsidRPr="00F31693" w:rsidRDefault="00297375" w:rsidP="00297375">
            <w:pPr>
              <w:spacing w:after="0" w:line="240" w:lineRule="auto"/>
              <w:jc w:val="center"/>
              <w:rPr>
                <w:rFonts w:eastAsia="Times New Roman" w:cs="Arial"/>
                <w:b/>
                <w:bCs/>
              </w:rPr>
            </w:pPr>
            <w:r w:rsidRPr="00F31693">
              <w:rPr>
                <w:rFonts w:eastAsia="Times New Roman" w:cs="Arial"/>
                <w:b/>
                <w:bCs/>
              </w:rPr>
              <w:t xml:space="preserve">Total </w:t>
            </w:r>
            <w:r w:rsidRPr="00F31693">
              <w:rPr>
                <w:rFonts w:eastAsia="Times New Roman" w:cs="Arial"/>
                <w:b/>
                <w:bCs/>
              </w:rPr>
              <w:br/>
              <w:t>Fraud Amt</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14:paraId="074E70EC" w14:textId="77777777" w:rsidR="00297375" w:rsidRPr="00F31693" w:rsidRDefault="00297375" w:rsidP="00297375">
            <w:pPr>
              <w:spacing w:after="0" w:line="240" w:lineRule="auto"/>
              <w:jc w:val="center"/>
              <w:rPr>
                <w:rFonts w:eastAsia="Times New Roman" w:cs="Arial"/>
                <w:b/>
                <w:bCs/>
              </w:rPr>
            </w:pPr>
            <w:r w:rsidRPr="00F31693">
              <w:rPr>
                <w:rFonts w:eastAsia="Times New Roman" w:cs="Arial"/>
                <w:b/>
                <w:bCs/>
              </w:rPr>
              <w:t>Total</w:t>
            </w:r>
            <w:r w:rsidRPr="00F31693">
              <w:rPr>
                <w:rFonts w:eastAsia="Times New Roman" w:cs="Arial"/>
                <w:b/>
                <w:bCs/>
              </w:rPr>
              <w:br/>
              <w:t xml:space="preserve"> Recovery</w:t>
            </w:r>
          </w:p>
        </w:tc>
      </w:tr>
      <w:tr w:rsidR="009D3548" w:rsidRPr="00F31693" w14:paraId="62B8A489" w14:textId="77777777" w:rsidTr="009D3548">
        <w:trPr>
          <w:trHeight w:val="25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50DEA2BD" w14:textId="77777777" w:rsidR="009D3548" w:rsidRPr="00F31693" w:rsidRDefault="009D3548" w:rsidP="00F31693">
            <w:pPr>
              <w:spacing w:after="0" w:line="240" w:lineRule="auto"/>
              <w:rPr>
                <w:rFonts w:eastAsia="Times New Roman" w:cs="Arial"/>
                <w:b/>
                <w:bCs/>
                <w:color w:val="000000"/>
              </w:rPr>
            </w:pPr>
            <w:r w:rsidRPr="00F31693">
              <w:rPr>
                <w:rFonts w:eastAsia="Times New Roman" w:cs="Arial"/>
                <w:b/>
                <w:bCs/>
                <w:color w:val="000000"/>
              </w:rPr>
              <w:t>Jan 15 to June 15</w:t>
            </w:r>
          </w:p>
        </w:tc>
        <w:tc>
          <w:tcPr>
            <w:tcW w:w="1219" w:type="dxa"/>
            <w:gridSpan w:val="2"/>
            <w:tcBorders>
              <w:top w:val="nil"/>
              <w:left w:val="nil"/>
              <w:bottom w:val="single" w:sz="4" w:space="0" w:color="auto"/>
              <w:right w:val="single" w:sz="4" w:space="0" w:color="auto"/>
            </w:tcBorders>
            <w:shd w:val="clear" w:color="auto" w:fill="auto"/>
            <w:vAlign w:val="bottom"/>
            <w:hideMark/>
          </w:tcPr>
          <w:p w14:paraId="08161E55" w14:textId="77777777" w:rsidR="009D3548" w:rsidRPr="00F31693" w:rsidRDefault="009D3548" w:rsidP="00F31693">
            <w:pPr>
              <w:spacing w:after="0" w:line="240" w:lineRule="auto"/>
              <w:jc w:val="center"/>
              <w:rPr>
                <w:rFonts w:eastAsia="Times New Roman" w:cs="Arial"/>
              </w:rPr>
            </w:pPr>
            <w:r w:rsidRPr="00F31693">
              <w:rPr>
                <w:rFonts w:eastAsia="Times New Roman" w:cs="Arial"/>
              </w:rPr>
              <w:t>95</w:t>
            </w:r>
          </w:p>
        </w:tc>
        <w:tc>
          <w:tcPr>
            <w:tcW w:w="1219" w:type="dxa"/>
            <w:gridSpan w:val="2"/>
            <w:tcBorders>
              <w:top w:val="nil"/>
              <w:left w:val="nil"/>
              <w:bottom w:val="single" w:sz="4" w:space="0" w:color="auto"/>
              <w:right w:val="single" w:sz="4" w:space="0" w:color="auto"/>
            </w:tcBorders>
            <w:shd w:val="clear" w:color="auto" w:fill="auto"/>
            <w:noWrap/>
            <w:vAlign w:val="bottom"/>
            <w:hideMark/>
          </w:tcPr>
          <w:p w14:paraId="5396450C" w14:textId="77777777" w:rsidR="009D3548" w:rsidRPr="00F31693" w:rsidRDefault="009D3548" w:rsidP="00F31693">
            <w:pPr>
              <w:spacing w:after="0" w:line="240" w:lineRule="auto"/>
              <w:jc w:val="center"/>
              <w:rPr>
                <w:rFonts w:eastAsia="Times New Roman" w:cs="Arial"/>
              </w:rPr>
            </w:pPr>
            <w:r w:rsidRPr="00F31693">
              <w:rPr>
                <w:rFonts w:eastAsia="Times New Roman" w:cs="Arial"/>
              </w:rPr>
              <w:t>484</w:t>
            </w:r>
          </w:p>
        </w:tc>
        <w:tc>
          <w:tcPr>
            <w:tcW w:w="1300" w:type="dxa"/>
            <w:gridSpan w:val="2"/>
            <w:tcBorders>
              <w:top w:val="nil"/>
              <w:left w:val="nil"/>
              <w:bottom w:val="single" w:sz="4" w:space="0" w:color="auto"/>
              <w:right w:val="single" w:sz="4" w:space="0" w:color="auto"/>
            </w:tcBorders>
            <w:shd w:val="clear" w:color="auto" w:fill="auto"/>
            <w:noWrap/>
            <w:vAlign w:val="bottom"/>
            <w:hideMark/>
          </w:tcPr>
          <w:p w14:paraId="46E3B09B" w14:textId="77777777" w:rsidR="009D3548" w:rsidRPr="00F31693" w:rsidRDefault="009D3548" w:rsidP="00F31693">
            <w:pPr>
              <w:spacing w:after="0" w:line="240" w:lineRule="auto"/>
              <w:jc w:val="center"/>
              <w:rPr>
                <w:rFonts w:eastAsia="Times New Roman" w:cs="Arial"/>
              </w:rPr>
            </w:pPr>
            <w:r w:rsidRPr="00F31693">
              <w:rPr>
                <w:rFonts w:eastAsia="Times New Roman" w:cs="Arial"/>
              </w:rPr>
              <w:t>$25,420.53</w:t>
            </w:r>
          </w:p>
        </w:tc>
        <w:tc>
          <w:tcPr>
            <w:tcW w:w="1480" w:type="dxa"/>
            <w:tcBorders>
              <w:top w:val="nil"/>
              <w:left w:val="nil"/>
              <w:bottom w:val="single" w:sz="4" w:space="0" w:color="auto"/>
              <w:right w:val="single" w:sz="4" w:space="0" w:color="auto"/>
            </w:tcBorders>
            <w:shd w:val="clear" w:color="auto" w:fill="auto"/>
            <w:noWrap/>
            <w:vAlign w:val="bottom"/>
            <w:hideMark/>
          </w:tcPr>
          <w:p w14:paraId="27FAFC95" w14:textId="77777777" w:rsidR="009D3548" w:rsidRPr="00F31693" w:rsidRDefault="009D3548" w:rsidP="00F31693">
            <w:pPr>
              <w:spacing w:after="0" w:line="240" w:lineRule="auto"/>
              <w:jc w:val="center"/>
              <w:rPr>
                <w:rFonts w:eastAsia="Times New Roman" w:cs="Arial"/>
              </w:rPr>
            </w:pPr>
            <w:r w:rsidRPr="00F31693">
              <w:rPr>
                <w:rFonts w:eastAsia="Times New Roman" w:cs="Arial"/>
              </w:rPr>
              <w:t>$2,208.50</w:t>
            </w:r>
          </w:p>
        </w:tc>
      </w:tr>
      <w:tr w:rsidR="009D3548" w:rsidRPr="00F31693" w14:paraId="23A0054B" w14:textId="77777777" w:rsidTr="009D3548">
        <w:tblPrEx>
          <w:tblCellMar>
            <w:left w:w="0" w:type="dxa"/>
            <w:right w:w="0" w:type="dxa"/>
          </w:tblCellMar>
        </w:tblPrEx>
        <w:trPr>
          <w:trHeight w:val="255"/>
        </w:trPr>
        <w:tc>
          <w:tcPr>
            <w:tcW w:w="19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08D15C0" w14:textId="77777777" w:rsidR="009D3548" w:rsidRPr="00F31693" w:rsidRDefault="009D3548">
            <w:pPr>
              <w:rPr>
                <w:rFonts w:ascii="Calibri" w:hAnsi="Calibri"/>
                <w:b/>
                <w:bCs/>
                <w:color w:val="000000"/>
              </w:rPr>
            </w:pPr>
            <w:r w:rsidRPr="00F31693">
              <w:rPr>
                <w:b/>
                <w:bCs/>
                <w:color w:val="000000"/>
              </w:rPr>
              <w:t>July 15 to June 16</w:t>
            </w:r>
          </w:p>
        </w:tc>
        <w:tc>
          <w:tcPr>
            <w:tcW w:w="12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F885BDD" w14:textId="77777777" w:rsidR="009D3548" w:rsidRPr="00F31693" w:rsidRDefault="009D3548">
            <w:pPr>
              <w:jc w:val="center"/>
              <w:rPr>
                <w:rFonts w:ascii="Calibri" w:hAnsi="Calibri"/>
              </w:rPr>
            </w:pPr>
            <w:r w:rsidRPr="00F31693">
              <w:t>123</w:t>
            </w:r>
          </w:p>
        </w:tc>
        <w:tc>
          <w:tcPr>
            <w:tcW w:w="1120"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D390374" w14:textId="77777777" w:rsidR="009D3548" w:rsidRPr="00F31693" w:rsidRDefault="009D3548">
            <w:pPr>
              <w:jc w:val="center"/>
              <w:rPr>
                <w:rFonts w:ascii="Calibri" w:hAnsi="Calibri"/>
              </w:rPr>
            </w:pPr>
            <w:r w:rsidRPr="00F31693">
              <w:t>458</w:t>
            </w:r>
          </w:p>
        </w:tc>
        <w:tc>
          <w:tcPr>
            <w:tcW w:w="1300"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F464EA3" w14:textId="77777777" w:rsidR="009D3548" w:rsidRPr="00F31693" w:rsidRDefault="009D3548">
            <w:pPr>
              <w:jc w:val="center"/>
              <w:rPr>
                <w:rFonts w:ascii="Calibri" w:hAnsi="Calibri"/>
              </w:rPr>
            </w:pPr>
            <w:r w:rsidRPr="00F31693">
              <w:t>$30,951.53</w:t>
            </w:r>
          </w:p>
        </w:tc>
        <w:tc>
          <w:tcPr>
            <w:tcW w:w="1598"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43805B" w14:textId="77777777" w:rsidR="009D3548" w:rsidRPr="00F31693" w:rsidRDefault="009D3548">
            <w:pPr>
              <w:jc w:val="center"/>
              <w:rPr>
                <w:rFonts w:ascii="Calibri" w:hAnsi="Calibri"/>
              </w:rPr>
            </w:pPr>
            <w:r w:rsidRPr="00F31693">
              <w:t>$10,939.17</w:t>
            </w:r>
          </w:p>
        </w:tc>
      </w:tr>
      <w:tr w:rsidR="00297375" w:rsidRPr="00F31693" w14:paraId="287FAC02" w14:textId="77777777" w:rsidTr="009D3548">
        <w:trPr>
          <w:trHeight w:val="255"/>
        </w:trPr>
        <w:tc>
          <w:tcPr>
            <w:tcW w:w="1940" w:type="dxa"/>
            <w:tcBorders>
              <w:top w:val="nil"/>
              <w:left w:val="nil"/>
              <w:bottom w:val="nil"/>
              <w:right w:val="single" w:sz="4" w:space="0" w:color="auto"/>
            </w:tcBorders>
            <w:shd w:val="clear" w:color="auto" w:fill="auto"/>
            <w:noWrap/>
            <w:vAlign w:val="bottom"/>
            <w:hideMark/>
          </w:tcPr>
          <w:p w14:paraId="4CF7C6BE" w14:textId="77777777" w:rsidR="00297375" w:rsidRPr="00F31693" w:rsidRDefault="00297375" w:rsidP="00297375">
            <w:pPr>
              <w:spacing w:after="0" w:line="240" w:lineRule="auto"/>
              <w:rPr>
                <w:rFonts w:eastAsia="Times New Roman" w:cs="Arial"/>
                <w:color w:val="000000"/>
              </w:rPr>
            </w:pPr>
            <w:r w:rsidRPr="00F31693">
              <w:rPr>
                <w:rFonts w:eastAsia="Times New Roman" w:cs="Arial"/>
                <w:color w:val="000000"/>
              </w:rPr>
              <w:t> </w:t>
            </w:r>
          </w:p>
        </w:tc>
        <w:tc>
          <w:tcPr>
            <w:tcW w:w="1219" w:type="dxa"/>
            <w:gridSpan w:val="2"/>
            <w:tcBorders>
              <w:top w:val="nil"/>
              <w:left w:val="nil"/>
              <w:bottom w:val="single" w:sz="4" w:space="0" w:color="auto"/>
              <w:right w:val="single" w:sz="4" w:space="0" w:color="auto"/>
            </w:tcBorders>
            <w:shd w:val="clear" w:color="000000" w:fill="FFFF00"/>
            <w:noWrap/>
            <w:vAlign w:val="bottom"/>
            <w:hideMark/>
          </w:tcPr>
          <w:p w14:paraId="58903F36" w14:textId="77777777" w:rsidR="00297375" w:rsidRPr="00F31693" w:rsidRDefault="001D6459" w:rsidP="002945D7">
            <w:pPr>
              <w:spacing w:after="0" w:line="240" w:lineRule="auto"/>
              <w:jc w:val="center"/>
              <w:rPr>
                <w:rFonts w:eastAsia="Times New Roman" w:cs="Arial"/>
                <w:color w:val="000000"/>
              </w:rPr>
            </w:pPr>
            <w:r w:rsidRPr="00F31693">
              <w:rPr>
                <w:rFonts w:eastAsia="Times New Roman" w:cs="Arial"/>
                <w:color w:val="000000"/>
              </w:rPr>
              <w:t>218</w:t>
            </w:r>
          </w:p>
        </w:tc>
        <w:tc>
          <w:tcPr>
            <w:tcW w:w="1219" w:type="dxa"/>
            <w:gridSpan w:val="2"/>
            <w:tcBorders>
              <w:top w:val="nil"/>
              <w:left w:val="nil"/>
              <w:bottom w:val="single" w:sz="4" w:space="0" w:color="auto"/>
              <w:right w:val="single" w:sz="4" w:space="0" w:color="auto"/>
            </w:tcBorders>
            <w:shd w:val="clear" w:color="000000" w:fill="FFFF00"/>
            <w:noWrap/>
            <w:vAlign w:val="bottom"/>
            <w:hideMark/>
          </w:tcPr>
          <w:p w14:paraId="30D5F2CE" w14:textId="77777777" w:rsidR="00297375" w:rsidRPr="00F31693" w:rsidRDefault="001D6459" w:rsidP="002945D7">
            <w:pPr>
              <w:spacing w:after="0" w:line="240" w:lineRule="auto"/>
              <w:jc w:val="center"/>
              <w:rPr>
                <w:rFonts w:eastAsia="Times New Roman" w:cs="Arial"/>
                <w:color w:val="000000"/>
              </w:rPr>
            </w:pPr>
            <w:r w:rsidRPr="00F31693">
              <w:rPr>
                <w:rFonts w:eastAsia="Times New Roman" w:cs="Arial"/>
                <w:color w:val="000000"/>
              </w:rPr>
              <w:t>942</w:t>
            </w:r>
          </w:p>
        </w:tc>
        <w:tc>
          <w:tcPr>
            <w:tcW w:w="1300" w:type="dxa"/>
            <w:gridSpan w:val="2"/>
            <w:tcBorders>
              <w:top w:val="nil"/>
              <w:left w:val="nil"/>
              <w:bottom w:val="single" w:sz="4" w:space="0" w:color="auto"/>
              <w:right w:val="single" w:sz="4" w:space="0" w:color="auto"/>
            </w:tcBorders>
            <w:shd w:val="clear" w:color="000000" w:fill="FFFF00"/>
            <w:noWrap/>
            <w:vAlign w:val="bottom"/>
            <w:hideMark/>
          </w:tcPr>
          <w:p w14:paraId="1AD089CD" w14:textId="77777777" w:rsidR="00297375" w:rsidRPr="00F31693" w:rsidRDefault="001D6459" w:rsidP="002945D7">
            <w:pPr>
              <w:spacing w:after="0" w:line="240" w:lineRule="auto"/>
              <w:jc w:val="center"/>
              <w:rPr>
                <w:rFonts w:eastAsia="Times New Roman" w:cs="Arial"/>
                <w:color w:val="000000"/>
              </w:rPr>
            </w:pPr>
            <w:r w:rsidRPr="00F31693">
              <w:rPr>
                <w:rFonts w:eastAsia="Times New Roman" w:cs="Arial"/>
                <w:color w:val="000000"/>
              </w:rPr>
              <w:t>$56,372.06</w:t>
            </w:r>
          </w:p>
        </w:tc>
        <w:tc>
          <w:tcPr>
            <w:tcW w:w="1480" w:type="dxa"/>
            <w:tcBorders>
              <w:top w:val="nil"/>
              <w:left w:val="nil"/>
              <w:bottom w:val="single" w:sz="4" w:space="0" w:color="auto"/>
              <w:right w:val="single" w:sz="4" w:space="0" w:color="auto"/>
            </w:tcBorders>
            <w:shd w:val="clear" w:color="000000" w:fill="FFFF00"/>
            <w:noWrap/>
            <w:vAlign w:val="bottom"/>
            <w:hideMark/>
          </w:tcPr>
          <w:p w14:paraId="4D434375" w14:textId="77777777" w:rsidR="00297375" w:rsidRPr="00F31693" w:rsidRDefault="0093474A" w:rsidP="002945D7">
            <w:pPr>
              <w:spacing w:after="0" w:line="240" w:lineRule="auto"/>
              <w:jc w:val="center"/>
              <w:rPr>
                <w:rFonts w:eastAsia="Times New Roman" w:cs="Arial"/>
                <w:color w:val="000000"/>
              </w:rPr>
            </w:pPr>
            <w:r w:rsidRPr="00F31693">
              <w:rPr>
                <w:rFonts w:eastAsia="Times New Roman" w:cs="Arial"/>
                <w:color w:val="000000"/>
              </w:rPr>
              <w:t>$13,147.67</w:t>
            </w:r>
          </w:p>
        </w:tc>
      </w:tr>
      <w:tr w:rsidR="00297375" w:rsidRPr="00F31693" w14:paraId="3D2E1D59" w14:textId="77777777" w:rsidTr="009D3548">
        <w:trPr>
          <w:trHeight w:val="255"/>
        </w:trPr>
        <w:tc>
          <w:tcPr>
            <w:tcW w:w="1940" w:type="dxa"/>
            <w:tcBorders>
              <w:top w:val="nil"/>
              <w:left w:val="nil"/>
              <w:bottom w:val="nil"/>
              <w:right w:val="nil"/>
            </w:tcBorders>
            <w:shd w:val="clear" w:color="auto" w:fill="auto"/>
            <w:noWrap/>
            <w:vAlign w:val="bottom"/>
            <w:hideMark/>
          </w:tcPr>
          <w:p w14:paraId="44F68DA9" w14:textId="77777777" w:rsidR="00297375" w:rsidRPr="00F31693" w:rsidRDefault="00297375" w:rsidP="00297375">
            <w:pPr>
              <w:spacing w:after="0" w:line="240" w:lineRule="auto"/>
              <w:rPr>
                <w:rFonts w:eastAsia="Times New Roman" w:cs="Arial"/>
                <w:color w:val="000000"/>
              </w:rPr>
            </w:pPr>
          </w:p>
        </w:tc>
        <w:tc>
          <w:tcPr>
            <w:tcW w:w="1219" w:type="dxa"/>
            <w:gridSpan w:val="2"/>
            <w:tcBorders>
              <w:top w:val="nil"/>
              <w:left w:val="nil"/>
              <w:bottom w:val="nil"/>
              <w:right w:val="nil"/>
            </w:tcBorders>
            <w:shd w:val="clear" w:color="auto" w:fill="auto"/>
            <w:noWrap/>
            <w:vAlign w:val="bottom"/>
            <w:hideMark/>
          </w:tcPr>
          <w:p w14:paraId="41A56A6E" w14:textId="77777777" w:rsidR="00297375" w:rsidRPr="00F31693" w:rsidRDefault="00297375" w:rsidP="002945D7">
            <w:pPr>
              <w:spacing w:after="0" w:line="240" w:lineRule="auto"/>
              <w:jc w:val="center"/>
              <w:rPr>
                <w:rFonts w:eastAsia="Times New Roman" w:cs="Arial"/>
                <w:color w:val="000000"/>
              </w:rPr>
            </w:pPr>
          </w:p>
        </w:tc>
        <w:tc>
          <w:tcPr>
            <w:tcW w:w="1219" w:type="dxa"/>
            <w:gridSpan w:val="2"/>
            <w:tcBorders>
              <w:top w:val="nil"/>
              <w:left w:val="nil"/>
              <w:bottom w:val="nil"/>
              <w:right w:val="nil"/>
            </w:tcBorders>
            <w:shd w:val="clear" w:color="auto" w:fill="auto"/>
            <w:noWrap/>
            <w:vAlign w:val="bottom"/>
            <w:hideMark/>
          </w:tcPr>
          <w:p w14:paraId="01F0D63B" w14:textId="77777777" w:rsidR="00297375" w:rsidRPr="00F31693" w:rsidRDefault="00297375" w:rsidP="002945D7">
            <w:pPr>
              <w:spacing w:after="0" w:line="240" w:lineRule="auto"/>
              <w:jc w:val="center"/>
              <w:rPr>
                <w:rFonts w:eastAsia="Times New Roman" w:cs="Arial"/>
                <w:color w:val="000000"/>
              </w:rPr>
            </w:pPr>
          </w:p>
        </w:tc>
        <w:tc>
          <w:tcPr>
            <w:tcW w:w="1300" w:type="dxa"/>
            <w:gridSpan w:val="2"/>
            <w:tcBorders>
              <w:top w:val="nil"/>
              <w:left w:val="nil"/>
              <w:bottom w:val="nil"/>
              <w:right w:val="nil"/>
            </w:tcBorders>
            <w:shd w:val="clear" w:color="auto" w:fill="auto"/>
            <w:noWrap/>
            <w:vAlign w:val="bottom"/>
            <w:hideMark/>
          </w:tcPr>
          <w:p w14:paraId="0F5747DD" w14:textId="77777777" w:rsidR="00297375" w:rsidRPr="00F31693" w:rsidRDefault="00297375" w:rsidP="002945D7">
            <w:pPr>
              <w:spacing w:after="0" w:line="240" w:lineRule="auto"/>
              <w:jc w:val="center"/>
              <w:rPr>
                <w:rFonts w:eastAsia="Times New Roman" w:cs="Arial"/>
                <w:color w:val="000000"/>
              </w:rPr>
            </w:pPr>
          </w:p>
        </w:tc>
        <w:tc>
          <w:tcPr>
            <w:tcW w:w="1480" w:type="dxa"/>
            <w:tcBorders>
              <w:top w:val="nil"/>
              <w:left w:val="nil"/>
              <w:bottom w:val="nil"/>
              <w:right w:val="nil"/>
            </w:tcBorders>
            <w:shd w:val="clear" w:color="auto" w:fill="auto"/>
            <w:noWrap/>
            <w:vAlign w:val="bottom"/>
            <w:hideMark/>
          </w:tcPr>
          <w:p w14:paraId="226CA622" w14:textId="77777777" w:rsidR="00297375" w:rsidRPr="00F31693" w:rsidRDefault="00297375" w:rsidP="002945D7">
            <w:pPr>
              <w:spacing w:after="0" w:line="240" w:lineRule="auto"/>
              <w:jc w:val="center"/>
              <w:rPr>
                <w:rFonts w:eastAsia="Times New Roman" w:cs="Arial"/>
                <w:color w:val="000000"/>
              </w:rPr>
            </w:pPr>
          </w:p>
        </w:tc>
      </w:tr>
      <w:tr w:rsidR="00297375" w:rsidRPr="00F31693" w14:paraId="0E431536" w14:textId="77777777" w:rsidTr="0093474A">
        <w:trPr>
          <w:trHeight w:val="504"/>
        </w:trPr>
        <w:tc>
          <w:tcPr>
            <w:tcW w:w="1940" w:type="dxa"/>
            <w:tcBorders>
              <w:top w:val="nil"/>
              <w:left w:val="nil"/>
              <w:bottom w:val="nil"/>
              <w:right w:val="nil"/>
            </w:tcBorders>
            <w:shd w:val="clear" w:color="auto" w:fill="auto"/>
            <w:noWrap/>
            <w:vAlign w:val="bottom"/>
            <w:hideMark/>
          </w:tcPr>
          <w:p w14:paraId="2D28C59C" w14:textId="77777777" w:rsidR="001C423B" w:rsidRPr="00F31693" w:rsidRDefault="001C423B" w:rsidP="0093474A">
            <w:pPr>
              <w:spacing w:after="0" w:line="240" w:lineRule="auto"/>
              <w:rPr>
                <w:rFonts w:eastAsia="Times New Roman" w:cs="Arial"/>
                <w:color w:val="000000"/>
              </w:rPr>
            </w:pPr>
            <w:r w:rsidRPr="00F31693">
              <w:rPr>
                <w:rFonts w:eastAsia="Times New Roman" w:cs="Arial"/>
                <w:b/>
                <w:color w:val="000000"/>
                <w:u w:val="single"/>
              </w:rPr>
              <w:t>Total</w:t>
            </w:r>
            <w:r w:rsidR="00966E84" w:rsidRPr="00F31693">
              <w:rPr>
                <w:rFonts w:eastAsia="Times New Roman" w:cs="Arial"/>
                <w:b/>
                <w:color w:val="000000"/>
                <w:u w:val="single"/>
              </w:rPr>
              <w:t xml:space="preserve"> Amount of</w:t>
            </w:r>
            <w:r w:rsidRPr="00F31693">
              <w:rPr>
                <w:rFonts w:eastAsia="Times New Roman" w:cs="Arial"/>
                <w:b/>
                <w:color w:val="000000"/>
                <w:u w:val="single"/>
              </w:rPr>
              <w:t xml:space="preserve"> FY Fraud Claims</w:t>
            </w:r>
          </w:p>
        </w:tc>
        <w:tc>
          <w:tcPr>
            <w:tcW w:w="1219" w:type="dxa"/>
            <w:gridSpan w:val="2"/>
            <w:tcBorders>
              <w:top w:val="nil"/>
              <w:left w:val="nil"/>
              <w:bottom w:val="nil"/>
              <w:right w:val="nil"/>
            </w:tcBorders>
            <w:shd w:val="clear" w:color="auto" w:fill="auto"/>
            <w:noWrap/>
            <w:vAlign w:val="bottom"/>
            <w:hideMark/>
          </w:tcPr>
          <w:p w14:paraId="1031C931" w14:textId="77777777" w:rsidR="00297375" w:rsidRPr="00F31693" w:rsidRDefault="00297375" w:rsidP="002945D7">
            <w:pPr>
              <w:pStyle w:val="NoSpacing"/>
              <w:jc w:val="center"/>
            </w:pPr>
          </w:p>
        </w:tc>
        <w:tc>
          <w:tcPr>
            <w:tcW w:w="1219" w:type="dxa"/>
            <w:gridSpan w:val="2"/>
            <w:tcBorders>
              <w:top w:val="nil"/>
              <w:left w:val="nil"/>
              <w:bottom w:val="nil"/>
              <w:right w:val="nil"/>
            </w:tcBorders>
            <w:shd w:val="clear" w:color="auto" w:fill="auto"/>
            <w:noWrap/>
            <w:vAlign w:val="bottom"/>
            <w:hideMark/>
          </w:tcPr>
          <w:p w14:paraId="61001645" w14:textId="77777777" w:rsidR="00297375" w:rsidRPr="00F31693" w:rsidRDefault="00297375" w:rsidP="002945D7">
            <w:pPr>
              <w:spacing w:after="0" w:line="240" w:lineRule="auto"/>
              <w:jc w:val="center"/>
              <w:rPr>
                <w:rFonts w:eastAsia="Times New Roman" w:cs="Arial"/>
                <w:color w:val="000000"/>
              </w:rPr>
            </w:pPr>
          </w:p>
        </w:tc>
        <w:tc>
          <w:tcPr>
            <w:tcW w:w="1300" w:type="dxa"/>
            <w:gridSpan w:val="2"/>
            <w:tcBorders>
              <w:top w:val="nil"/>
              <w:left w:val="nil"/>
              <w:bottom w:val="nil"/>
              <w:right w:val="nil"/>
            </w:tcBorders>
            <w:shd w:val="clear" w:color="auto" w:fill="auto"/>
            <w:noWrap/>
            <w:vAlign w:val="bottom"/>
            <w:hideMark/>
          </w:tcPr>
          <w:p w14:paraId="5B633B1E" w14:textId="77777777" w:rsidR="00297375" w:rsidRPr="00F31693" w:rsidRDefault="00297375" w:rsidP="002945D7">
            <w:pPr>
              <w:spacing w:after="0" w:line="240" w:lineRule="auto"/>
              <w:jc w:val="center"/>
              <w:rPr>
                <w:rFonts w:eastAsia="Times New Roman" w:cs="Arial"/>
                <w:color w:val="000000"/>
              </w:rPr>
            </w:pPr>
          </w:p>
        </w:tc>
        <w:tc>
          <w:tcPr>
            <w:tcW w:w="1480" w:type="dxa"/>
            <w:tcBorders>
              <w:top w:val="nil"/>
              <w:left w:val="nil"/>
              <w:bottom w:val="nil"/>
              <w:right w:val="nil"/>
            </w:tcBorders>
            <w:shd w:val="clear" w:color="auto" w:fill="auto"/>
            <w:noWrap/>
            <w:vAlign w:val="bottom"/>
            <w:hideMark/>
          </w:tcPr>
          <w:p w14:paraId="08DFD6E0" w14:textId="77777777" w:rsidR="00297375" w:rsidRPr="00F31693" w:rsidRDefault="00297375" w:rsidP="002945D7">
            <w:pPr>
              <w:spacing w:after="0" w:line="240" w:lineRule="auto"/>
              <w:jc w:val="center"/>
              <w:rPr>
                <w:rFonts w:eastAsia="Times New Roman" w:cs="Arial"/>
                <w:color w:val="000000"/>
              </w:rPr>
            </w:pPr>
          </w:p>
        </w:tc>
      </w:tr>
      <w:tr w:rsidR="00297375" w:rsidRPr="00F31693" w14:paraId="6F13BF44" w14:textId="77777777" w:rsidTr="009D3548">
        <w:trPr>
          <w:trHeight w:val="510"/>
        </w:trPr>
        <w:tc>
          <w:tcPr>
            <w:tcW w:w="1940" w:type="dxa"/>
            <w:tcBorders>
              <w:top w:val="nil"/>
              <w:left w:val="nil"/>
              <w:bottom w:val="single" w:sz="4" w:space="0" w:color="auto"/>
              <w:right w:val="single" w:sz="4" w:space="0" w:color="auto"/>
            </w:tcBorders>
            <w:shd w:val="clear" w:color="auto" w:fill="auto"/>
            <w:noWrap/>
            <w:vAlign w:val="bottom"/>
            <w:hideMark/>
          </w:tcPr>
          <w:p w14:paraId="3E91772F" w14:textId="77777777" w:rsidR="00297375" w:rsidRPr="00F31693" w:rsidRDefault="00297375" w:rsidP="00297375">
            <w:pPr>
              <w:spacing w:after="0" w:line="240" w:lineRule="auto"/>
              <w:rPr>
                <w:rFonts w:eastAsia="Times New Roman" w:cs="Arial"/>
                <w:color w:val="000000"/>
              </w:rPr>
            </w:pPr>
            <w:r w:rsidRPr="00F31693">
              <w:rPr>
                <w:rFonts w:eastAsia="Times New Roman" w:cs="Arial"/>
                <w:color w:val="000000"/>
              </w:rPr>
              <w:t> </w:t>
            </w:r>
          </w:p>
        </w:tc>
        <w:tc>
          <w:tcPr>
            <w:tcW w:w="12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D96133F" w14:textId="77777777" w:rsidR="00297375" w:rsidRPr="00F31693" w:rsidRDefault="00297375" w:rsidP="00670E6C">
            <w:pPr>
              <w:spacing w:after="0" w:line="240" w:lineRule="auto"/>
              <w:jc w:val="center"/>
              <w:rPr>
                <w:rFonts w:eastAsia="Times New Roman" w:cs="Arial"/>
                <w:b/>
                <w:bCs/>
                <w:color w:val="000000"/>
              </w:rPr>
            </w:pPr>
            <w:r w:rsidRPr="00F31693">
              <w:rPr>
                <w:rFonts w:eastAsia="Times New Roman" w:cs="Arial"/>
                <w:b/>
                <w:bCs/>
                <w:color w:val="000000"/>
              </w:rPr>
              <w:t>FY</w:t>
            </w:r>
            <w:r w:rsidR="00DF49A8">
              <w:rPr>
                <w:rFonts w:eastAsia="Times New Roman" w:cs="Arial"/>
                <w:b/>
                <w:bCs/>
                <w:color w:val="000000"/>
              </w:rPr>
              <w:t>E</w:t>
            </w:r>
            <w:r w:rsidRPr="00F31693">
              <w:rPr>
                <w:rFonts w:eastAsia="Times New Roman" w:cs="Arial"/>
                <w:b/>
                <w:bCs/>
                <w:color w:val="000000"/>
              </w:rPr>
              <w:t xml:space="preserve"> 201</w:t>
            </w:r>
            <w:r w:rsidR="00670E6C" w:rsidRPr="00F31693">
              <w:rPr>
                <w:rFonts w:eastAsia="Times New Roman" w:cs="Arial"/>
                <w:b/>
                <w:bCs/>
                <w:color w:val="000000"/>
              </w:rPr>
              <w:t>6</w:t>
            </w:r>
          </w:p>
        </w:tc>
        <w:tc>
          <w:tcPr>
            <w:tcW w:w="12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16D5B89" w14:textId="77777777" w:rsidR="00297375" w:rsidRPr="00F31693" w:rsidRDefault="00670E6C" w:rsidP="002945D7">
            <w:pPr>
              <w:spacing w:after="0" w:line="240" w:lineRule="auto"/>
              <w:jc w:val="center"/>
              <w:rPr>
                <w:rFonts w:eastAsia="Times New Roman" w:cs="Arial"/>
                <w:b/>
                <w:bCs/>
                <w:color w:val="000000"/>
              </w:rPr>
            </w:pPr>
            <w:r w:rsidRPr="00F31693">
              <w:rPr>
                <w:rFonts w:eastAsia="Times New Roman" w:cs="Arial"/>
                <w:b/>
                <w:bCs/>
                <w:color w:val="000000"/>
              </w:rPr>
              <w:t>FY</w:t>
            </w:r>
            <w:r w:rsidR="00DF49A8">
              <w:rPr>
                <w:rFonts w:eastAsia="Times New Roman" w:cs="Arial"/>
                <w:b/>
                <w:bCs/>
                <w:color w:val="000000"/>
              </w:rPr>
              <w:t>E</w:t>
            </w:r>
            <w:r w:rsidRPr="00F31693">
              <w:rPr>
                <w:rFonts w:eastAsia="Times New Roman" w:cs="Arial"/>
                <w:b/>
                <w:bCs/>
                <w:color w:val="000000"/>
              </w:rPr>
              <w:t xml:space="preserve"> 2015</w:t>
            </w:r>
          </w:p>
        </w:tc>
        <w:tc>
          <w:tcPr>
            <w:tcW w:w="13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B5D7627" w14:textId="77777777" w:rsidR="00297375" w:rsidRPr="00F31693" w:rsidRDefault="00297375" w:rsidP="002945D7">
            <w:pPr>
              <w:spacing w:after="0" w:line="240" w:lineRule="auto"/>
              <w:jc w:val="center"/>
              <w:rPr>
                <w:rFonts w:eastAsia="Times New Roman" w:cs="Arial"/>
                <w:b/>
                <w:bCs/>
                <w:color w:val="000000"/>
              </w:rPr>
            </w:pPr>
            <w:r w:rsidRPr="00F31693">
              <w:rPr>
                <w:rFonts w:eastAsia="Times New Roman" w:cs="Arial"/>
                <w:b/>
                <w:bCs/>
                <w:color w:val="000000"/>
              </w:rPr>
              <w:t>Increase</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14:paraId="5B8A98C6" w14:textId="77777777" w:rsidR="00297375" w:rsidRPr="00F31693" w:rsidRDefault="00297375" w:rsidP="002945D7">
            <w:pPr>
              <w:spacing w:after="0" w:line="240" w:lineRule="auto"/>
              <w:jc w:val="center"/>
              <w:rPr>
                <w:rFonts w:eastAsia="Times New Roman" w:cs="Arial"/>
                <w:b/>
                <w:bCs/>
                <w:color w:val="000000"/>
              </w:rPr>
            </w:pPr>
            <w:r w:rsidRPr="00F31693">
              <w:rPr>
                <w:rFonts w:eastAsia="Times New Roman" w:cs="Arial"/>
                <w:b/>
                <w:bCs/>
                <w:color w:val="000000"/>
              </w:rPr>
              <w:t xml:space="preserve">Percent </w:t>
            </w:r>
            <w:r w:rsidRPr="00F31693">
              <w:rPr>
                <w:rFonts w:eastAsia="Times New Roman" w:cs="Arial"/>
                <w:b/>
                <w:bCs/>
                <w:color w:val="000000"/>
              </w:rPr>
              <w:br/>
              <w:t>Increase</w:t>
            </w:r>
          </w:p>
        </w:tc>
      </w:tr>
      <w:tr w:rsidR="00297375" w:rsidRPr="00F31693" w14:paraId="4D2A524F" w14:textId="77777777" w:rsidTr="009D3548">
        <w:trPr>
          <w:trHeight w:val="255"/>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39D7DA6" w14:textId="77777777" w:rsidR="00297375" w:rsidRPr="00F31693" w:rsidRDefault="00297375" w:rsidP="00297375">
            <w:pPr>
              <w:spacing w:after="0" w:line="240" w:lineRule="auto"/>
              <w:rPr>
                <w:rFonts w:eastAsia="Times New Roman" w:cs="Arial"/>
                <w:b/>
                <w:bCs/>
                <w:color w:val="000000"/>
              </w:rPr>
            </w:pPr>
            <w:r w:rsidRPr="00F31693">
              <w:rPr>
                <w:rFonts w:eastAsia="Times New Roman" w:cs="Arial"/>
                <w:b/>
                <w:bCs/>
                <w:color w:val="000000"/>
              </w:rPr>
              <w:t>Fraud Claims Total</w:t>
            </w:r>
          </w:p>
        </w:tc>
        <w:tc>
          <w:tcPr>
            <w:tcW w:w="1219" w:type="dxa"/>
            <w:gridSpan w:val="2"/>
            <w:tcBorders>
              <w:top w:val="nil"/>
              <w:left w:val="nil"/>
              <w:bottom w:val="single" w:sz="4" w:space="0" w:color="auto"/>
              <w:right w:val="single" w:sz="4" w:space="0" w:color="auto"/>
            </w:tcBorders>
            <w:shd w:val="clear" w:color="auto" w:fill="auto"/>
            <w:noWrap/>
            <w:vAlign w:val="bottom"/>
            <w:hideMark/>
          </w:tcPr>
          <w:p w14:paraId="2BEA4384" w14:textId="77777777" w:rsidR="00297375" w:rsidRPr="00F31693" w:rsidRDefault="00996E54" w:rsidP="004C3EDB">
            <w:pPr>
              <w:spacing w:after="0" w:line="240" w:lineRule="auto"/>
              <w:jc w:val="center"/>
              <w:rPr>
                <w:rFonts w:eastAsia="Times New Roman" w:cs="Arial"/>
                <w:color w:val="000000"/>
              </w:rPr>
            </w:pPr>
            <w:r w:rsidRPr="00F31693">
              <w:rPr>
                <w:rFonts w:eastAsia="Times New Roman" w:cs="Arial"/>
                <w:color w:val="000000"/>
              </w:rPr>
              <w:t>$30,951.53</w:t>
            </w:r>
          </w:p>
        </w:tc>
        <w:tc>
          <w:tcPr>
            <w:tcW w:w="1219" w:type="dxa"/>
            <w:gridSpan w:val="2"/>
            <w:tcBorders>
              <w:top w:val="nil"/>
              <w:left w:val="nil"/>
              <w:bottom w:val="single" w:sz="4" w:space="0" w:color="auto"/>
              <w:right w:val="single" w:sz="4" w:space="0" w:color="auto"/>
            </w:tcBorders>
            <w:shd w:val="clear" w:color="auto" w:fill="auto"/>
            <w:noWrap/>
            <w:vAlign w:val="bottom"/>
            <w:hideMark/>
          </w:tcPr>
          <w:p w14:paraId="552CDC3E" w14:textId="77777777" w:rsidR="00297375" w:rsidRPr="00F31693" w:rsidRDefault="00996E54" w:rsidP="002945D7">
            <w:pPr>
              <w:spacing w:after="0" w:line="240" w:lineRule="auto"/>
              <w:jc w:val="center"/>
              <w:rPr>
                <w:rFonts w:eastAsia="Times New Roman" w:cs="Arial"/>
                <w:color w:val="000000"/>
              </w:rPr>
            </w:pPr>
            <w:r w:rsidRPr="00F31693">
              <w:rPr>
                <w:rFonts w:eastAsia="Times New Roman" w:cs="Arial"/>
                <w:color w:val="000000"/>
              </w:rPr>
              <w:t>$25,420.53</w:t>
            </w:r>
          </w:p>
        </w:tc>
        <w:tc>
          <w:tcPr>
            <w:tcW w:w="1300" w:type="dxa"/>
            <w:gridSpan w:val="2"/>
            <w:tcBorders>
              <w:top w:val="nil"/>
              <w:left w:val="nil"/>
              <w:bottom w:val="single" w:sz="4" w:space="0" w:color="auto"/>
              <w:right w:val="single" w:sz="4" w:space="0" w:color="auto"/>
            </w:tcBorders>
            <w:shd w:val="clear" w:color="auto" w:fill="auto"/>
            <w:noWrap/>
            <w:vAlign w:val="bottom"/>
            <w:hideMark/>
          </w:tcPr>
          <w:p w14:paraId="350A26B1" w14:textId="77777777" w:rsidR="00297375" w:rsidRPr="00F31693" w:rsidRDefault="00966E84" w:rsidP="004C3EDB">
            <w:pPr>
              <w:spacing w:after="0" w:line="240" w:lineRule="auto"/>
              <w:jc w:val="center"/>
              <w:rPr>
                <w:rFonts w:eastAsia="Times New Roman" w:cs="Arial"/>
                <w:color w:val="000000"/>
              </w:rPr>
            </w:pPr>
            <w:r w:rsidRPr="00F31693">
              <w:rPr>
                <w:rFonts w:eastAsia="Times New Roman" w:cs="Arial"/>
                <w:color w:val="000000"/>
              </w:rPr>
              <w:t>$</w:t>
            </w:r>
            <w:r w:rsidR="00297375" w:rsidRPr="00F31693">
              <w:rPr>
                <w:rFonts w:eastAsia="Times New Roman" w:cs="Arial"/>
                <w:color w:val="000000"/>
              </w:rPr>
              <w:t>5,</w:t>
            </w:r>
            <w:r w:rsidR="004C3EDB" w:rsidRPr="00F31693">
              <w:rPr>
                <w:rFonts w:eastAsia="Times New Roman" w:cs="Arial"/>
                <w:color w:val="000000"/>
              </w:rPr>
              <w:t>501.00</w:t>
            </w:r>
          </w:p>
        </w:tc>
        <w:tc>
          <w:tcPr>
            <w:tcW w:w="1480" w:type="dxa"/>
            <w:tcBorders>
              <w:top w:val="nil"/>
              <w:left w:val="nil"/>
              <w:bottom w:val="single" w:sz="4" w:space="0" w:color="auto"/>
              <w:right w:val="single" w:sz="4" w:space="0" w:color="auto"/>
            </w:tcBorders>
            <w:shd w:val="clear" w:color="auto" w:fill="auto"/>
            <w:noWrap/>
            <w:vAlign w:val="bottom"/>
            <w:hideMark/>
          </w:tcPr>
          <w:p w14:paraId="617B2AEB" w14:textId="77777777" w:rsidR="00297375" w:rsidRPr="00F31693" w:rsidRDefault="00DC5ACB" w:rsidP="00DC5ACB">
            <w:pPr>
              <w:spacing w:after="0" w:line="240" w:lineRule="auto"/>
              <w:jc w:val="center"/>
              <w:rPr>
                <w:rFonts w:eastAsia="Times New Roman" w:cs="Arial"/>
                <w:color w:val="000000"/>
              </w:rPr>
            </w:pPr>
            <w:r w:rsidRPr="00F31693">
              <w:rPr>
                <w:rFonts w:eastAsia="Times New Roman" w:cs="Arial"/>
                <w:color w:val="000000"/>
              </w:rPr>
              <w:t>21.75</w:t>
            </w:r>
            <w:r w:rsidR="00297375" w:rsidRPr="00F31693">
              <w:rPr>
                <w:rFonts w:eastAsia="Times New Roman" w:cs="Arial"/>
                <w:color w:val="000000"/>
              </w:rPr>
              <w:t>%</w:t>
            </w:r>
          </w:p>
        </w:tc>
      </w:tr>
    </w:tbl>
    <w:p w14:paraId="6BA491D7" w14:textId="77777777" w:rsidR="00F5729D" w:rsidRPr="00F31693" w:rsidRDefault="00F5729D" w:rsidP="00FE6A1B">
      <w:pPr>
        <w:rPr>
          <w:b/>
        </w:rPr>
      </w:pPr>
      <w:r w:rsidRPr="00F31693">
        <w:rPr>
          <w:b/>
        </w:rPr>
        <w:lastRenderedPageBreak/>
        <w:t>Funds Transfer</w:t>
      </w:r>
    </w:p>
    <w:p w14:paraId="237BC996" w14:textId="77777777" w:rsidR="00FE6A1B" w:rsidRPr="00F31693" w:rsidRDefault="00FE6A1B" w:rsidP="00FE6A1B">
      <w:pPr>
        <w:rPr>
          <w:u w:val="single"/>
        </w:rPr>
      </w:pPr>
      <w:r w:rsidRPr="00F31693">
        <w:rPr>
          <w:b/>
          <w:u w:val="single"/>
        </w:rPr>
        <w:t>Wire Transfers</w:t>
      </w:r>
    </w:p>
    <w:p w14:paraId="5EF1494C" w14:textId="77777777" w:rsidR="00FE6A1B" w:rsidRPr="00F31693" w:rsidRDefault="00FE6A1B" w:rsidP="00FE6A1B">
      <w:r w:rsidRPr="00F31693">
        <w:t xml:space="preserve">The Bank considered the nature of fund transfer activity including customers, locations, frequency, and currency amounts. No transfers are performed for non-customers and foreign wire transfers for customers are performed on an incoming basis only. All wire transfers are also entered manually through FSI’s Patriot Officer Wire Transfer Module. This enables staff to ensure all Foreign Wire Transfers received through US correspondent financial institutions are entered as Foreign Wires in the system. Wire transfers are monitored through the Patriot Officer Anti-Money Laundering System.  </w:t>
      </w:r>
    </w:p>
    <w:p w14:paraId="6995BF39" w14:textId="77777777" w:rsidR="00FE6A1B" w:rsidRPr="00F31693" w:rsidRDefault="00FE6A1B" w:rsidP="00FE6A1B">
      <w:r w:rsidRPr="00F31693">
        <w:t xml:space="preserve">The Bank performs OFAC / Watch List Checks for all parties named on outgoing wire transfers which would include the receiving financial institution, beneficiary and any other individual or entity named in the wire transfer instructions before the wire transfer is processed. </w:t>
      </w:r>
    </w:p>
    <w:tbl>
      <w:tblPr>
        <w:tblW w:w="10540" w:type="dxa"/>
        <w:tblInd w:w="95" w:type="dxa"/>
        <w:tblLook w:val="04A0" w:firstRow="1" w:lastRow="0" w:firstColumn="1" w:lastColumn="0" w:noHBand="0" w:noVBand="1"/>
      </w:tblPr>
      <w:tblGrid>
        <w:gridCol w:w="2160"/>
        <w:gridCol w:w="2180"/>
        <w:gridCol w:w="2180"/>
        <w:gridCol w:w="1980"/>
        <w:gridCol w:w="2040"/>
      </w:tblGrid>
      <w:tr w:rsidR="00053A89" w:rsidRPr="00F31693" w14:paraId="26B33A4D" w14:textId="77777777" w:rsidTr="00053A89">
        <w:trPr>
          <w:trHeight w:val="255"/>
        </w:trPr>
        <w:tc>
          <w:tcPr>
            <w:tcW w:w="2160" w:type="dxa"/>
            <w:tcBorders>
              <w:top w:val="single" w:sz="4" w:space="0" w:color="auto"/>
              <w:left w:val="single" w:sz="4" w:space="0" w:color="auto"/>
              <w:bottom w:val="single" w:sz="4" w:space="0" w:color="auto"/>
              <w:right w:val="single" w:sz="4" w:space="0" w:color="auto"/>
            </w:tcBorders>
            <w:shd w:val="clear" w:color="auto" w:fill="auto"/>
            <w:noWrap/>
            <w:hideMark/>
          </w:tcPr>
          <w:p w14:paraId="30D5ED03" w14:textId="77777777" w:rsidR="00053A89" w:rsidRPr="00F31693" w:rsidRDefault="00053A89" w:rsidP="00B30367">
            <w:pPr>
              <w:spacing w:after="0" w:line="240" w:lineRule="auto"/>
              <w:jc w:val="center"/>
              <w:rPr>
                <w:rFonts w:eastAsia="Times New Roman" w:cs="Arial"/>
                <w:b/>
                <w:color w:val="000000"/>
              </w:rPr>
            </w:pPr>
            <w:r w:rsidRPr="00F31693">
              <w:rPr>
                <w:rFonts w:eastAsia="Times New Roman" w:cs="Arial"/>
                <w:b/>
                <w:color w:val="000000"/>
              </w:rPr>
              <w:t>FY</w:t>
            </w:r>
            <w:r w:rsidR="00DF49A8">
              <w:rPr>
                <w:rFonts w:eastAsia="Times New Roman" w:cs="Arial"/>
                <w:b/>
                <w:color w:val="000000"/>
              </w:rPr>
              <w:t>E</w:t>
            </w:r>
            <w:r w:rsidRPr="00F31693">
              <w:rPr>
                <w:rFonts w:eastAsia="Times New Roman" w:cs="Arial"/>
                <w:b/>
                <w:color w:val="000000"/>
              </w:rPr>
              <w:t xml:space="preserve"> 201</w:t>
            </w:r>
            <w:r w:rsidR="00B30367" w:rsidRPr="00F31693">
              <w:rPr>
                <w:rFonts w:eastAsia="Times New Roman" w:cs="Arial"/>
                <w:b/>
                <w:color w:val="000000"/>
              </w:rPr>
              <w:t>6</w:t>
            </w:r>
          </w:p>
        </w:tc>
        <w:tc>
          <w:tcPr>
            <w:tcW w:w="2180" w:type="dxa"/>
            <w:tcBorders>
              <w:top w:val="single" w:sz="4" w:space="0" w:color="auto"/>
              <w:left w:val="nil"/>
              <w:bottom w:val="single" w:sz="4" w:space="0" w:color="auto"/>
              <w:right w:val="single" w:sz="4" w:space="0" w:color="auto"/>
            </w:tcBorders>
            <w:shd w:val="clear" w:color="auto" w:fill="auto"/>
            <w:noWrap/>
            <w:hideMark/>
          </w:tcPr>
          <w:p w14:paraId="19F256DF" w14:textId="77777777" w:rsidR="00053A89" w:rsidRPr="00F31693" w:rsidRDefault="00053A89" w:rsidP="0023329D">
            <w:pPr>
              <w:spacing w:after="0" w:line="240" w:lineRule="auto"/>
              <w:jc w:val="center"/>
              <w:rPr>
                <w:rFonts w:eastAsia="Times New Roman" w:cs="Arial"/>
                <w:color w:val="000000"/>
              </w:rPr>
            </w:pPr>
          </w:p>
        </w:tc>
        <w:tc>
          <w:tcPr>
            <w:tcW w:w="2180" w:type="dxa"/>
            <w:tcBorders>
              <w:top w:val="single" w:sz="4" w:space="0" w:color="auto"/>
              <w:left w:val="nil"/>
              <w:bottom w:val="single" w:sz="4" w:space="0" w:color="auto"/>
              <w:right w:val="single" w:sz="4" w:space="0" w:color="auto"/>
            </w:tcBorders>
            <w:shd w:val="clear" w:color="auto" w:fill="auto"/>
            <w:noWrap/>
            <w:hideMark/>
          </w:tcPr>
          <w:p w14:paraId="00FB6722" w14:textId="77777777" w:rsidR="00053A89" w:rsidRPr="00F31693" w:rsidRDefault="00053A89" w:rsidP="0023329D">
            <w:pPr>
              <w:spacing w:after="0" w:line="240" w:lineRule="auto"/>
              <w:jc w:val="center"/>
              <w:rPr>
                <w:rFonts w:eastAsia="Times New Roman" w:cs="Arial"/>
                <w:color w:val="000000"/>
              </w:rPr>
            </w:pPr>
          </w:p>
        </w:tc>
        <w:tc>
          <w:tcPr>
            <w:tcW w:w="1980" w:type="dxa"/>
            <w:tcBorders>
              <w:top w:val="single" w:sz="4" w:space="0" w:color="auto"/>
              <w:left w:val="nil"/>
              <w:bottom w:val="single" w:sz="4" w:space="0" w:color="auto"/>
              <w:right w:val="single" w:sz="4" w:space="0" w:color="auto"/>
            </w:tcBorders>
            <w:shd w:val="clear" w:color="auto" w:fill="auto"/>
            <w:noWrap/>
            <w:hideMark/>
          </w:tcPr>
          <w:p w14:paraId="47B026B8" w14:textId="77777777" w:rsidR="00053A89" w:rsidRPr="00F31693" w:rsidRDefault="00053A89" w:rsidP="0023329D">
            <w:pPr>
              <w:spacing w:after="0" w:line="240" w:lineRule="auto"/>
              <w:jc w:val="center"/>
              <w:rPr>
                <w:rFonts w:eastAsia="Times New Roman" w:cs="Arial"/>
                <w:color w:val="000000"/>
              </w:rPr>
            </w:pPr>
          </w:p>
        </w:tc>
        <w:tc>
          <w:tcPr>
            <w:tcW w:w="2040" w:type="dxa"/>
            <w:tcBorders>
              <w:top w:val="single" w:sz="4" w:space="0" w:color="auto"/>
              <w:left w:val="nil"/>
              <w:bottom w:val="single" w:sz="4" w:space="0" w:color="auto"/>
              <w:right w:val="single" w:sz="4" w:space="0" w:color="auto"/>
            </w:tcBorders>
            <w:shd w:val="clear" w:color="auto" w:fill="auto"/>
            <w:noWrap/>
            <w:hideMark/>
          </w:tcPr>
          <w:p w14:paraId="4BCA307E" w14:textId="77777777" w:rsidR="00053A89" w:rsidRPr="00F31693" w:rsidRDefault="00053A89" w:rsidP="0023329D">
            <w:pPr>
              <w:spacing w:after="0" w:line="240" w:lineRule="auto"/>
              <w:jc w:val="center"/>
              <w:rPr>
                <w:rFonts w:eastAsia="Times New Roman" w:cs="Arial"/>
                <w:color w:val="000000"/>
              </w:rPr>
            </w:pPr>
          </w:p>
        </w:tc>
      </w:tr>
      <w:tr w:rsidR="00053A89" w:rsidRPr="00F31693" w14:paraId="0735F8DB" w14:textId="77777777" w:rsidTr="00053A89">
        <w:trPr>
          <w:trHeight w:val="225"/>
        </w:trPr>
        <w:tc>
          <w:tcPr>
            <w:tcW w:w="2160" w:type="dxa"/>
            <w:tcBorders>
              <w:top w:val="nil"/>
              <w:left w:val="single" w:sz="4" w:space="0" w:color="auto"/>
              <w:bottom w:val="single" w:sz="4" w:space="0" w:color="auto"/>
              <w:right w:val="single" w:sz="4" w:space="0" w:color="auto"/>
            </w:tcBorders>
            <w:shd w:val="clear" w:color="auto" w:fill="auto"/>
            <w:noWrap/>
            <w:hideMark/>
          </w:tcPr>
          <w:p w14:paraId="44D05E5C" w14:textId="77777777" w:rsidR="00053A89" w:rsidRPr="00F31693" w:rsidRDefault="00053A89" w:rsidP="0023329D">
            <w:pPr>
              <w:spacing w:after="0" w:line="240" w:lineRule="auto"/>
              <w:jc w:val="center"/>
              <w:rPr>
                <w:rFonts w:eastAsia="Times New Roman" w:cs="Arial"/>
                <w:b/>
                <w:color w:val="000000"/>
              </w:rPr>
            </w:pPr>
            <w:r w:rsidRPr="00F31693">
              <w:rPr>
                <w:rFonts w:eastAsia="Times New Roman" w:cs="Arial"/>
                <w:b/>
                <w:color w:val="000000"/>
              </w:rPr>
              <w:t>COUNTRY</w:t>
            </w:r>
          </w:p>
        </w:tc>
        <w:tc>
          <w:tcPr>
            <w:tcW w:w="2180" w:type="dxa"/>
            <w:tcBorders>
              <w:top w:val="nil"/>
              <w:left w:val="nil"/>
              <w:bottom w:val="single" w:sz="4" w:space="0" w:color="auto"/>
              <w:right w:val="single" w:sz="4" w:space="0" w:color="auto"/>
            </w:tcBorders>
            <w:shd w:val="clear" w:color="auto" w:fill="auto"/>
            <w:noWrap/>
            <w:hideMark/>
          </w:tcPr>
          <w:p w14:paraId="08C0C6B8" w14:textId="77777777" w:rsidR="00053A89" w:rsidRPr="00F31693" w:rsidRDefault="00053A89" w:rsidP="0023329D">
            <w:pPr>
              <w:spacing w:after="0" w:line="240" w:lineRule="auto"/>
              <w:jc w:val="center"/>
              <w:rPr>
                <w:rFonts w:eastAsia="Times New Roman" w:cs="Arial"/>
                <w:b/>
                <w:color w:val="000000"/>
              </w:rPr>
            </w:pPr>
            <w:r w:rsidRPr="00F31693">
              <w:rPr>
                <w:rFonts w:eastAsia="Times New Roman" w:cs="Arial"/>
                <w:b/>
                <w:color w:val="000000"/>
              </w:rPr>
              <w:t>INCOMING COUNT</w:t>
            </w:r>
          </w:p>
        </w:tc>
        <w:tc>
          <w:tcPr>
            <w:tcW w:w="2180" w:type="dxa"/>
            <w:tcBorders>
              <w:top w:val="nil"/>
              <w:left w:val="nil"/>
              <w:bottom w:val="single" w:sz="4" w:space="0" w:color="auto"/>
              <w:right w:val="single" w:sz="4" w:space="0" w:color="auto"/>
            </w:tcBorders>
            <w:shd w:val="clear" w:color="auto" w:fill="auto"/>
            <w:noWrap/>
            <w:hideMark/>
          </w:tcPr>
          <w:p w14:paraId="66942568" w14:textId="77777777" w:rsidR="00053A89" w:rsidRPr="00F31693" w:rsidRDefault="00053A89" w:rsidP="0023329D">
            <w:pPr>
              <w:spacing w:after="0" w:line="240" w:lineRule="auto"/>
              <w:jc w:val="center"/>
              <w:rPr>
                <w:rFonts w:eastAsia="Times New Roman" w:cs="Arial"/>
                <w:b/>
                <w:color w:val="000000"/>
              </w:rPr>
            </w:pPr>
            <w:r w:rsidRPr="00F31693">
              <w:rPr>
                <w:rFonts w:eastAsia="Times New Roman" w:cs="Arial"/>
                <w:b/>
                <w:color w:val="000000"/>
              </w:rPr>
              <w:t>OUTGOING COUNT</w:t>
            </w:r>
          </w:p>
        </w:tc>
        <w:tc>
          <w:tcPr>
            <w:tcW w:w="1980" w:type="dxa"/>
            <w:tcBorders>
              <w:top w:val="nil"/>
              <w:left w:val="nil"/>
              <w:bottom w:val="single" w:sz="4" w:space="0" w:color="auto"/>
              <w:right w:val="single" w:sz="4" w:space="0" w:color="auto"/>
            </w:tcBorders>
            <w:shd w:val="clear" w:color="auto" w:fill="auto"/>
            <w:noWrap/>
            <w:hideMark/>
          </w:tcPr>
          <w:p w14:paraId="5C6BF932" w14:textId="77777777" w:rsidR="00053A89" w:rsidRPr="00F31693" w:rsidRDefault="00053A89" w:rsidP="0023329D">
            <w:pPr>
              <w:spacing w:after="0" w:line="240" w:lineRule="auto"/>
              <w:jc w:val="center"/>
              <w:rPr>
                <w:rFonts w:eastAsia="Times New Roman" w:cs="Arial"/>
                <w:b/>
                <w:color w:val="000000"/>
              </w:rPr>
            </w:pPr>
            <w:r w:rsidRPr="00F31693">
              <w:rPr>
                <w:rFonts w:eastAsia="Times New Roman" w:cs="Arial"/>
                <w:b/>
                <w:color w:val="000000"/>
              </w:rPr>
              <w:t>INCOMING AMOUNT</w:t>
            </w:r>
          </w:p>
        </w:tc>
        <w:tc>
          <w:tcPr>
            <w:tcW w:w="2040" w:type="dxa"/>
            <w:tcBorders>
              <w:top w:val="nil"/>
              <w:left w:val="nil"/>
              <w:bottom w:val="single" w:sz="4" w:space="0" w:color="auto"/>
              <w:right w:val="single" w:sz="4" w:space="0" w:color="auto"/>
            </w:tcBorders>
            <w:shd w:val="clear" w:color="auto" w:fill="auto"/>
            <w:noWrap/>
            <w:hideMark/>
          </w:tcPr>
          <w:p w14:paraId="3543DB04" w14:textId="77777777" w:rsidR="00053A89" w:rsidRPr="00F31693" w:rsidRDefault="00053A89" w:rsidP="0023329D">
            <w:pPr>
              <w:spacing w:after="0" w:line="240" w:lineRule="auto"/>
              <w:jc w:val="center"/>
              <w:rPr>
                <w:rFonts w:eastAsia="Times New Roman" w:cs="Arial"/>
                <w:b/>
                <w:color w:val="000000"/>
              </w:rPr>
            </w:pPr>
            <w:r w:rsidRPr="00F31693">
              <w:rPr>
                <w:rFonts w:eastAsia="Times New Roman" w:cs="Arial"/>
                <w:b/>
                <w:color w:val="000000"/>
              </w:rPr>
              <w:t>OUTGOING AMOUNT</w:t>
            </w:r>
          </w:p>
        </w:tc>
      </w:tr>
      <w:tr w:rsidR="00053A89" w:rsidRPr="00F31693" w14:paraId="22B97E0E" w14:textId="77777777" w:rsidTr="00053A89">
        <w:trPr>
          <w:trHeight w:val="225"/>
        </w:trPr>
        <w:tc>
          <w:tcPr>
            <w:tcW w:w="2160" w:type="dxa"/>
            <w:tcBorders>
              <w:top w:val="nil"/>
              <w:left w:val="single" w:sz="4" w:space="0" w:color="auto"/>
              <w:bottom w:val="single" w:sz="4" w:space="0" w:color="auto"/>
              <w:right w:val="single" w:sz="4" w:space="0" w:color="auto"/>
            </w:tcBorders>
            <w:shd w:val="clear" w:color="auto" w:fill="auto"/>
            <w:noWrap/>
            <w:hideMark/>
          </w:tcPr>
          <w:p w14:paraId="3C989937" w14:textId="77777777" w:rsidR="00053A89" w:rsidRPr="00F31693" w:rsidRDefault="00053A89" w:rsidP="00053A89">
            <w:pPr>
              <w:spacing w:after="0" w:line="240" w:lineRule="auto"/>
              <w:rPr>
                <w:rFonts w:eastAsia="Times New Roman" w:cs="Arial"/>
                <w:b/>
                <w:color w:val="000000"/>
              </w:rPr>
            </w:pPr>
            <w:r w:rsidRPr="00F31693">
              <w:rPr>
                <w:rFonts w:eastAsia="Times New Roman" w:cs="Arial"/>
                <w:b/>
                <w:color w:val="000000"/>
              </w:rPr>
              <w:t>US</w:t>
            </w:r>
          </w:p>
        </w:tc>
        <w:tc>
          <w:tcPr>
            <w:tcW w:w="2180" w:type="dxa"/>
            <w:tcBorders>
              <w:top w:val="nil"/>
              <w:left w:val="nil"/>
              <w:bottom w:val="single" w:sz="4" w:space="0" w:color="auto"/>
              <w:right w:val="single" w:sz="4" w:space="0" w:color="auto"/>
            </w:tcBorders>
            <w:shd w:val="clear" w:color="auto" w:fill="auto"/>
            <w:noWrap/>
            <w:hideMark/>
          </w:tcPr>
          <w:p w14:paraId="453A9A89" w14:textId="77777777" w:rsidR="00053A89" w:rsidRPr="00F31693" w:rsidRDefault="00B30367" w:rsidP="007B7693">
            <w:pPr>
              <w:spacing w:after="0" w:line="240" w:lineRule="auto"/>
              <w:jc w:val="center"/>
              <w:rPr>
                <w:rFonts w:eastAsia="Times New Roman" w:cs="Arial"/>
                <w:color w:val="000000"/>
              </w:rPr>
            </w:pPr>
            <w:r w:rsidRPr="00F31693">
              <w:rPr>
                <w:rFonts w:eastAsia="Times New Roman" w:cs="Arial"/>
                <w:color w:val="000000"/>
              </w:rPr>
              <w:t>2,618</w:t>
            </w:r>
          </w:p>
        </w:tc>
        <w:tc>
          <w:tcPr>
            <w:tcW w:w="2180" w:type="dxa"/>
            <w:tcBorders>
              <w:top w:val="nil"/>
              <w:left w:val="nil"/>
              <w:bottom w:val="single" w:sz="4" w:space="0" w:color="auto"/>
              <w:right w:val="single" w:sz="4" w:space="0" w:color="auto"/>
            </w:tcBorders>
            <w:shd w:val="clear" w:color="auto" w:fill="auto"/>
            <w:noWrap/>
            <w:hideMark/>
          </w:tcPr>
          <w:p w14:paraId="74476583" w14:textId="77777777" w:rsidR="00053A89" w:rsidRPr="00F31693" w:rsidRDefault="00B30367" w:rsidP="007B7693">
            <w:pPr>
              <w:spacing w:after="0" w:line="240" w:lineRule="auto"/>
              <w:jc w:val="center"/>
              <w:rPr>
                <w:rFonts w:eastAsia="Times New Roman" w:cs="Arial"/>
                <w:color w:val="000000"/>
              </w:rPr>
            </w:pPr>
            <w:r w:rsidRPr="00F31693">
              <w:rPr>
                <w:rFonts w:eastAsia="Times New Roman" w:cs="Arial"/>
                <w:color w:val="000000"/>
              </w:rPr>
              <w:t>2,662</w:t>
            </w:r>
          </w:p>
        </w:tc>
        <w:tc>
          <w:tcPr>
            <w:tcW w:w="1980" w:type="dxa"/>
            <w:tcBorders>
              <w:top w:val="nil"/>
              <w:left w:val="nil"/>
              <w:bottom w:val="single" w:sz="4" w:space="0" w:color="auto"/>
              <w:right w:val="single" w:sz="4" w:space="0" w:color="auto"/>
            </w:tcBorders>
            <w:shd w:val="clear" w:color="auto" w:fill="auto"/>
            <w:noWrap/>
            <w:hideMark/>
          </w:tcPr>
          <w:p w14:paraId="720E5A6F" w14:textId="77777777" w:rsidR="00053A89" w:rsidRPr="00F31693" w:rsidRDefault="00B30367" w:rsidP="007B7693">
            <w:pPr>
              <w:spacing w:after="0" w:line="240" w:lineRule="auto"/>
              <w:jc w:val="center"/>
              <w:rPr>
                <w:rFonts w:eastAsia="Times New Roman" w:cs="Arial"/>
                <w:color w:val="000000"/>
              </w:rPr>
            </w:pPr>
            <w:r w:rsidRPr="00F31693">
              <w:rPr>
                <w:rFonts w:eastAsia="Times New Roman" w:cs="Arial"/>
                <w:color w:val="000000"/>
              </w:rPr>
              <w:t>$3,432,115,601.06</w:t>
            </w:r>
          </w:p>
        </w:tc>
        <w:tc>
          <w:tcPr>
            <w:tcW w:w="2040" w:type="dxa"/>
            <w:tcBorders>
              <w:top w:val="nil"/>
              <w:left w:val="nil"/>
              <w:bottom w:val="single" w:sz="4" w:space="0" w:color="auto"/>
              <w:right w:val="single" w:sz="4" w:space="0" w:color="auto"/>
            </w:tcBorders>
            <w:shd w:val="clear" w:color="auto" w:fill="auto"/>
            <w:noWrap/>
            <w:hideMark/>
          </w:tcPr>
          <w:p w14:paraId="2BB03A4E" w14:textId="77777777" w:rsidR="00053A89" w:rsidRPr="00F31693" w:rsidRDefault="00B30367" w:rsidP="007B7693">
            <w:pPr>
              <w:spacing w:after="0" w:line="240" w:lineRule="auto"/>
              <w:jc w:val="center"/>
              <w:rPr>
                <w:rFonts w:eastAsia="Times New Roman" w:cs="Arial"/>
                <w:color w:val="000000"/>
              </w:rPr>
            </w:pPr>
            <w:r w:rsidRPr="00F31693">
              <w:rPr>
                <w:rFonts w:eastAsia="Times New Roman" w:cs="Arial"/>
                <w:color w:val="000000"/>
              </w:rPr>
              <w:t>$2,565,209,009.85</w:t>
            </w:r>
          </w:p>
        </w:tc>
      </w:tr>
    </w:tbl>
    <w:p w14:paraId="4125B002" w14:textId="77777777" w:rsidR="00053A89" w:rsidRPr="00F31693" w:rsidRDefault="00053A89" w:rsidP="0048130B">
      <w:pPr>
        <w:pStyle w:val="NoSpacing"/>
      </w:pPr>
    </w:p>
    <w:tbl>
      <w:tblPr>
        <w:tblW w:w="9720" w:type="dxa"/>
        <w:tblInd w:w="95" w:type="dxa"/>
        <w:tblLook w:val="04A0" w:firstRow="1" w:lastRow="0" w:firstColumn="1" w:lastColumn="0" w:noHBand="0" w:noVBand="1"/>
      </w:tblPr>
      <w:tblGrid>
        <w:gridCol w:w="1540"/>
        <w:gridCol w:w="2020"/>
        <w:gridCol w:w="2140"/>
        <w:gridCol w:w="1980"/>
        <w:gridCol w:w="2040"/>
      </w:tblGrid>
      <w:tr w:rsidR="00053A89" w:rsidRPr="00F31693" w14:paraId="673E5502" w14:textId="77777777" w:rsidTr="00053A89">
        <w:trPr>
          <w:trHeight w:val="255"/>
        </w:trPr>
        <w:tc>
          <w:tcPr>
            <w:tcW w:w="1540" w:type="dxa"/>
            <w:tcBorders>
              <w:top w:val="single" w:sz="4" w:space="0" w:color="auto"/>
              <w:left w:val="single" w:sz="4" w:space="0" w:color="auto"/>
              <w:bottom w:val="single" w:sz="4" w:space="0" w:color="auto"/>
              <w:right w:val="single" w:sz="4" w:space="0" w:color="auto"/>
            </w:tcBorders>
            <w:shd w:val="clear" w:color="auto" w:fill="auto"/>
            <w:noWrap/>
            <w:hideMark/>
          </w:tcPr>
          <w:p w14:paraId="5DDE1D28" w14:textId="77777777" w:rsidR="00053A89" w:rsidRPr="00F31693" w:rsidRDefault="00053A89" w:rsidP="00B30367">
            <w:pPr>
              <w:spacing w:after="0" w:line="240" w:lineRule="auto"/>
              <w:jc w:val="center"/>
              <w:rPr>
                <w:rFonts w:eastAsia="Times New Roman" w:cs="Arial"/>
                <w:b/>
                <w:color w:val="000000"/>
              </w:rPr>
            </w:pPr>
            <w:r w:rsidRPr="00F31693">
              <w:rPr>
                <w:rFonts w:eastAsia="Times New Roman" w:cs="Arial"/>
                <w:b/>
                <w:color w:val="000000"/>
              </w:rPr>
              <w:t>FY</w:t>
            </w:r>
            <w:r w:rsidR="00DF49A8">
              <w:rPr>
                <w:rFonts w:eastAsia="Times New Roman" w:cs="Arial"/>
                <w:b/>
                <w:color w:val="000000"/>
              </w:rPr>
              <w:t>E</w:t>
            </w:r>
            <w:r w:rsidRPr="00F31693">
              <w:rPr>
                <w:rFonts w:eastAsia="Times New Roman" w:cs="Arial"/>
                <w:b/>
                <w:color w:val="000000"/>
              </w:rPr>
              <w:t xml:space="preserve"> 201</w:t>
            </w:r>
            <w:r w:rsidR="00B30367" w:rsidRPr="00F31693">
              <w:rPr>
                <w:rFonts w:eastAsia="Times New Roman" w:cs="Arial"/>
                <w:b/>
                <w:color w:val="000000"/>
              </w:rPr>
              <w:t>5</w:t>
            </w:r>
          </w:p>
        </w:tc>
        <w:tc>
          <w:tcPr>
            <w:tcW w:w="2020" w:type="dxa"/>
            <w:tcBorders>
              <w:top w:val="single" w:sz="4" w:space="0" w:color="auto"/>
              <w:left w:val="nil"/>
              <w:bottom w:val="single" w:sz="4" w:space="0" w:color="auto"/>
              <w:right w:val="single" w:sz="4" w:space="0" w:color="auto"/>
            </w:tcBorders>
            <w:shd w:val="clear" w:color="auto" w:fill="auto"/>
            <w:noWrap/>
            <w:hideMark/>
          </w:tcPr>
          <w:p w14:paraId="2D117EF8" w14:textId="77777777" w:rsidR="00053A89" w:rsidRPr="00F31693" w:rsidRDefault="00053A89" w:rsidP="0023329D">
            <w:pPr>
              <w:spacing w:after="0" w:line="240" w:lineRule="auto"/>
              <w:jc w:val="center"/>
              <w:rPr>
                <w:rFonts w:eastAsia="Times New Roman" w:cs="Arial"/>
                <w:color w:val="000000"/>
              </w:rPr>
            </w:pPr>
          </w:p>
        </w:tc>
        <w:tc>
          <w:tcPr>
            <w:tcW w:w="2140" w:type="dxa"/>
            <w:tcBorders>
              <w:top w:val="single" w:sz="4" w:space="0" w:color="auto"/>
              <w:left w:val="nil"/>
              <w:bottom w:val="single" w:sz="4" w:space="0" w:color="auto"/>
              <w:right w:val="single" w:sz="4" w:space="0" w:color="auto"/>
            </w:tcBorders>
            <w:shd w:val="clear" w:color="auto" w:fill="auto"/>
            <w:noWrap/>
            <w:hideMark/>
          </w:tcPr>
          <w:p w14:paraId="1340B81A" w14:textId="77777777" w:rsidR="00053A89" w:rsidRPr="00F31693" w:rsidRDefault="00053A89" w:rsidP="0023329D">
            <w:pPr>
              <w:spacing w:after="0" w:line="240" w:lineRule="auto"/>
              <w:jc w:val="center"/>
              <w:rPr>
                <w:rFonts w:eastAsia="Times New Roman" w:cs="Arial"/>
                <w:color w:val="000000"/>
              </w:rPr>
            </w:pPr>
          </w:p>
        </w:tc>
        <w:tc>
          <w:tcPr>
            <w:tcW w:w="1980" w:type="dxa"/>
            <w:tcBorders>
              <w:top w:val="single" w:sz="4" w:space="0" w:color="auto"/>
              <w:left w:val="nil"/>
              <w:bottom w:val="single" w:sz="4" w:space="0" w:color="auto"/>
              <w:right w:val="single" w:sz="4" w:space="0" w:color="auto"/>
            </w:tcBorders>
            <w:shd w:val="clear" w:color="auto" w:fill="auto"/>
            <w:noWrap/>
            <w:hideMark/>
          </w:tcPr>
          <w:p w14:paraId="34E38647" w14:textId="77777777" w:rsidR="00053A89" w:rsidRPr="00F31693" w:rsidRDefault="00053A89" w:rsidP="0023329D">
            <w:pPr>
              <w:spacing w:after="0" w:line="240" w:lineRule="auto"/>
              <w:jc w:val="center"/>
              <w:rPr>
                <w:rFonts w:eastAsia="Times New Roman" w:cs="Arial"/>
                <w:color w:val="000000"/>
              </w:rPr>
            </w:pPr>
          </w:p>
        </w:tc>
        <w:tc>
          <w:tcPr>
            <w:tcW w:w="2040" w:type="dxa"/>
            <w:tcBorders>
              <w:top w:val="single" w:sz="4" w:space="0" w:color="auto"/>
              <w:left w:val="nil"/>
              <w:bottom w:val="single" w:sz="4" w:space="0" w:color="auto"/>
              <w:right w:val="single" w:sz="4" w:space="0" w:color="auto"/>
            </w:tcBorders>
            <w:shd w:val="clear" w:color="auto" w:fill="auto"/>
            <w:noWrap/>
            <w:hideMark/>
          </w:tcPr>
          <w:p w14:paraId="17A31A8D" w14:textId="77777777" w:rsidR="00053A89" w:rsidRPr="00F31693" w:rsidRDefault="00053A89" w:rsidP="0023329D">
            <w:pPr>
              <w:spacing w:after="0" w:line="240" w:lineRule="auto"/>
              <w:jc w:val="center"/>
              <w:rPr>
                <w:rFonts w:eastAsia="Times New Roman" w:cs="Arial"/>
                <w:color w:val="000000"/>
              </w:rPr>
            </w:pPr>
          </w:p>
        </w:tc>
      </w:tr>
      <w:tr w:rsidR="00053A89" w:rsidRPr="00F31693" w14:paraId="0DD3BD3B" w14:textId="77777777" w:rsidTr="00053A89">
        <w:trPr>
          <w:trHeight w:val="225"/>
        </w:trPr>
        <w:tc>
          <w:tcPr>
            <w:tcW w:w="1540" w:type="dxa"/>
            <w:tcBorders>
              <w:top w:val="nil"/>
              <w:left w:val="single" w:sz="4" w:space="0" w:color="auto"/>
              <w:bottom w:val="single" w:sz="4" w:space="0" w:color="auto"/>
              <w:right w:val="single" w:sz="4" w:space="0" w:color="auto"/>
            </w:tcBorders>
            <w:shd w:val="clear" w:color="auto" w:fill="auto"/>
            <w:noWrap/>
            <w:hideMark/>
          </w:tcPr>
          <w:p w14:paraId="5D5019FF" w14:textId="77777777" w:rsidR="00053A89" w:rsidRPr="00F31693" w:rsidRDefault="00053A89" w:rsidP="0023329D">
            <w:pPr>
              <w:spacing w:after="0" w:line="240" w:lineRule="auto"/>
              <w:jc w:val="center"/>
              <w:rPr>
                <w:rFonts w:eastAsia="Times New Roman" w:cs="Arial"/>
                <w:b/>
                <w:color w:val="000000"/>
              </w:rPr>
            </w:pPr>
            <w:r w:rsidRPr="00F31693">
              <w:rPr>
                <w:rFonts w:eastAsia="Times New Roman" w:cs="Arial"/>
                <w:b/>
                <w:color w:val="000000"/>
              </w:rPr>
              <w:t>COUNTRY</w:t>
            </w:r>
          </w:p>
        </w:tc>
        <w:tc>
          <w:tcPr>
            <w:tcW w:w="2020" w:type="dxa"/>
            <w:tcBorders>
              <w:top w:val="nil"/>
              <w:left w:val="nil"/>
              <w:bottom w:val="single" w:sz="4" w:space="0" w:color="auto"/>
              <w:right w:val="single" w:sz="4" w:space="0" w:color="auto"/>
            </w:tcBorders>
            <w:shd w:val="clear" w:color="auto" w:fill="auto"/>
            <w:noWrap/>
            <w:hideMark/>
          </w:tcPr>
          <w:p w14:paraId="65023788" w14:textId="77777777" w:rsidR="00053A89" w:rsidRPr="00F31693" w:rsidRDefault="00053A89" w:rsidP="0023329D">
            <w:pPr>
              <w:spacing w:after="0" w:line="240" w:lineRule="auto"/>
              <w:jc w:val="center"/>
              <w:rPr>
                <w:rFonts w:eastAsia="Times New Roman" w:cs="Arial"/>
                <w:b/>
                <w:color w:val="000000"/>
              </w:rPr>
            </w:pPr>
            <w:r w:rsidRPr="00F31693">
              <w:rPr>
                <w:rFonts w:eastAsia="Times New Roman" w:cs="Arial"/>
                <w:b/>
                <w:color w:val="000000"/>
              </w:rPr>
              <w:t>INCOMING COUNT</w:t>
            </w:r>
          </w:p>
        </w:tc>
        <w:tc>
          <w:tcPr>
            <w:tcW w:w="2140" w:type="dxa"/>
            <w:tcBorders>
              <w:top w:val="nil"/>
              <w:left w:val="nil"/>
              <w:bottom w:val="single" w:sz="4" w:space="0" w:color="auto"/>
              <w:right w:val="single" w:sz="4" w:space="0" w:color="auto"/>
            </w:tcBorders>
            <w:shd w:val="clear" w:color="auto" w:fill="auto"/>
            <w:noWrap/>
            <w:hideMark/>
          </w:tcPr>
          <w:p w14:paraId="21194BD4" w14:textId="77777777" w:rsidR="00053A89" w:rsidRPr="00F31693" w:rsidRDefault="00053A89" w:rsidP="0023329D">
            <w:pPr>
              <w:spacing w:after="0" w:line="240" w:lineRule="auto"/>
              <w:jc w:val="center"/>
              <w:rPr>
                <w:rFonts w:eastAsia="Times New Roman" w:cs="Arial"/>
                <w:b/>
                <w:color w:val="000000"/>
              </w:rPr>
            </w:pPr>
            <w:r w:rsidRPr="00F31693">
              <w:rPr>
                <w:rFonts w:eastAsia="Times New Roman" w:cs="Arial"/>
                <w:b/>
                <w:color w:val="000000"/>
              </w:rPr>
              <w:t>OUTGOING COUNT</w:t>
            </w:r>
          </w:p>
        </w:tc>
        <w:tc>
          <w:tcPr>
            <w:tcW w:w="1980" w:type="dxa"/>
            <w:tcBorders>
              <w:top w:val="nil"/>
              <w:left w:val="nil"/>
              <w:bottom w:val="single" w:sz="4" w:space="0" w:color="auto"/>
              <w:right w:val="single" w:sz="4" w:space="0" w:color="auto"/>
            </w:tcBorders>
            <w:shd w:val="clear" w:color="auto" w:fill="auto"/>
            <w:noWrap/>
            <w:hideMark/>
          </w:tcPr>
          <w:p w14:paraId="627EBB50" w14:textId="77777777" w:rsidR="00053A89" w:rsidRPr="00F31693" w:rsidRDefault="00053A89" w:rsidP="0023329D">
            <w:pPr>
              <w:spacing w:after="0" w:line="240" w:lineRule="auto"/>
              <w:jc w:val="center"/>
              <w:rPr>
                <w:rFonts w:eastAsia="Times New Roman" w:cs="Arial"/>
                <w:b/>
                <w:color w:val="000000"/>
              </w:rPr>
            </w:pPr>
            <w:r w:rsidRPr="00F31693">
              <w:rPr>
                <w:rFonts w:eastAsia="Times New Roman" w:cs="Arial"/>
                <w:b/>
                <w:color w:val="000000"/>
              </w:rPr>
              <w:t>INCOMING AMOUNT</w:t>
            </w:r>
          </w:p>
        </w:tc>
        <w:tc>
          <w:tcPr>
            <w:tcW w:w="2040" w:type="dxa"/>
            <w:tcBorders>
              <w:top w:val="nil"/>
              <w:left w:val="nil"/>
              <w:bottom w:val="single" w:sz="4" w:space="0" w:color="auto"/>
              <w:right w:val="single" w:sz="4" w:space="0" w:color="auto"/>
            </w:tcBorders>
            <w:shd w:val="clear" w:color="auto" w:fill="auto"/>
            <w:noWrap/>
            <w:hideMark/>
          </w:tcPr>
          <w:p w14:paraId="32E4C7DA" w14:textId="77777777" w:rsidR="00053A89" w:rsidRPr="00F31693" w:rsidRDefault="00053A89" w:rsidP="0023329D">
            <w:pPr>
              <w:spacing w:after="0" w:line="240" w:lineRule="auto"/>
              <w:jc w:val="center"/>
              <w:rPr>
                <w:rFonts w:eastAsia="Times New Roman" w:cs="Arial"/>
                <w:b/>
                <w:color w:val="000000"/>
              </w:rPr>
            </w:pPr>
            <w:r w:rsidRPr="00F31693">
              <w:rPr>
                <w:rFonts w:eastAsia="Times New Roman" w:cs="Arial"/>
                <w:b/>
                <w:color w:val="000000"/>
              </w:rPr>
              <w:t>OUTGOING AMOUNT</w:t>
            </w:r>
          </w:p>
        </w:tc>
      </w:tr>
      <w:tr w:rsidR="00053A89" w:rsidRPr="00F31693" w14:paraId="31DE425C" w14:textId="77777777" w:rsidTr="00053A89">
        <w:trPr>
          <w:trHeight w:val="225"/>
        </w:trPr>
        <w:tc>
          <w:tcPr>
            <w:tcW w:w="1540" w:type="dxa"/>
            <w:tcBorders>
              <w:top w:val="nil"/>
              <w:left w:val="single" w:sz="4" w:space="0" w:color="auto"/>
              <w:bottom w:val="single" w:sz="4" w:space="0" w:color="auto"/>
              <w:right w:val="single" w:sz="4" w:space="0" w:color="auto"/>
            </w:tcBorders>
            <w:shd w:val="clear" w:color="auto" w:fill="auto"/>
            <w:noWrap/>
            <w:hideMark/>
          </w:tcPr>
          <w:p w14:paraId="0F0F3B68" w14:textId="77777777" w:rsidR="00053A89" w:rsidRPr="00F31693" w:rsidRDefault="00053A89" w:rsidP="00053A89">
            <w:pPr>
              <w:spacing w:after="0" w:line="240" w:lineRule="auto"/>
              <w:rPr>
                <w:rFonts w:eastAsia="Times New Roman" w:cs="Arial"/>
                <w:b/>
                <w:color w:val="000000"/>
              </w:rPr>
            </w:pPr>
            <w:r w:rsidRPr="00F31693">
              <w:rPr>
                <w:rFonts w:eastAsia="Times New Roman" w:cs="Arial"/>
                <w:b/>
                <w:color w:val="000000"/>
              </w:rPr>
              <w:t>US</w:t>
            </w:r>
          </w:p>
        </w:tc>
        <w:tc>
          <w:tcPr>
            <w:tcW w:w="2020" w:type="dxa"/>
            <w:tcBorders>
              <w:top w:val="nil"/>
              <w:left w:val="nil"/>
              <w:bottom w:val="single" w:sz="4" w:space="0" w:color="auto"/>
              <w:right w:val="single" w:sz="4" w:space="0" w:color="auto"/>
            </w:tcBorders>
            <w:shd w:val="clear" w:color="auto" w:fill="auto"/>
            <w:noWrap/>
            <w:hideMark/>
          </w:tcPr>
          <w:p w14:paraId="5666B662" w14:textId="77777777" w:rsidR="00053A89" w:rsidRPr="00F31693" w:rsidRDefault="00B30367" w:rsidP="007B7693">
            <w:pPr>
              <w:spacing w:after="0" w:line="240" w:lineRule="auto"/>
              <w:jc w:val="center"/>
              <w:rPr>
                <w:rFonts w:eastAsia="Times New Roman" w:cs="Arial"/>
                <w:color w:val="000000"/>
              </w:rPr>
            </w:pPr>
            <w:r w:rsidRPr="00F31693">
              <w:rPr>
                <w:rFonts w:eastAsia="Times New Roman" w:cs="Arial"/>
                <w:color w:val="000000"/>
              </w:rPr>
              <w:t>2,515</w:t>
            </w:r>
          </w:p>
        </w:tc>
        <w:tc>
          <w:tcPr>
            <w:tcW w:w="2140" w:type="dxa"/>
            <w:tcBorders>
              <w:top w:val="nil"/>
              <w:left w:val="nil"/>
              <w:bottom w:val="single" w:sz="4" w:space="0" w:color="auto"/>
              <w:right w:val="single" w:sz="4" w:space="0" w:color="auto"/>
            </w:tcBorders>
            <w:shd w:val="clear" w:color="auto" w:fill="auto"/>
            <w:noWrap/>
            <w:hideMark/>
          </w:tcPr>
          <w:p w14:paraId="3D6FB0E2" w14:textId="77777777" w:rsidR="00053A89" w:rsidRPr="00F31693" w:rsidRDefault="00B30367" w:rsidP="007B7693">
            <w:pPr>
              <w:spacing w:after="0" w:line="240" w:lineRule="auto"/>
              <w:jc w:val="center"/>
              <w:rPr>
                <w:rFonts w:eastAsia="Times New Roman" w:cs="Arial"/>
                <w:color w:val="000000"/>
              </w:rPr>
            </w:pPr>
            <w:r w:rsidRPr="00F31693">
              <w:rPr>
                <w:rFonts w:eastAsia="Times New Roman" w:cs="Arial"/>
                <w:color w:val="000000"/>
              </w:rPr>
              <w:t>2,518</w:t>
            </w:r>
          </w:p>
        </w:tc>
        <w:tc>
          <w:tcPr>
            <w:tcW w:w="1980" w:type="dxa"/>
            <w:tcBorders>
              <w:top w:val="nil"/>
              <w:left w:val="nil"/>
              <w:bottom w:val="single" w:sz="4" w:space="0" w:color="auto"/>
              <w:right w:val="single" w:sz="4" w:space="0" w:color="auto"/>
            </w:tcBorders>
            <w:shd w:val="clear" w:color="auto" w:fill="auto"/>
            <w:noWrap/>
            <w:hideMark/>
          </w:tcPr>
          <w:p w14:paraId="00E19B6F" w14:textId="77777777" w:rsidR="00053A89" w:rsidRPr="00F31693" w:rsidRDefault="00B30367" w:rsidP="007B7693">
            <w:pPr>
              <w:spacing w:after="0" w:line="240" w:lineRule="auto"/>
              <w:jc w:val="center"/>
              <w:rPr>
                <w:rFonts w:eastAsia="Times New Roman" w:cs="Arial"/>
                <w:color w:val="000000"/>
              </w:rPr>
            </w:pPr>
            <w:r w:rsidRPr="00F31693">
              <w:rPr>
                <w:rFonts w:eastAsia="Times New Roman" w:cs="Arial"/>
                <w:color w:val="000000"/>
              </w:rPr>
              <w:t>$5,123,229,502.02</w:t>
            </w:r>
          </w:p>
        </w:tc>
        <w:tc>
          <w:tcPr>
            <w:tcW w:w="2040" w:type="dxa"/>
            <w:tcBorders>
              <w:top w:val="nil"/>
              <w:left w:val="nil"/>
              <w:bottom w:val="single" w:sz="4" w:space="0" w:color="auto"/>
              <w:right w:val="single" w:sz="4" w:space="0" w:color="auto"/>
            </w:tcBorders>
            <w:shd w:val="clear" w:color="auto" w:fill="auto"/>
            <w:noWrap/>
            <w:hideMark/>
          </w:tcPr>
          <w:p w14:paraId="6A148FD1" w14:textId="77777777" w:rsidR="00053A89" w:rsidRPr="00F31693" w:rsidRDefault="00B30367" w:rsidP="007B7693">
            <w:pPr>
              <w:spacing w:after="0" w:line="240" w:lineRule="auto"/>
              <w:jc w:val="center"/>
              <w:rPr>
                <w:rFonts w:eastAsia="Times New Roman" w:cs="Arial"/>
                <w:color w:val="000000"/>
              </w:rPr>
            </w:pPr>
            <w:r w:rsidRPr="00F31693">
              <w:rPr>
                <w:rFonts w:eastAsia="Times New Roman" w:cs="Arial"/>
                <w:color w:val="000000"/>
              </w:rPr>
              <w:t>$3,569,301,357.85</w:t>
            </w:r>
          </w:p>
        </w:tc>
      </w:tr>
    </w:tbl>
    <w:p w14:paraId="36A484E9" w14:textId="77777777" w:rsidR="00053A89" w:rsidRPr="00F31693" w:rsidRDefault="00053A89" w:rsidP="0048130B">
      <w:pPr>
        <w:pStyle w:val="NoSpacing"/>
      </w:pPr>
    </w:p>
    <w:tbl>
      <w:tblPr>
        <w:tblW w:w="10502" w:type="dxa"/>
        <w:tblInd w:w="95" w:type="dxa"/>
        <w:tblLook w:val="04A0" w:firstRow="1" w:lastRow="0" w:firstColumn="1" w:lastColumn="0" w:noHBand="0" w:noVBand="1"/>
      </w:tblPr>
      <w:tblGrid>
        <w:gridCol w:w="1980"/>
        <w:gridCol w:w="717"/>
        <w:gridCol w:w="1886"/>
        <w:gridCol w:w="663"/>
        <w:gridCol w:w="1886"/>
        <w:gridCol w:w="661"/>
        <w:gridCol w:w="1886"/>
        <w:gridCol w:w="987"/>
      </w:tblGrid>
      <w:tr w:rsidR="002B5C42" w:rsidRPr="00F31693" w14:paraId="1823E198" w14:textId="77777777" w:rsidTr="00B30367">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BAF0A" w14:textId="77777777" w:rsidR="002B5C42" w:rsidRPr="00F31693" w:rsidRDefault="002B5C42" w:rsidP="002B5C42">
            <w:pPr>
              <w:spacing w:after="0" w:line="240" w:lineRule="auto"/>
              <w:rPr>
                <w:rFonts w:eastAsia="Times New Roman" w:cs="Times New Roman"/>
                <w:color w:val="000000"/>
              </w:rPr>
            </w:pPr>
            <w:r w:rsidRPr="00F31693">
              <w:rPr>
                <w:rFonts w:eastAsia="Times New Roman" w:cs="Times New Roman"/>
                <w:color w:val="000000"/>
              </w:rPr>
              <w:t> </w:t>
            </w:r>
          </w:p>
        </w:tc>
        <w:tc>
          <w:tcPr>
            <w:tcW w:w="254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9C70F03" w14:textId="77777777" w:rsidR="002B5C42" w:rsidRPr="00F31693" w:rsidRDefault="002B5C42" w:rsidP="00B30367">
            <w:pPr>
              <w:spacing w:after="0" w:line="240" w:lineRule="auto"/>
              <w:jc w:val="center"/>
              <w:rPr>
                <w:rFonts w:eastAsia="Times New Roman" w:cs="Times New Roman"/>
                <w:b/>
                <w:color w:val="000000"/>
              </w:rPr>
            </w:pPr>
            <w:r w:rsidRPr="00F31693">
              <w:rPr>
                <w:rFonts w:eastAsia="Times New Roman" w:cs="Times New Roman"/>
                <w:b/>
                <w:color w:val="000000"/>
              </w:rPr>
              <w:t>FY</w:t>
            </w:r>
            <w:r w:rsidR="00DF49A8">
              <w:rPr>
                <w:rFonts w:eastAsia="Times New Roman" w:cs="Times New Roman"/>
                <w:b/>
                <w:color w:val="000000"/>
              </w:rPr>
              <w:t>E</w:t>
            </w:r>
            <w:r w:rsidRPr="00F31693">
              <w:rPr>
                <w:rFonts w:eastAsia="Times New Roman" w:cs="Times New Roman"/>
                <w:b/>
                <w:color w:val="000000"/>
              </w:rPr>
              <w:t xml:space="preserve"> 201</w:t>
            </w:r>
            <w:r w:rsidR="00B30367" w:rsidRPr="00F31693">
              <w:rPr>
                <w:rFonts w:eastAsia="Times New Roman" w:cs="Times New Roman"/>
                <w:b/>
                <w:color w:val="000000"/>
              </w:rPr>
              <w:t>6</w:t>
            </w:r>
          </w:p>
        </w:tc>
        <w:tc>
          <w:tcPr>
            <w:tcW w:w="2549" w:type="dxa"/>
            <w:gridSpan w:val="2"/>
            <w:tcBorders>
              <w:top w:val="single" w:sz="4" w:space="0" w:color="auto"/>
              <w:left w:val="nil"/>
              <w:bottom w:val="single" w:sz="4" w:space="0" w:color="auto"/>
              <w:right w:val="single" w:sz="4" w:space="0" w:color="auto"/>
            </w:tcBorders>
            <w:shd w:val="clear" w:color="auto" w:fill="auto"/>
            <w:noWrap/>
            <w:vAlign w:val="bottom"/>
            <w:hideMark/>
          </w:tcPr>
          <w:p w14:paraId="1497D403" w14:textId="77777777" w:rsidR="002B5C42" w:rsidRPr="00F31693" w:rsidRDefault="002B5C42" w:rsidP="00B30367">
            <w:pPr>
              <w:spacing w:after="0" w:line="240" w:lineRule="auto"/>
              <w:jc w:val="center"/>
              <w:rPr>
                <w:rFonts w:eastAsia="Times New Roman" w:cs="Times New Roman"/>
                <w:b/>
                <w:color w:val="000000"/>
              </w:rPr>
            </w:pPr>
            <w:r w:rsidRPr="00F31693">
              <w:rPr>
                <w:rFonts w:eastAsia="Times New Roman" w:cs="Times New Roman"/>
                <w:b/>
                <w:color w:val="000000"/>
              </w:rPr>
              <w:t>FY</w:t>
            </w:r>
            <w:r w:rsidR="00DF49A8">
              <w:rPr>
                <w:rFonts w:eastAsia="Times New Roman" w:cs="Times New Roman"/>
                <w:b/>
                <w:color w:val="000000"/>
              </w:rPr>
              <w:t>E</w:t>
            </w:r>
            <w:r w:rsidRPr="00F31693">
              <w:rPr>
                <w:rFonts w:eastAsia="Times New Roman" w:cs="Times New Roman"/>
                <w:b/>
                <w:color w:val="000000"/>
              </w:rPr>
              <w:t xml:space="preserve"> 201</w:t>
            </w:r>
            <w:r w:rsidR="00B30367" w:rsidRPr="00F31693">
              <w:rPr>
                <w:rFonts w:eastAsia="Times New Roman" w:cs="Times New Roman"/>
                <w:b/>
                <w:color w:val="000000"/>
              </w:rPr>
              <w:t>5</w:t>
            </w:r>
          </w:p>
        </w:tc>
        <w:tc>
          <w:tcPr>
            <w:tcW w:w="243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FAD3C7A" w14:textId="77777777" w:rsidR="002B5C42" w:rsidRPr="00F31693" w:rsidRDefault="002B5C42" w:rsidP="00C81576">
            <w:pPr>
              <w:spacing w:after="0" w:line="240" w:lineRule="auto"/>
              <w:jc w:val="center"/>
              <w:rPr>
                <w:rFonts w:eastAsia="Times New Roman" w:cs="Times New Roman"/>
                <w:b/>
                <w:color w:val="000000"/>
              </w:rPr>
            </w:pPr>
            <w:r w:rsidRPr="00F31693">
              <w:rPr>
                <w:rFonts w:eastAsia="Times New Roman" w:cs="Times New Roman"/>
                <w:b/>
                <w:color w:val="000000"/>
              </w:rPr>
              <w:t>Increase/Decrease</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14:paraId="53F5CF70" w14:textId="77777777" w:rsidR="002B5C42" w:rsidRPr="00F31693" w:rsidRDefault="002B5C42" w:rsidP="002B5C42">
            <w:pPr>
              <w:spacing w:after="0" w:line="240" w:lineRule="auto"/>
              <w:rPr>
                <w:rFonts w:eastAsia="Times New Roman" w:cs="Times New Roman"/>
                <w:b/>
                <w:color w:val="000000"/>
              </w:rPr>
            </w:pPr>
            <w:r w:rsidRPr="00F31693">
              <w:rPr>
                <w:rFonts w:eastAsia="Times New Roman" w:cs="Times New Roman"/>
                <w:b/>
                <w:color w:val="000000"/>
              </w:rPr>
              <w:t>%</w:t>
            </w:r>
          </w:p>
        </w:tc>
      </w:tr>
      <w:tr w:rsidR="00B30367" w:rsidRPr="00F31693" w14:paraId="093B2C12" w14:textId="77777777" w:rsidTr="00B3036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9238E5" w14:textId="77777777" w:rsidR="00B30367" w:rsidRPr="00F31693" w:rsidRDefault="00B30367" w:rsidP="002B5C42">
            <w:pPr>
              <w:spacing w:after="0" w:line="240" w:lineRule="auto"/>
              <w:rPr>
                <w:rFonts w:eastAsia="Times New Roman" w:cs="Times New Roman"/>
                <w:b/>
                <w:color w:val="000000"/>
              </w:rPr>
            </w:pPr>
            <w:r w:rsidRPr="00F31693">
              <w:rPr>
                <w:rFonts w:eastAsia="Times New Roman" w:cs="Times New Roman"/>
                <w:b/>
                <w:color w:val="000000"/>
              </w:rPr>
              <w:t>Domestic Wires Out</w:t>
            </w:r>
          </w:p>
        </w:tc>
        <w:tc>
          <w:tcPr>
            <w:tcW w:w="663" w:type="dxa"/>
            <w:tcBorders>
              <w:top w:val="nil"/>
              <w:left w:val="nil"/>
              <w:bottom w:val="single" w:sz="4" w:space="0" w:color="auto"/>
              <w:right w:val="single" w:sz="4" w:space="0" w:color="auto"/>
            </w:tcBorders>
            <w:shd w:val="clear" w:color="auto" w:fill="auto"/>
            <w:noWrap/>
            <w:vAlign w:val="bottom"/>
            <w:hideMark/>
          </w:tcPr>
          <w:p w14:paraId="0B9D7745" w14:textId="77777777" w:rsidR="00B30367" w:rsidRPr="00F31693" w:rsidRDefault="00B30367" w:rsidP="007B7693">
            <w:pPr>
              <w:spacing w:after="0" w:line="240" w:lineRule="auto"/>
              <w:jc w:val="center"/>
              <w:rPr>
                <w:rFonts w:eastAsia="Times New Roman" w:cs="Times New Roman"/>
                <w:color w:val="000000"/>
              </w:rPr>
            </w:pPr>
            <w:r w:rsidRPr="00F31693">
              <w:rPr>
                <w:rFonts w:eastAsia="Times New Roman" w:cs="Arial"/>
                <w:color w:val="000000"/>
              </w:rPr>
              <w:t>2,662</w:t>
            </w:r>
          </w:p>
        </w:tc>
        <w:tc>
          <w:tcPr>
            <w:tcW w:w="1886" w:type="dxa"/>
            <w:tcBorders>
              <w:top w:val="nil"/>
              <w:left w:val="nil"/>
              <w:bottom w:val="single" w:sz="4" w:space="0" w:color="auto"/>
              <w:right w:val="single" w:sz="4" w:space="0" w:color="auto"/>
            </w:tcBorders>
            <w:shd w:val="clear" w:color="auto" w:fill="auto"/>
            <w:noWrap/>
            <w:vAlign w:val="bottom"/>
            <w:hideMark/>
          </w:tcPr>
          <w:p w14:paraId="32F54FE2" w14:textId="77777777" w:rsidR="00B30367" w:rsidRPr="00F31693" w:rsidRDefault="00B30367" w:rsidP="007B7693">
            <w:pPr>
              <w:spacing w:after="0" w:line="240" w:lineRule="auto"/>
              <w:jc w:val="center"/>
              <w:rPr>
                <w:rFonts w:eastAsia="Times New Roman" w:cs="Times New Roman"/>
                <w:color w:val="000000"/>
              </w:rPr>
            </w:pPr>
            <w:r w:rsidRPr="00F31693">
              <w:rPr>
                <w:rFonts w:eastAsia="Times New Roman" w:cs="Arial"/>
                <w:color w:val="000000"/>
              </w:rPr>
              <w:t>$2,565,209,009.85</w:t>
            </w:r>
          </w:p>
        </w:tc>
        <w:tc>
          <w:tcPr>
            <w:tcW w:w="663" w:type="dxa"/>
            <w:tcBorders>
              <w:top w:val="nil"/>
              <w:left w:val="nil"/>
              <w:bottom w:val="single" w:sz="4" w:space="0" w:color="auto"/>
              <w:right w:val="single" w:sz="4" w:space="0" w:color="auto"/>
            </w:tcBorders>
            <w:shd w:val="clear" w:color="auto" w:fill="auto"/>
            <w:noWrap/>
            <w:vAlign w:val="bottom"/>
            <w:hideMark/>
          </w:tcPr>
          <w:p w14:paraId="08066553" w14:textId="77777777" w:rsidR="00B30367" w:rsidRPr="00F31693" w:rsidRDefault="00B30367" w:rsidP="00B30367">
            <w:pPr>
              <w:spacing w:after="0" w:line="240" w:lineRule="auto"/>
              <w:jc w:val="center"/>
              <w:rPr>
                <w:rFonts w:eastAsia="Times New Roman" w:cs="Times New Roman"/>
                <w:color w:val="000000"/>
              </w:rPr>
            </w:pPr>
            <w:r w:rsidRPr="00F31693">
              <w:rPr>
                <w:rFonts w:eastAsia="Times New Roman" w:cs="Times New Roman"/>
                <w:color w:val="000000"/>
              </w:rPr>
              <w:t>2518</w:t>
            </w:r>
          </w:p>
        </w:tc>
        <w:tc>
          <w:tcPr>
            <w:tcW w:w="1886" w:type="dxa"/>
            <w:tcBorders>
              <w:top w:val="nil"/>
              <w:left w:val="nil"/>
              <w:bottom w:val="single" w:sz="4" w:space="0" w:color="auto"/>
              <w:right w:val="single" w:sz="4" w:space="0" w:color="auto"/>
            </w:tcBorders>
            <w:shd w:val="clear" w:color="auto" w:fill="auto"/>
            <w:noWrap/>
            <w:vAlign w:val="bottom"/>
            <w:hideMark/>
          </w:tcPr>
          <w:p w14:paraId="7869DAEB" w14:textId="77777777" w:rsidR="00B30367" w:rsidRPr="00F31693" w:rsidRDefault="00B30367" w:rsidP="00B30367">
            <w:pPr>
              <w:spacing w:after="0" w:line="240" w:lineRule="auto"/>
              <w:jc w:val="center"/>
              <w:rPr>
                <w:rFonts w:eastAsia="Times New Roman" w:cs="Times New Roman"/>
                <w:color w:val="000000"/>
              </w:rPr>
            </w:pPr>
            <w:r w:rsidRPr="00F31693">
              <w:rPr>
                <w:rFonts w:eastAsia="Times New Roman" w:cs="Times New Roman"/>
                <w:color w:val="000000"/>
              </w:rPr>
              <w:t>$3,569,301,357.85</w:t>
            </w:r>
          </w:p>
        </w:tc>
        <w:tc>
          <w:tcPr>
            <w:tcW w:w="551" w:type="dxa"/>
            <w:tcBorders>
              <w:top w:val="nil"/>
              <w:left w:val="nil"/>
              <w:bottom w:val="single" w:sz="4" w:space="0" w:color="auto"/>
              <w:right w:val="single" w:sz="4" w:space="0" w:color="auto"/>
            </w:tcBorders>
            <w:shd w:val="clear" w:color="auto" w:fill="auto"/>
            <w:noWrap/>
            <w:vAlign w:val="bottom"/>
            <w:hideMark/>
          </w:tcPr>
          <w:p w14:paraId="10006B4D" w14:textId="77777777" w:rsidR="00B30367" w:rsidRPr="00F31693" w:rsidRDefault="00B30367" w:rsidP="007B7693">
            <w:pPr>
              <w:spacing w:after="0" w:line="240" w:lineRule="auto"/>
              <w:jc w:val="center"/>
              <w:rPr>
                <w:rFonts w:eastAsia="Times New Roman" w:cs="Times New Roman"/>
                <w:color w:val="000000"/>
              </w:rPr>
            </w:pPr>
            <w:r w:rsidRPr="00F31693">
              <w:rPr>
                <w:rFonts w:eastAsia="Times New Roman" w:cs="Times New Roman"/>
                <w:color w:val="000000"/>
              </w:rPr>
              <w:t>+144</w:t>
            </w:r>
          </w:p>
        </w:tc>
        <w:tc>
          <w:tcPr>
            <w:tcW w:w="1886" w:type="dxa"/>
            <w:tcBorders>
              <w:top w:val="nil"/>
              <w:left w:val="nil"/>
              <w:bottom w:val="single" w:sz="4" w:space="0" w:color="auto"/>
              <w:right w:val="single" w:sz="4" w:space="0" w:color="auto"/>
            </w:tcBorders>
            <w:shd w:val="clear" w:color="auto" w:fill="auto"/>
            <w:noWrap/>
            <w:vAlign w:val="bottom"/>
            <w:hideMark/>
          </w:tcPr>
          <w:p w14:paraId="7B211B3F" w14:textId="77777777" w:rsidR="00B30367" w:rsidRPr="00F31693" w:rsidRDefault="00B30367" w:rsidP="007B7693">
            <w:pPr>
              <w:spacing w:after="0" w:line="240" w:lineRule="auto"/>
              <w:jc w:val="center"/>
              <w:rPr>
                <w:rFonts w:eastAsia="Times New Roman" w:cs="Times New Roman"/>
                <w:color w:val="000000"/>
              </w:rPr>
            </w:pPr>
            <w:r w:rsidRPr="00F31693">
              <w:rPr>
                <w:rFonts w:eastAsia="Times New Roman" w:cs="Times New Roman"/>
                <w:color w:val="000000"/>
              </w:rPr>
              <w:t>-1,004,092,348.00</w:t>
            </w:r>
          </w:p>
        </w:tc>
        <w:tc>
          <w:tcPr>
            <w:tcW w:w="987" w:type="dxa"/>
            <w:tcBorders>
              <w:top w:val="nil"/>
              <w:left w:val="nil"/>
              <w:bottom w:val="single" w:sz="4" w:space="0" w:color="auto"/>
              <w:right w:val="single" w:sz="4" w:space="0" w:color="auto"/>
            </w:tcBorders>
            <w:shd w:val="clear" w:color="auto" w:fill="auto"/>
            <w:noWrap/>
            <w:vAlign w:val="bottom"/>
            <w:hideMark/>
          </w:tcPr>
          <w:p w14:paraId="401F3B85" w14:textId="77777777" w:rsidR="00B30367" w:rsidRPr="00F31693" w:rsidRDefault="00041630" w:rsidP="007B7693">
            <w:pPr>
              <w:spacing w:after="0" w:line="240" w:lineRule="auto"/>
              <w:jc w:val="center"/>
              <w:rPr>
                <w:rFonts w:eastAsia="Times New Roman" w:cs="Times New Roman"/>
                <w:color w:val="000000"/>
              </w:rPr>
            </w:pPr>
            <w:r w:rsidRPr="00F31693">
              <w:rPr>
                <w:rFonts w:eastAsia="Times New Roman" w:cs="Times New Roman"/>
                <w:color w:val="000000"/>
              </w:rPr>
              <w:t>-39%</w:t>
            </w:r>
          </w:p>
        </w:tc>
      </w:tr>
      <w:tr w:rsidR="00B30367" w:rsidRPr="00F31693" w14:paraId="426DCCEC" w14:textId="77777777" w:rsidTr="00B3036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165E58" w14:textId="77777777" w:rsidR="00B30367" w:rsidRPr="00F31693" w:rsidRDefault="00B30367" w:rsidP="002B5C42">
            <w:pPr>
              <w:spacing w:after="0" w:line="240" w:lineRule="auto"/>
              <w:rPr>
                <w:rFonts w:eastAsia="Times New Roman" w:cs="Times New Roman"/>
                <w:b/>
                <w:color w:val="000000"/>
              </w:rPr>
            </w:pPr>
            <w:r w:rsidRPr="00F31693">
              <w:rPr>
                <w:rFonts w:eastAsia="Times New Roman" w:cs="Times New Roman"/>
                <w:b/>
                <w:color w:val="000000"/>
              </w:rPr>
              <w:t>Domestic Wires In</w:t>
            </w:r>
          </w:p>
        </w:tc>
        <w:tc>
          <w:tcPr>
            <w:tcW w:w="663" w:type="dxa"/>
            <w:tcBorders>
              <w:top w:val="nil"/>
              <w:left w:val="nil"/>
              <w:bottom w:val="single" w:sz="4" w:space="0" w:color="auto"/>
              <w:right w:val="single" w:sz="4" w:space="0" w:color="auto"/>
            </w:tcBorders>
            <w:shd w:val="clear" w:color="auto" w:fill="auto"/>
            <w:noWrap/>
            <w:vAlign w:val="bottom"/>
            <w:hideMark/>
          </w:tcPr>
          <w:p w14:paraId="7B2E2B75" w14:textId="77777777" w:rsidR="00B30367" w:rsidRPr="00F31693" w:rsidRDefault="00B30367" w:rsidP="007B7693">
            <w:pPr>
              <w:spacing w:after="0" w:line="240" w:lineRule="auto"/>
              <w:jc w:val="center"/>
              <w:rPr>
                <w:rFonts w:eastAsia="Times New Roman" w:cs="Times New Roman"/>
                <w:color w:val="000000"/>
              </w:rPr>
            </w:pPr>
            <w:r w:rsidRPr="00F31693">
              <w:rPr>
                <w:rFonts w:eastAsia="Times New Roman" w:cs="Arial"/>
                <w:color w:val="000000"/>
              </w:rPr>
              <w:t>2,618</w:t>
            </w:r>
          </w:p>
        </w:tc>
        <w:tc>
          <w:tcPr>
            <w:tcW w:w="1886" w:type="dxa"/>
            <w:tcBorders>
              <w:top w:val="nil"/>
              <w:left w:val="nil"/>
              <w:bottom w:val="single" w:sz="4" w:space="0" w:color="auto"/>
              <w:right w:val="single" w:sz="4" w:space="0" w:color="auto"/>
            </w:tcBorders>
            <w:shd w:val="clear" w:color="auto" w:fill="auto"/>
            <w:noWrap/>
            <w:vAlign w:val="bottom"/>
            <w:hideMark/>
          </w:tcPr>
          <w:p w14:paraId="3546315F" w14:textId="77777777" w:rsidR="00B30367" w:rsidRPr="00F31693" w:rsidRDefault="00B30367" w:rsidP="007B7693">
            <w:pPr>
              <w:spacing w:after="0" w:line="240" w:lineRule="auto"/>
              <w:jc w:val="center"/>
              <w:rPr>
                <w:rFonts w:eastAsia="Times New Roman" w:cs="Times New Roman"/>
                <w:color w:val="000000"/>
              </w:rPr>
            </w:pPr>
            <w:r w:rsidRPr="00F31693">
              <w:rPr>
                <w:rFonts w:eastAsia="Times New Roman" w:cs="Arial"/>
                <w:color w:val="000000"/>
              </w:rPr>
              <w:t>$3,432,115,601.06</w:t>
            </w:r>
          </w:p>
        </w:tc>
        <w:tc>
          <w:tcPr>
            <w:tcW w:w="663" w:type="dxa"/>
            <w:tcBorders>
              <w:top w:val="nil"/>
              <w:left w:val="nil"/>
              <w:bottom w:val="single" w:sz="4" w:space="0" w:color="auto"/>
              <w:right w:val="single" w:sz="4" w:space="0" w:color="auto"/>
            </w:tcBorders>
            <w:shd w:val="clear" w:color="auto" w:fill="auto"/>
            <w:noWrap/>
            <w:vAlign w:val="bottom"/>
            <w:hideMark/>
          </w:tcPr>
          <w:p w14:paraId="60E0EBBE" w14:textId="77777777" w:rsidR="00B30367" w:rsidRPr="00F31693" w:rsidRDefault="00B30367" w:rsidP="00B30367">
            <w:pPr>
              <w:spacing w:after="0" w:line="240" w:lineRule="auto"/>
              <w:jc w:val="center"/>
              <w:rPr>
                <w:rFonts w:eastAsia="Times New Roman" w:cs="Times New Roman"/>
                <w:color w:val="000000"/>
              </w:rPr>
            </w:pPr>
            <w:r w:rsidRPr="00F31693">
              <w:rPr>
                <w:rFonts w:eastAsia="Times New Roman" w:cs="Times New Roman"/>
                <w:color w:val="000000"/>
              </w:rPr>
              <w:t>2515</w:t>
            </w:r>
          </w:p>
        </w:tc>
        <w:tc>
          <w:tcPr>
            <w:tcW w:w="1886" w:type="dxa"/>
            <w:tcBorders>
              <w:top w:val="nil"/>
              <w:left w:val="nil"/>
              <w:bottom w:val="single" w:sz="4" w:space="0" w:color="auto"/>
              <w:right w:val="single" w:sz="4" w:space="0" w:color="auto"/>
            </w:tcBorders>
            <w:shd w:val="clear" w:color="auto" w:fill="auto"/>
            <w:noWrap/>
            <w:vAlign w:val="bottom"/>
            <w:hideMark/>
          </w:tcPr>
          <w:p w14:paraId="2FC0B6E2" w14:textId="77777777" w:rsidR="00B30367" w:rsidRPr="00F31693" w:rsidRDefault="00B30367" w:rsidP="00B30367">
            <w:pPr>
              <w:spacing w:after="0" w:line="240" w:lineRule="auto"/>
              <w:jc w:val="center"/>
              <w:rPr>
                <w:rFonts w:eastAsia="Times New Roman" w:cs="Times New Roman"/>
                <w:color w:val="000000"/>
              </w:rPr>
            </w:pPr>
            <w:r w:rsidRPr="00F31693">
              <w:rPr>
                <w:rFonts w:eastAsia="Times New Roman" w:cs="Times New Roman"/>
                <w:color w:val="000000"/>
              </w:rPr>
              <w:t>$5,123,229,502.02</w:t>
            </w:r>
          </w:p>
        </w:tc>
        <w:tc>
          <w:tcPr>
            <w:tcW w:w="551" w:type="dxa"/>
            <w:tcBorders>
              <w:top w:val="nil"/>
              <w:left w:val="nil"/>
              <w:bottom w:val="single" w:sz="4" w:space="0" w:color="auto"/>
              <w:right w:val="single" w:sz="4" w:space="0" w:color="auto"/>
            </w:tcBorders>
            <w:shd w:val="clear" w:color="auto" w:fill="auto"/>
            <w:noWrap/>
            <w:vAlign w:val="bottom"/>
            <w:hideMark/>
          </w:tcPr>
          <w:p w14:paraId="0F34D44C" w14:textId="77777777" w:rsidR="00B30367" w:rsidRPr="00F31693" w:rsidRDefault="00B30367" w:rsidP="00B30367">
            <w:pPr>
              <w:spacing w:after="0" w:line="240" w:lineRule="auto"/>
              <w:jc w:val="center"/>
              <w:rPr>
                <w:rFonts w:eastAsia="Times New Roman" w:cs="Times New Roman"/>
                <w:color w:val="000000"/>
              </w:rPr>
            </w:pPr>
            <w:r w:rsidRPr="00F31693">
              <w:rPr>
                <w:rFonts w:eastAsia="Times New Roman" w:cs="Times New Roman"/>
                <w:color w:val="000000"/>
              </w:rPr>
              <w:t>+103</w:t>
            </w:r>
          </w:p>
        </w:tc>
        <w:tc>
          <w:tcPr>
            <w:tcW w:w="1886" w:type="dxa"/>
            <w:tcBorders>
              <w:top w:val="nil"/>
              <w:left w:val="nil"/>
              <w:bottom w:val="single" w:sz="4" w:space="0" w:color="auto"/>
              <w:right w:val="single" w:sz="4" w:space="0" w:color="auto"/>
            </w:tcBorders>
            <w:shd w:val="clear" w:color="auto" w:fill="auto"/>
            <w:noWrap/>
            <w:vAlign w:val="bottom"/>
            <w:hideMark/>
          </w:tcPr>
          <w:p w14:paraId="78C11311" w14:textId="77777777" w:rsidR="00B30367" w:rsidRPr="00F31693" w:rsidRDefault="00B30367" w:rsidP="007B7693">
            <w:pPr>
              <w:spacing w:after="0" w:line="240" w:lineRule="auto"/>
              <w:jc w:val="center"/>
              <w:rPr>
                <w:rFonts w:eastAsia="Times New Roman" w:cs="Times New Roman"/>
                <w:color w:val="000000"/>
              </w:rPr>
            </w:pPr>
            <w:r w:rsidRPr="00F31693">
              <w:rPr>
                <w:rFonts w:eastAsia="Times New Roman" w:cs="Times New Roman"/>
                <w:color w:val="000000"/>
              </w:rPr>
              <w:t>-1,</w:t>
            </w:r>
            <w:r w:rsidR="00041630" w:rsidRPr="00F31693">
              <w:rPr>
                <w:rFonts w:eastAsia="Times New Roman" w:cs="Times New Roman"/>
                <w:color w:val="000000"/>
              </w:rPr>
              <w:t>691,113,900.96</w:t>
            </w:r>
          </w:p>
        </w:tc>
        <w:tc>
          <w:tcPr>
            <w:tcW w:w="987" w:type="dxa"/>
            <w:tcBorders>
              <w:top w:val="nil"/>
              <w:left w:val="nil"/>
              <w:bottom w:val="single" w:sz="4" w:space="0" w:color="auto"/>
              <w:right w:val="single" w:sz="4" w:space="0" w:color="auto"/>
            </w:tcBorders>
            <w:shd w:val="clear" w:color="auto" w:fill="auto"/>
            <w:noWrap/>
            <w:vAlign w:val="bottom"/>
            <w:hideMark/>
          </w:tcPr>
          <w:p w14:paraId="22055A81" w14:textId="77777777" w:rsidR="00B30367" w:rsidRPr="00F31693" w:rsidRDefault="00041630" w:rsidP="007B7693">
            <w:pPr>
              <w:spacing w:after="0" w:line="240" w:lineRule="auto"/>
              <w:jc w:val="center"/>
              <w:rPr>
                <w:rFonts w:eastAsia="Times New Roman" w:cs="Times New Roman"/>
                <w:color w:val="000000"/>
              </w:rPr>
            </w:pPr>
            <w:r w:rsidRPr="00F31693">
              <w:rPr>
                <w:rFonts w:eastAsia="Times New Roman" w:cs="Times New Roman"/>
                <w:color w:val="000000"/>
              </w:rPr>
              <w:t>-33%</w:t>
            </w:r>
          </w:p>
        </w:tc>
      </w:tr>
    </w:tbl>
    <w:p w14:paraId="095B4D35" w14:textId="77777777" w:rsidR="00053A89" w:rsidRPr="00F31693" w:rsidRDefault="00053A89" w:rsidP="0048130B">
      <w:pPr>
        <w:pStyle w:val="NoSpacing"/>
      </w:pPr>
    </w:p>
    <w:p w14:paraId="0EADAB12" w14:textId="77777777" w:rsidR="00FE6A1B" w:rsidRPr="00F31693" w:rsidRDefault="00FE6A1B" w:rsidP="00FE6A1B">
      <w:r w:rsidRPr="00F31693">
        <w:t>For fiscal year 201</w:t>
      </w:r>
      <w:r w:rsidR="00041630" w:rsidRPr="00F31693">
        <w:t>6</w:t>
      </w:r>
      <w:r w:rsidRPr="00F31693">
        <w:t xml:space="preserve"> the Bank processed </w:t>
      </w:r>
      <w:r w:rsidR="003576E4" w:rsidRPr="00F31693">
        <w:t>5</w:t>
      </w:r>
      <w:r w:rsidRPr="00F31693">
        <w:t>,</w:t>
      </w:r>
      <w:r w:rsidR="00041630" w:rsidRPr="00F31693">
        <w:t>280</w:t>
      </w:r>
      <w:r w:rsidRPr="00F31693">
        <w:t xml:space="preserve"> wire transfers for customers, $</w:t>
      </w:r>
      <w:r w:rsidR="00041630" w:rsidRPr="00F31693">
        <w:t>3,432,115,601.06</w:t>
      </w:r>
      <w:r w:rsidRPr="00F31693">
        <w:t xml:space="preserve"> </w:t>
      </w:r>
      <w:proofErr w:type="gramStart"/>
      <w:r w:rsidRPr="00F31693">
        <w:t>incoming</w:t>
      </w:r>
      <w:proofErr w:type="gramEnd"/>
      <w:r w:rsidRPr="00F31693">
        <w:t xml:space="preserve"> and $</w:t>
      </w:r>
      <w:r w:rsidR="00041630" w:rsidRPr="00F31693">
        <w:t>2,565,209,009.85</w:t>
      </w:r>
      <w:r w:rsidRPr="00F31693">
        <w:t xml:space="preserve"> outgoing. </w:t>
      </w:r>
      <w:r w:rsidR="00371F4E" w:rsidRPr="00F31693">
        <w:t>F</w:t>
      </w:r>
      <w:r w:rsidRPr="00F31693">
        <w:t xml:space="preserve">oreign wire transfers </w:t>
      </w:r>
      <w:r w:rsidR="00371F4E" w:rsidRPr="00F31693">
        <w:t>are not included in these totals</w:t>
      </w:r>
      <w:r w:rsidRPr="00F31693">
        <w:t>.</w:t>
      </w:r>
    </w:p>
    <w:p w14:paraId="37888996" w14:textId="77777777" w:rsidR="00FE6A1B" w:rsidRPr="00F31693" w:rsidRDefault="00FE6A1B" w:rsidP="00FE6A1B">
      <w:r w:rsidRPr="00F31693">
        <w:t>For fiscal year 201</w:t>
      </w:r>
      <w:r w:rsidR="00041630" w:rsidRPr="00F31693">
        <w:t>5</w:t>
      </w:r>
      <w:r w:rsidRPr="00F31693">
        <w:t xml:space="preserve"> the Bank processed </w:t>
      </w:r>
      <w:r w:rsidR="00041630" w:rsidRPr="00F31693">
        <w:t xml:space="preserve">5,033 </w:t>
      </w:r>
      <w:r w:rsidRPr="00F31693">
        <w:t xml:space="preserve">wire transfers for customers, </w:t>
      </w:r>
      <w:r w:rsidR="00041630" w:rsidRPr="00F31693">
        <w:t xml:space="preserve">$5,123,229,502.02 </w:t>
      </w:r>
      <w:proofErr w:type="gramStart"/>
      <w:r w:rsidRPr="00F31693">
        <w:t>incoming</w:t>
      </w:r>
      <w:proofErr w:type="gramEnd"/>
      <w:r w:rsidRPr="00F31693">
        <w:t xml:space="preserve"> and </w:t>
      </w:r>
      <w:r w:rsidR="00041630" w:rsidRPr="00F31693">
        <w:t xml:space="preserve">$3,569,301,357.85 </w:t>
      </w:r>
      <w:r w:rsidRPr="00F31693">
        <w:t xml:space="preserve">outgoing. </w:t>
      </w:r>
      <w:r w:rsidR="00812424" w:rsidRPr="00F31693">
        <w:t>Foreign wire transfers are not included in these totals.</w:t>
      </w:r>
      <w:r w:rsidRPr="00F31693">
        <w:t xml:space="preserve"> </w:t>
      </w:r>
    </w:p>
    <w:p w14:paraId="0C13143D" w14:textId="77777777" w:rsidR="00FE6A1B" w:rsidRPr="00F31693" w:rsidRDefault="00FE6A1B" w:rsidP="00FE6A1B">
      <w:r w:rsidRPr="00F31693">
        <w:t xml:space="preserve">The </w:t>
      </w:r>
      <w:r w:rsidR="00BF48C8" w:rsidRPr="00F31693">
        <w:t>decrease</w:t>
      </w:r>
      <w:r w:rsidRPr="00F31693">
        <w:t xml:space="preserve"> for incoming wire</w:t>
      </w:r>
      <w:r w:rsidR="00BF48C8" w:rsidRPr="00F31693">
        <w:t>s</w:t>
      </w:r>
      <w:r w:rsidRPr="00F31693">
        <w:t xml:space="preserve"> was </w:t>
      </w:r>
      <w:r w:rsidR="00BF48C8" w:rsidRPr="00F31693">
        <w:t>-33</w:t>
      </w:r>
      <w:r w:rsidR="00C76C8E" w:rsidRPr="00F31693">
        <w:t>%</w:t>
      </w:r>
      <w:r w:rsidRPr="00F31693">
        <w:t xml:space="preserve"> and outgoing wires</w:t>
      </w:r>
      <w:r w:rsidR="00C76C8E" w:rsidRPr="00F31693">
        <w:t xml:space="preserve"> was </w:t>
      </w:r>
      <w:r w:rsidR="00BF48C8" w:rsidRPr="00F31693">
        <w:t>-39</w:t>
      </w:r>
      <w:r w:rsidR="00D01323" w:rsidRPr="00F31693">
        <w:t>%</w:t>
      </w:r>
      <w:r w:rsidRPr="00F31693">
        <w:t>.</w:t>
      </w:r>
    </w:p>
    <w:p w14:paraId="52FC2C58" w14:textId="77777777" w:rsidR="0075673D" w:rsidRPr="00F31693" w:rsidRDefault="00437E1C" w:rsidP="00A95E97">
      <w:pPr>
        <w:rPr>
          <w:b/>
          <w:u w:val="single"/>
        </w:rPr>
      </w:pPr>
      <w:r w:rsidRPr="00F31693">
        <w:rPr>
          <w:b/>
          <w:u w:val="single"/>
        </w:rPr>
        <w:t xml:space="preserve">Cash Management, </w:t>
      </w:r>
      <w:r w:rsidR="00A1238D" w:rsidRPr="00F31693">
        <w:rPr>
          <w:b/>
          <w:u w:val="single"/>
        </w:rPr>
        <w:t>Internet Banking</w:t>
      </w:r>
      <w:r w:rsidRPr="00F31693">
        <w:rPr>
          <w:b/>
          <w:u w:val="single"/>
        </w:rPr>
        <w:t xml:space="preserve"> and</w:t>
      </w:r>
      <w:r w:rsidR="00A1238D" w:rsidRPr="00F31693">
        <w:rPr>
          <w:b/>
          <w:u w:val="single"/>
        </w:rPr>
        <w:t xml:space="preserve"> Mobile</w:t>
      </w:r>
      <w:r w:rsidR="0075673D" w:rsidRPr="00F31693">
        <w:rPr>
          <w:b/>
          <w:u w:val="single"/>
        </w:rPr>
        <w:t xml:space="preserve"> Banking</w:t>
      </w:r>
    </w:p>
    <w:p w14:paraId="2F3E110C" w14:textId="5E8F48CD" w:rsidR="00A82A8C" w:rsidRPr="00F31693" w:rsidRDefault="006473DB" w:rsidP="00673446">
      <w:r>
        <w:t xml:space="preserve">J. Wallace </w:t>
      </w:r>
      <w:r w:rsidR="0075673D" w:rsidRPr="00F31693">
        <w:t>offers Cash Management Internet services to business</w:t>
      </w:r>
      <w:r w:rsidR="00877709" w:rsidRPr="00F31693">
        <w:t xml:space="preserve"> </w:t>
      </w:r>
      <w:r w:rsidR="0075673D" w:rsidRPr="00F31693">
        <w:t xml:space="preserve">customers. </w:t>
      </w:r>
      <w:r w:rsidR="002279B3" w:rsidRPr="00F31693">
        <w:t>These services include</w:t>
      </w:r>
      <w:r w:rsidR="00A82A8C" w:rsidRPr="00F31693">
        <w:t xml:space="preserve"> originating ACH transactions for the management of cash flow through multi-tiered security levels, processing payroll direct deposit, Corporate Cash Concentration and Disbursements and EFTPS Tax</w:t>
      </w:r>
      <w:r w:rsidR="00A73DF6" w:rsidRPr="00F31693">
        <w:t>.</w:t>
      </w:r>
      <w:r w:rsidR="00A82A8C" w:rsidRPr="00F31693">
        <w:t xml:space="preserve"> Payments and origination of wire transfer requests without the inconvenience of leaving the office. </w:t>
      </w:r>
      <w:proofErr w:type="gramStart"/>
      <w:r w:rsidR="00A82A8C" w:rsidRPr="00F31693">
        <w:t>Additionally</w:t>
      </w:r>
      <w:proofErr w:type="gramEnd"/>
      <w:r w:rsidR="00A82A8C" w:rsidRPr="00F31693">
        <w:t xml:space="preserve"> customers can receive daily reports on checks that come in to be paid with the Bank’s Positive Pay check reconciliation service.</w:t>
      </w:r>
    </w:p>
    <w:tbl>
      <w:tblPr>
        <w:tblW w:w="7120" w:type="dxa"/>
        <w:tblInd w:w="95" w:type="dxa"/>
        <w:tblLook w:val="04A0" w:firstRow="1" w:lastRow="0" w:firstColumn="1" w:lastColumn="0" w:noHBand="0" w:noVBand="1"/>
      </w:tblPr>
      <w:tblGrid>
        <w:gridCol w:w="2980"/>
        <w:gridCol w:w="960"/>
        <w:gridCol w:w="960"/>
        <w:gridCol w:w="981"/>
        <w:gridCol w:w="1260"/>
      </w:tblGrid>
      <w:tr w:rsidR="00294187" w:rsidRPr="00F31693" w14:paraId="4799B0D5" w14:textId="77777777" w:rsidTr="00294187">
        <w:trPr>
          <w:trHeight w:val="30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0D478" w14:textId="77777777" w:rsidR="00294187" w:rsidRPr="00F31693" w:rsidRDefault="00294187" w:rsidP="00294187">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lastRenderedPageBreak/>
              <w:t xml:space="preserve">Cash </w:t>
            </w:r>
            <w:proofErr w:type="gramStart"/>
            <w:r w:rsidRPr="00F31693">
              <w:rPr>
                <w:rFonts w:ascii="Calibri" w:eastAsia="Times New Roman" w:hAnsi="Calibri" w:cs="Times New Roman"/>
                <w:b/>
                <w:bCs/>
                <w:color w:val="000000"/>
              </w:rPr>
              <w:t>Management  Customers</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83FB00" w14:textId="77777777" w:rsidR="00294187" w:rsidRPr="00F31693" w:rsidRDefault="00294187" w:rsidP="003E074F">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201</w:t>
            </w:r>
            <w:r w:rsidR="003E074F" w:rsidRPr="00F31693">
              <w:rPr>
                <w:rFonts w:ascii="Calibri" w:eastAsia="Times New Roman" w:hAnsi="Calibri" w:cs="Times New Roman"/>
                <w:b/>
                <w:bCs/>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410F23" w14:textId="77777777" w:rsidR="00294187" w:rsidRPr="00F31693" w:rsidRDefault="00294187" w:rsidP="003E074F">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201</w:t>
            </w:r>
            <w:r w:rsidR="003E074F" w:rsidRPr="00F31693">
              <w:rPr>
                <w:rFonts w:ascii="Calibri" w:eastAsia="Times New Roman" w:hAnsi="Calibri" w:cs="Times New Roman"/>
                <w:b/>
                <w:bCs/>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EE66EB" w14:textId="77777777" w:rsidR="00294187" w:rsidRPr="00F31693" w:rsidRDefault="00294187" w:rsidP="00294187">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 xml:space="preserve">Increase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1EEF781" w14:textId="77777777" w:rsidR="00294187" w:rsidRPr="00F31693" w:rsidRDefault="00294187" w:rsidP="00294187">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w:t>
            </w:r>
          </w:p>
        </w:tc>
      </w:tr>
      <w:tr w:rsidR="00294187" w:rsidRPr="00F31693" w14:paraId="1DE9FC14" w14:textId="77777777" w:rsidTr="0029418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6E21B238" w14:textId="77777777" w:rsidR="00294187" w:rsidRPr="00F31693" w:rsidRDefault="00294187" w:rsidP="00294187">
            <w:pPr>
              <w:spacing w:after="0" w:line="240" w:lineRule="auto"/>
              <w:rPr>
                <w:rFonts w:ascii="Calibri" w:eastAsia="Times New Roman" w:hAnsi="Calibri" w:cs="Times New Roman"/>
                <w:color w:val="000000"/>
              </w:rPr>
            </w:pPr>
            <w:r w:rsidRPr="00F31693">
              <w:rPr>
                <w:rFonts w:ascii="Calibri" w:eastAsia="Times New Roman" w:hAnsi="Calibri" w:cs="Times New Roman"/>
                <w:color w:val="000000"/>
              </w:rPr>
              <w:t>Business Customers</w:t>
            </w:r>
          </w:p>
        </w:tc>
        <w:tc>
          <w:tcPr>
            <w:tcW w:w="960" w:type="dxa"/>
            <w:tcBorders>
              <w:top w:val="nil"/>
              <w:left w:val="nil"/>
              <w:bottom w:val="single" w:sz="4" w:space="0" w:color="auto"/>
              <w:right w:val="single" w:sz="4" w:space="0" w:color="auto"/>
            </w:tcBorders>
            <w:shd w:val="clear" w:color="auto" w:fill="auto"/>
            <w:noWrap/>
            <w:vAlign w:val="bottom"/>
            <w:hideMark/>
          </w:tcPr>
          <w:p w14:paraId="1DBF1332" w14:textId="77777777" w:rsidR="00294187" w:rsidRPr="00F31693" w:rsidRDefault="003E074F"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14:paraId="46501A96" w14:textId="77777777" w:rsidR="00294187" w:rsidRPr="00F31693" w:rsidRDefault="003E074F" w:rsidP="003E074F">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43</w:t>
            </w:r>
          </w:p>
        </w:tc>
        <w:tc>
          <w:tcPr>
            <w:tcW w:w="960" w:type="dxa"/>
            <w:tcBorders>
              <w:top w:val="nil"/>
              <w:left w:val="nil"/>
              <w:bottom w:val="single" w:sz="4" w:space="0" w:color="auto"/>
              <w:right w:val="single" w:sz="4" w:space="0" w:color="auto"/>
            </w:tcBorders>
            <w:shd w:val="clear" w:color="auto" w:fill="auto"/>
            <w:noWrap/>
            <w:vAlign w:val="bottom"/>
            <w:hideMark/>
          </w:tcPr>
          <w:p w14:paraId="0A18D9E4" w14:textId="77777777" w:rsidR="00294187" w:rsidRPr="00F31693" w:rsidRDefault="00283095"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13</w:t>
            </w:r>
          </w:p>
        </w:tc>
        <w:tc>
          <w:tcPr>
            <w:tcW w:w="1260" w:type="dxa"/>
            <w:tcBorders>
              <w:top w:val="nil"/>
              <w:left w:val="nil"/>
              <w:bottom w:val="single" w:sz="4" w:space="0" w:color="auto"/>
              <w:right w:val="single" w:sz="4" w:space="0" w:color="auto"/>
            </w:tcBorders>
            <w:shd w:val="clear" w:color="auto" w:fill="auto"/>
            <w:noWrap/>
            <w:vAlign w:val="bottom"/>
            <w:hideMark/>
          </w:tcPr>
          <w:p w14:paraId="766BBACB" w14:textId="77777777" w:rsidR="00294187" w:rsidRPr="00F31693" w:rsidRDefault="00283095" w:rsidP="00283095">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30.23</w:t>
            </w:r>
            <w:r w:rsidR="00294187" w:rsidRPr="00F31693">
              <w:rPr>
                <w:rFonts w:ascii="Calibri" w:eastAsia="Times New Roman" w:hAnsi="Calibri" w:cs="Times New Roman"/>
                <w:color w:val="000000"/>
              </w:rPr>
              <w:t>%</w:t>
            </w:r>
          </w:p>
        </w:tc>
      </w:tr>
    </w:tbl>
    <w:p w14:paraId="34784855" w14:textId="77777777" w:rsidR="00294187" w:rsidRPr="00F31693" w:rsidRDefault="00294187" w:rsidP="00294187">
      <w:pPr>
        <w:pStyle w:val="NoSpacing"/>
      </w:pPr>
    </w:p>
    <w:p w14:paraId="057BC025" w14:textId="30B07BB1" w:rsidR="00A82A8C" w:rsidRPr="00F31693" w:rsidRDefault="006473DB" w:rsidP="00A82A8C">
      <w:r>
        <w:t xml:space="preserve">J. Wallace </w:t>
      </w:r>
      <w:r w:rsidR="00A82A8C" w:rsidRPr="00F31693">
        <w:t>offers Internet Banking to business</w:t>
      </w:r>
      <w:r w:rsidR="00877709" w:rsidRPr="00F31693">
        <w:t xml:space="preserve"> and personal</w:t>
      </w:r>
      <w:r w:rsidR="00A82A8C" w:rsidRPr="00F31693">
        <w:t xml:space="preserve"> </w:t>
      </w:r>
      <w:proofErr w:type="gramStart"/>
      <w:r w:rsidR="00A82A8C" w:rsidRPr="00F31693">
        <w:t>customers</w:t>
      </w:r>
      <w:proofErr w:type="gramEnd"/>
      <w:r w:rsidR="00A82A8C" w:rsidRPr="00F31693">
        <w:t xml:space="preserve"> giving them convenient online access to their accounts. Customers can research transaction history and balance information, reorder checks and transfer funds between </w:t>
      </w:r>
      <w:r>
        <w:t xml:space="preserve">J. Wallace </w:t>
      </w:r>
      <w:r w:rsidR="00A82A8C" w:rsidRPr="00F31693">
        <w:t xml:space="preserve">Business statement accounts. </w:t>
      </w:r>
      <w:proofErr w:type="gramStart"/>
      <w:r w:rsidR="00A82A8C" w:rsidRPr="00F31693">
        <w:t>Additionally</w:t>
      </w:r>
      <w:proofErr w:type="gramEnd"/>
      <w:r w:rsidR="00A82A8C" w:rsidRPr="00F31693">
        <w:t xml:space="preserve"> customers can receive emailed alerts on balance and transaction activity.</w:t>
      </w:r>
    </w:p>
    <w:tbl>
      <w:tblPr>
        <w:tblW w:w="7120" w:type="dxa"/>
        <w:tblInd w:w="95" w:type="dxa"/>
        <w:tblLook w:val="04A0" w:firstRow="1" w:lastRow="0" w:firstColumn="1" w:lastColumn="0" w:noHBand="0" w:noVBand="1"/>
      </w:tblPr>
      <w:tblGrid>
        <w:gridCol w:w="2980"/>
        <w:gridCol w:w="960"/>
        <w:gridCol w:w="960"/>
        <w:gridCol w:w="981"/>
        <w:gridCol w:w="1260"/>
      </w:tblGrid>
      <w:tr w:rsidR="00294187" w:rsidRPr="00F31693" w14:paraId="18006B27" w14:textId="77777777" w:rsidTr="00294187">
        <w:trPr>
          <w:trHeight w:val="60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7080E" w14:textId="77777777" w:rsidR="00294187" w:rsidRPr="00F31693" w:rsidRDefault="00294187" w:rsidP="00294187">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Internet Banking Customers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4CFF45" w14:textId="77777777" w:rsidR="00294187" w:rsidRPr="00F31693" w:rsidRDefault="00294187" w:rsidP="00E20149">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201</w:t>
            </w:r>
            <w:r w:rsidR="00E20149" w:rsidRPr="00F31693">
              <w:rPr>
                <w:rFonts w:ascii="Calibri" w:eastAsia="Times New Roman" w:hAnsi="Calibri" w:cs="Times New Roman"/>
                <w:b/>
                <w:bCs/>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E9A90C" w14:textId="77777777" w:rsidR="00294187" w:rsidRPr="00F31693" w:rsidRDefault="00294187" w:rsidP="00E20149">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201</w:t>
            </w:r>
            <w:r w:rsidR="00E20149" w:rsidRPr="00F31693">
              <w:rPr>
                <w:rFonts w:ascii="Calibri" w:eastAsia="Times New Roman" w:hAnsi="Calibri" w:cs="Times New Roman"/>
                <w:b/>
                <w:bCs/>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0706ED" w14:textId="77777777" w:rsidR="00294187" w:rsidRPr="00F31693" w:rsidRDefault="00294187" w:rsidP="00294187">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Increase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09A19C93" w14:textId="77777777" w:rsidR="00294187" w:rsidRPr="00F31693" w:rsidRDefault="00294187" w:rsidP="00294187">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 xml:space="preserve">Percent </w:t>
            </w:r>
            <w:r w:rsidRPr="00F31693">
              <w:rPr>
                <w:rFonts w:ascii="Calibri" w:eastAsia="Times New Roman" w:hAnsi="Calibri" w:cs="Times New Roman"/>
                <w:b/>
                <w:bCs/>
                <w:color w:val="000000"/>
              </w:rPr>
              <w:br/>
              <w:t>Increase</w:t>
            </w:r>
          </w:p>
        </w:tc>
      </w:tr>
      <w:tr w:rsidR="00294187" w:rsidRPr="00F31693" w14:paraId="7DF7AD05" w14:textId="77777777" w:rsidTr="0029418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631B7009" w14:textId="77777777" w:rsidR="00294187" w:rsidRPr="00F31693" w:rsidRDefault="00294187" w:rsidP="00294187">
            <w:pPr>
              <w:spacing w:after="0" w:line="240" w:lineRule="auto"/>
              <w:rPr>
                <w:rFonts w:ascii="Calibri" w:eastAsia="Times New Roman" w:hAnsi="Calibri" w:cs="Times New Roman"/>
                <w:color w:val="000000"/>
              </w:rPr>
            </w:pPr>
            <w:r w:rsidRPr="00F31693">
              <w:rPr>
                <w:rFonts w:ascii="Calibri" w:eastAsia="Times New Roman" w:hAnsi="Calibri" w:cs="Times New Roman"/>
                <w:color w:val="000000"/>
              </w:rPr>
              <w:t>Personal</w:t>
            </w:r>
          </w:p>
        </w:tc>
        <w:tc>
          <w:tcPr>
            <w:tcW w:w="960" w:type="dxa"/>
            <w:tcBorders>
              <w:top w:val="nil"/>
              <w:left w:val="nil"/>
              <w:bottom w:val="single" w:sz="4" w:space="0" w:color="auto"/>
              <w:right w:val="single" w:sz="4" w:space="0" w:color="auto"/>
            </w:tcBorders>
            <w:shd w:val="clear" w:color="auto" w:fill="auto"/>
            <w:noWrap/>
            <w:vAlign w:val="bottom"/>
            <w:hideMark/>
          </w:tcPr>
          <w:p w14:paraId="2EA6044E" w14:textId="77777777" w:rsidR="00294187" w:rsidRPr="00F31693" w:rsidRDefault="00E20149" w:rsidP="007B7693">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9,585</w:t>
            </w:r>
          </w:p>
        </w:tc>
        <w:tc>
          <w:tcPr>
            <w:tcW w:w="960" w:type="dxa"/>
            <w:tcBorders>
              <w:top w:val="nil"/>
              <w:left w:val="nil"/>
              <w:bottom w:val="single" w:sz="4" w:space="0" w:color="auto"/>
              <w:right w:val="single" w:sz="4" w:space="0" w:color="auto"/>
            </w:tcBorders>
            <w:shd w:val="clear" w:color="auto" w:fill="auto"/>
            <w:noWrap/>
            <w:vAlign w:val="bottom"/>
            <w:hideMark/>
          </w:tcPr>
          <w:p w14:paraId="31FFE18E" w14:textId="77777777" w:rsidR="00294187" w:rsidRPr="00F31693" w:rsidRDefault="00E20149" w:rsidP="007B7693">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8,688</w:t>
            </w:r>
          </w:p>
        </w:tc>
        <w:tc>
          <w:tcPr>
            <w:tcW w:w="960" w:type="dxa"/>
            <w:tcBorders>
              <w:top w:val="nil"/>
              <w:left w:val="nil"/>
              <w:bottom w:val="single" w:sz="4" w:space="0" w:color="auto"/>
              <w:right w:val="single" w:sz="4" w:space="0" w:color="auto"/>
            </w:tcBorders>
            <w:shd w:val="clear" w:color="auto" w:fill="auto"/>
            <w:noWrap/>
            <w:vAlign w:val="bottom"/>
            <w:hideMark/>
          </w:tcPr>
          <w:p w14:paraId="407CC76C" w14:textId="77777777" w:rsidR="00294187" w:rsidRPr="00F31693" w:rsidRDefault="00D45931" w:rsidP="007B7693">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897</w:t>
            </w:r>
          </w:p>
        </w:tc>
        <w:tc>
          <w:tcPr>
            <w:tcW w:w="1260" w:type="dxa"/>
            <w:tcBorders>
              <w:top w:val="nil"/>
              <w:left w:val="nil"/>
              <w:bottom w:val="single" w:sz="4" w:space="0" w:color="auto"/>
              <w:right w:val="single" w:sz="4" w:space="0" w:color="auto"/>
            </w:tcBorders>
            <w:shd w:val="clear" w:color="auto" w:fill="auto"/>
            <w:noWrap/>
            <w:vAlign w:val="bottom"/>
            <w:hideMark/>
          </w:tcPr>
          <w:p w14:paraId="0DFB54FA" w14:textId="77777777" w:rsidR="00294187" w:rsidRPr="00F31693" w:rsidRDefault="008D1B2B" w:rsidP="008D1B2B">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10.32</w:t>
            </w:r>
            <w:r w:rsidR="00294187" w:rsidRPr="00F31693">
              <w:rPr>
                <w:rFonts w:ascii="Calibri" w:eastAsia="Times New Roman" w:hAnsi="Calibri" w:cs="Times New Roman"/>
                <w:color w:val="000000"/>
              </w:rPr>
              <w:t>%</w:t>
            </w:r>
          </w:p>
        </w:tc>
      </w:tr>
      <w:tr w:rsidR="00294187" w:rsidRPr="00F31693" w14:paraId="2E5CE269" w14:textId="77777777" w:rsidTr="00294187">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1B58D7B" w14:textId="77777777" w:rsidR="00294187" w:rsidRPr="00F31693" w:rsidRDefault="00294187" w:rsidP="00294187">
            <w:pPr>
              <w:spacing w:after="0" w:line="240" w:lineRule="auto"/>
              <w:rPr>
                <w:rFonts w:ascii="Calibri" w:eastAsia="Times New Roman" w:hAnsi="Calibri" w:cs="Times New Roman"/>
                <w:color w:val="000000"/>
              </w:rPr>
            </w:pPr>
            <w:r w:rsidRPr="00F31693">
              <w:rPr>
                <w:rFonts w:ascii="Calibri" w:eastAsia="Times New Roman" w:hAnsi="Calibri" w:cs="Times New Roman"/>
                <w:color w:val="000000"/>
              </w:rPr>
              <w:t>Business</w:t>
            </w:r>
          </w:p>
        </w:tc>
        <w:tc>
          <w:tcPr>
            <w:tcW w:w="960" w:type="dxa"/>
            <w:tcBorders>
              <w:top w:val="nil"/>
              <w:left w:val="nil"/>
              <w:bottom w:val="single" w:sz="4" w:space="0" w:color="auto"/>
              <w:right w:val="single" w:sz="4" w:space="0" w:color="auto"/>
            </w:tcBorders>
            <w:shd w:val="clear" w:color="auto" w:fill="auto"/>
            <w:noWrap/>
            <w:vAlign w:val="bottom"/>
            <w:hideMark/>
          </w:tcPr>
          <w:p w14:paraId="4D017A7B" w14:textId="77777777" w:rsidR="00294187" w:rsidRPr="00F31693" w:rsidRDefault="00D45931" w:rsidP="007B7693">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1,829</w:t>
            </w:r>
          </w:p>
        </w:tc>
        <w:tc>
          <w:tcPr>
            <w:tcW w:w="960" w:type="dxa"/>
            <w:tcBorders>
              <w:top w:val="nil"/>
              <w:left w:val="nil"/>
              <w:bottom w:val="single" w:sz="4" w:space="0" w:color="auto"/>
              <w:right w:val="single" w:sz="4" w:space="0" w:color="auto"/>
            </w:tcBorders>
            <w:shd w:val="clear" w:color="auto" w:fill="auto"/>
            <w:noWrap/>
            <w:vAlign w:val="bottom"/>
            <w:hideMark/>
          </w:tcPr>
          <w:p w14:paraId="4CC48F82" w14:textId="77777777" w:rsidR="00294187" w:rsidRPr="00F31693" w:rsidRDefault="00E20149" w:rsidP="007B7693">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1,599</w:t>
            </w:r>
          </w:p>
        </w:tc>
        <w:tc>
          <w:tcPr>
            <w:tcW w:w="960" w:type="dxa"/>
            <w:tcBorders>
              <w:top w:val="nil"/>
              <w:left w:val="nil"/>
              <w:bottom w:val="single" w:sz="4" w:space="0" w:color="auto"/>
              <w:right w:val="single" w:sz="4" w:space="0" w:color="auto"/>
            </w:tcBorders>
            <w:shd w:val="clear" w:color="auto" w:fill="auto"/>
            <w:noWrap/>
            <w:vAlign w:val="bottom"/>
            <w:hideMark/>
          </w:tcPr>
          <w:p w14:paraId="2BC24B5D" w14:textId="77777777" w:rsidR="00294187" w:rsidRPr="00F31693" w:rsidRDefault="008D1B2B" w:rsidP="007B7693">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230</w:t>
            </w:r>
          </w:p>
        </w:tc>
        <w:tc>
          <w:tcPr>
            <w:tcW w:w="1260" w:type="dxa"/>
            <w:tcBorders>
              <w:top w:val="nil"/>
              <w:left w:val="nil"/>
              <w:bottom w:val="single" w:sz="4" w:space="0" w:color="auto"/>
              <w:right w:val="single" w:sz="4" w:space="0" w:color="auto"/>
            </w:tcBorders>
            <w:shd w:val="clear" w:color="auto" w:fill="auto"/>
            <w:noWrap/>
            <w:vAlign w:val="bottom"/>
            <w:hideMark/>
          </w:tcPr>
          <w:p w14:paraId="57D20028" w14:textId="77777777" w:rsidR="00294187" w:rsidRPr="00F31693" w:rsidRDefault="008D1B2B" w:rsidP="007B7693">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14.38</w:t>
            </w:r>
            <w:r w:rsidR="00294187" w:rsidRPr="00F31693">
              <w:rPr>
                <w:rFonts w:ascii="Calibri" w:eastAsia="Times New Roman" w:hAnsi="Calibri" w:cs="Times New Roman"/>
                <w:color w:val="000000"/>
              </w:rPr>
              <w:t>%</w:t>
            </w:r>
          </w:p>
        </w:tc>
      </w:tr>
      <w:tr w:rsidR="00294187" w:rsidRPr="00F31693" w14:paraId="2CE8EE39" w14:textId="77777777" w:rsidTr="00294187">
        <w:trPr>
          <w:trHeight w:val="300"/>
        </w:trPr>
        <w:tc>
          <w:tcPr>
            <w:tcW w:w="2980" w:type="dxa"/>
            <w:tcBorders>
              <w:top w:val="nil"/>
              <w:left w:val="nil"/>
              <w:bottom w:val="nil"/>
              <w:right w:val="single" w:sz="4" w:space="0" w:color="auto"/>
            </w:tcBorders>
            <w:shd w:val="clear" w:color="auto" w:fill="auto"/>
            <w:noWrap/>
            <w:vAlign w:val="bottom"/>
            <w:hideMark/>
          </w:tcPr>
          <w:p w14:paraId="3C66B4DB" w14:textId="77777777" w:rsidR="00294187" w:rsidRPr="00F31693" w:rsidRDefault="00294187" w:rsidP="00294187">
            <w:pPr>
              <w:spacing w:after="0" w:line="240" w:lineRule="auto"/>
              <w:rPr>
                <w:rFonts w:ascii="Calibri" w:eastAsia="Times New Roman" w:hAnsi="Calibri" w:cs="Times New Roman"/>
                <w:color w:val="000000"/>
              </w:rPr>
            </w:pPr>
            <w:r w:rsidRPr="00F31693">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B34FFD0" w14:textId="77777777" w:rsidR="00294187" w:rsidRPr="00F31693" w:rsidRDefault="00294187" w:rsidP="00D45931">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r w:rsidR="00D45931" w:rsidRPr="00F31693">
              <w:rPr>
                <w:rFonts w:ascii="Calibri" w:eastAsia="Times New Roman" w:hAnsi="Calibri" w:cs="Times New Roman"/>
                <w:color w:val="000000"/>
              </w:rPr>
              <w:t>1,414</w:t>
            </w:r>
          </w:p>
        </w:tc>
        <w:tc>
          <w:tcPr>
            <w:tcW w:w="960" w:type="dxa"/>
            <w:tcBorders>
              <w:top w:val="nil"/>
              <w:left w:val="nil"/>
              <w:bottom w:val="single" w:sz="4" w:space="0" w:color="auto"/>
              <w:right w:val="single" w:sz="4" w:space="0" w:color="auto"/>
            </w:tcBorders>
            <w:shd w:val="clear" w:color="auto" w:fill="auto"/>
            <w:noWrap/>
            <w:vAlign w:val="bottom"/>
            <w:hideMark/>
          </w:tcPr>
          <w:p w14:paraId="4B46A8A0" w14:textId="77777777" w:rsidR="00294187" w:rsidRPr="00F31693" w:rsidRDefault="00E20149" w:rsidP="00E2014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10,287</w:t>
            </w:r>
          </w:p>
        </w:tc>
        <w:tc>
          <w:tcPr>
            <w:tcW w:w="960" w:type="dxa"/>
            <w:tcBorders>
              <w:top w:val="nil"/>
              <w:left w:val="nil"/>
              <w:bottom w:val="single" w:sz="4" w:space="0" w:color="auto"/>
              <w:right w:val="single" w:sz="4" w:space="0" w:color="auto"/>
            </w:tcBorders>
            <w:shd w:val="clear" w:color="auto" w:fill="auto"/>
            <w:noWrap/>
            <w:vAlign w:val="bottom"/>
            <w:hideMark/>
          </w:tcPr>
          <w:p w14:paraId="70BFE8B3" w14:textId="77777777" w:rsidR="00294187" w:rsidRPr="00F31693" w:rsidRDefault="00294187" w:rsidP="008D1B2B">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r w:rsidR="008D1B2B" w:rsidRPr="00F31693">
              <w:rPr>
                <w:rFonts w:ascii="Calibri" w:eastAsia="Times New Roman" w:hAnsi="Calibri" w:cs="Times New Roman"/>
                <w:color w:val="000000"/>
              </w:rPr>
              <w:t>127</w:t>
            </w:r>
          </w:p>
        </w:tc>
        <w:tc>
          <w:tcPr>
            <w:tcW w:w="1260" w:type="dxa"/>
            <w:tcBorders>
              <w:top w:val="nil"/>
              <w:left w:val="nil"/>
              <w:bottom w:val="single" w:sz="4" w:space="0" w:color="auto"/>
              <w:right w:val="single" w:sz="4" w:space="0" w:color="auto"/>
            </w:tcBorders>
            <w:shd w:val="clear" w:color="auto" w:fill="auto"/>
            <w:noWrap/>
            <w:vAlign w:val="bottom"/>
            <w:hideMark/>
          </w:tcPr>
          <w:p w14:paraId="0D4F0E6C" w14:textId="77777777" w:rsidR="00294187" w:rsidRPr="00F31693" w:rsidRDefault="00BB003C" w:rsidP="00BB003C">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10.95</w:t>
            </w:r>
            <w:r w:rsidR="00294187" w:rsidRPr="00F31693">
              <w:rPr>
                <w:rFonts w:ascii="Calibri" w:eastAsia="Times New Roman" w:hAnsi="Calibri" w:cs="Times New Roman"/>
                <w:color w:val="000000"/>
              </w:rPr>
              <w:t>%</w:t>
            </w:r>
          </w:p>
        </w:tc>
      </w:tr>
    </w:tbl>
    <w:p w14:paraId="7F07C1E4" w14:textId="77777777" w:rsidR="00294187" w:rsidRPr="00F31693" w:rsidRDefault="00294187" w:rsidP="00294187">
      <w:pPr>
        <w:pStyle w:val="NoSpacing"/>
      </w:pPr>
    </w:p>
    <w:p w14:paraId="67A64914" w14:textId="77777777" w:rsidR="00673446" w:rsidRPr="00F31693" w:rsidRDefault="00673446" w:rsidP="00673446">
      <w:r w:rsidRPr="00F31693">
        <w:t>Online bill pay presents unique BSA/AML risks in various stages of the money laundering process. In the placement stage, online banking grants customers remote access and therefore increases potential unauthorized access to customer’s account. At the layering stage, online banking grants non-human contact and speed transactions. At the integration stage, online banking allows for the purchase of high value items.</w:t>
      </w:r>
    </w:p>
    <w:tbl>
      <w:tblPr>
        <w:tblW w:w="7236" w:type="dxa"/>
        <w:tblInd w:w="95" w:type="dxa"/>
        <w:tblLook w:val="04A0" w:firstRow="1" w:lastRow="0" w:firstColumn="1" w:lastColumn="0" w:noHBand="0" w:noVBand="1"/>
      </w:tblPr>
      <w:tblGrid>
        <w:gridCol w:w="2980"/>
        <w:gridCol w:w="960"/>
        <w:gridCol w:w="960"/>
        <w:gridCol w:w="1076"/>
        <w:gridCol w:w="1260"/>
      </w:tblGrid>
      <w:tr w:rsidR="00294187" w:rsidRPr="00F31693" w14:paraId="35475619" w14:textId="77777777" w:rsidTr="00B31529">
        <w:trPr>
          <w:trHeight w:val="825"/>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E6AD7" w14:textId="77777777" w:rsidR="00294187" w:rsidRPr="00F31693" w:rsidRDefault="00294187" w:rsidP="00294187">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Bill Pay Customers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65AD7E" w14:textId="77777777" w:rsidR="00294187" w:rsidRPr="00F31693" w:rsidRDefault="00294187" w:rsidP="006E081C">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FY</w:t>
            </w:r>
            <w:r w:rsidR="00DF49A8">
              <w:rPr>
                <w:rFonts w:ascii="Calibri" w:eastAsia="Times New Roman" w:hAnsi="Calibri" w:cs="Times New Roman"/>
                <w:b/>
                <w:bCs/>
                <w:color w:val="000000"/>
              </w:rPr>
              <w:t>E</w:t>
            </w:r>
            <w:r w:rsidRPr="00F31693">
              <w:rPr>
                <w:rFonts w:ascii="Calibri" w:eastAsia="Times New Roman" w:hAnsi="Calibri" w:cs="Times New Roman"/>
                <w:b/>
                <w:bCs/>
                <w:color w:val="000000"/>
              </w:rPr>
              <w:t xml:space="preserve"> 201</w:t>
            </w:r>
            <w:r w:rsidR="006E081C" w:rsidRPr="00F31693">
              <w:rPr>
                <w:rFonts w:ascii="Calibri" w:eastAsia="Times New Roman" w:hAnsi="Calibri" w:cs="Times New Roman"/>
                <w:b/>
                <w:bCs/>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FBDB07D" w14:textId="77777777" w:rsidR="00294187" w:rsidRPr="00F31693" w:rsidRDefault="00294187" w:rsidP="006E081C">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FY</w:t>
            </w:r>
            <w:r w:rsidR="0059409A">
              <w:rPr>
                <w:rFonts w:ascii="Calibri" w:eastAsia="Times New Roman" w:hAnsi="Calibri" w:cs="Times New Roman"/>
                <w:b/>
                <w:bCs/>
                <w:color w:val="000000"/>
              </w:rPr>
              <w:t>E</w:t>
            </w:r>
            <w:r w:rsidRPr="00F31693">
              <w:rPr>
                <w:rFonts w:ascii="Calibri" w:eastAsia="Times New Roman" w:hAnsi="Calibri" w:cs="Times New Roman"/>
                <w:b/>
                <w:bCs/>
                <w:color w:val="000000"/>
              </w:rPr>
              <w:t xml:space="preserve"> 201</w:t>
            </w:r>
            <w:r w:rsidR="006E081C" w:rsidRPr="00F31693">
              <w:rPr>
                <w:rFonts w:ascii="Calibri" w:eastAsia="Times New Roman" w:hAnsi="Calibri" w:cs="Times New Roman"/>
                <w:b/>
                <w:bCs/>
                <w:color w:val="000000"/>
              </w:rPr>
              <w:t>5</w:t>
            </w:r>
          </w:p>
        </w:tc>
        <w:tc>
          <w:tcPr>
            <w:tcW w:w="1076" w:type="dxa"/>
            <w:tcBorders>
              <w:top w:val="single" w:sz="4" w:space="0" w:color="auto"/>
              <w:left w:val="nil"/>
              <w:bottom w:val="single" w:sz="4" w:space="0" w:color="auto"/>
              <w:right w:val="single" w:sz="4" w:space="0" w:color="auto"/>
            </w:tcBorders>
            <w:shd w:val="clear" w:color="auto" w:fill="auto"/>
            <w:vAlign w:val="bottom"/>
            <w:hideMark/>
          </w:tcPr>
          <w:p w14:paraId="4B286C99" w14:textId="77777777" w:rsidR="00294187" w:rsidRPr="00F31693" w:rsidRDefault="00294187" w:rsidP="00294187">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 xml:space="preserve">Increase/ Decrease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68DB0478" w14:textId="77777777" w:rsidR="00294187" w:rsidRPr="00F31693" w:rsidRDefault="00294187" w:rsidP="00294187">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Percent Increase/ Decrease</w:t>
            </w:r>
          </w:p>
        </w:tc>
      </w:tr>
      <w:tr w:rsidR="00294187" w:rsidRPr="00F31693" w14:paraId="26D13E44" w14:textId="77777777" w:rsidTr="00B31529">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CBEC325" w14:textId="77777777" w:rsidR="00294187" w:rsidRPr="00F31693" w:rsidRDefault="00294187" w:rsidP="00C81576">
            <w:pPr>
              <w:spacing w:after="0" w:line="240" w:lineRule="auto"/>
              <w:jc w:val="both"/>
              <w:rPr>
                <w:rFonts w:ascii="Calibri" w:eastAsia="Times New Roman" w:hAnsi="Calibri" w:cs="Times New Roman"/>
                <w:bCs/>
                <w:color w:val="000000"/>
              </w:rPr>
            </w:pPr>
            <w:r w:rsidRPr="00F31693">
              <w:rPr>
                <w:rFonts w:ascii="Calibri" w:eastAsia="Times New Roman" w:hAnsi="Calibri" w:cs="Times New Roman"/>
                <w:bCs/>
                <w:color w:val="000000"/>
              </w:rPr>
              <w:t>Total Active Bill Pay Users</w:t>
            </w:r>
          </w:p>
        </w:tc>
        <w:tc>
          <w:tcPr>
            <w:tcW w:w="960" w:type="dxa"/>
            <w:tcBorders>
              <w:top w:val="nil"/>
              <w:left w:val="nil"/>
              <w:bottom w:val="single" w:sz="4" w:space="0" w:color="auto"/>
              <w:right w:val="single" w:sz="4" w:space="0" w:color="auto"/>
            </w:tcBorders>
            <w:shd w:val="clear" w:color="auto" w:fill="auto"/>
            <w:noWrap/>
            <w:vAlign w:val="bottom"/>
            <w:hideMark/>
          </w:tcPr>
          <w:p w14:paraId="0D510F8D" w14:textId="77777777" w:rsidR="00294187" w:rsidRPr="00F31693" w:rsidRDefault="006E081C"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1,416</w:t>
            </w:r>
          </w:p>
        </w:tc>
        <w:tc>
          <w:tcPr>
            <w:tcW w:w="960" w:type="dxa"/>
            <w:tcBorders>
              <w:top w:val="nil"/>
              <w:left w:val="nil"/>
              <w:bottom w:val="single" w:sz="4" w:space="0" w:color="auto"/>
              <w:right w:val="single" w:sz="4" w:space="0" w:color="auto"/>
            </w:tcBorders>
            <w:shd w:val="clear" w:color="auto" w:fill="auto"/>
            <w:noWrap/>
            <w:vAlign w:val="bottom"/>
            <w:hideMark/>
          </w:tcPr>
          <w:p w14:paraId="79CE5508" w14:textId="77777777" w:rsidR="00294187" w:rsidRPr="00F31693" w:rsidRDefault="00CE2C14"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1,291</w:t>
            </w:r>
          </w:p>
        </w:tc>
        <w:tc>
          <w:tcPr>
            <w:tcW w:w="1076" w:type="dxa"/>
            <w:tcBorders>
              <w:top w:val="nil"/>
              <w:left w:val="nil"/>
              <w:bottom w:val="single" w:sz="4" w:space="0" w:color="auto"/>
              <w:right w:val="single" w:sz="4" w:space="0" w:color="auto"/>
            </w:tcBorders>
            <w:shd w:val="clear" w:color="auto" w:fill="auto"/>
            <w:noWrap/>
            <w:vAlign w:val="bottom"/>
            <w:hideMark/>
          </w:tcPr>
          <w:p w14:paraId="7BA118AD" w14:textId="77777777" w:rsidR="00294187" w:rsidRPr="00F31693" w:rsidRDefault="00CE2C14"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125</w:t>
            </w:r>
          </w:p>
        </w:tc>
        <w:tc>
          <w:tcPr>
            <w:tcW w:w="1260" w:type="dxa"/>
            <w:tcBorders>
              <w:top w:val="nil"/>
              <w:left w:val="nil"/>
              <w:bottom w:val="single" w:sz="4" w:space="0" w:color="auto"/>
              <w:right w:val="single" w:sz="4" w:space="0" w:color="auto"/>
            </w:tcBorders>
            <w:shd w:val="clear" w:color="auto" w:fill="auto"/>
            <w:noWrap/>
            <w:vAlign w:val="bottom"/>
            <w:hideMark/>
          </w:tcPr>
          <w:p w14:paraId="6E3C9FF4" w14:textId="77777777" w:rsidR="00294187" w:rsidRPr="00F31693" w:rsidRDefault="003C794E"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9.68%</w:t>
            </w:r>
          </w:p>
        </w:tc>
      </w:tr>
      <w:tr w:rsidR="00294187" w:rsidRPr="00F31693" w14:paraId="0AA9CEC4" w14:textId="77777777" w:rsidTr="00B31529">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444E7C76" w14:textId="77777777" w:rsidR="00294187" w:rsidRPr="00F31693" w:rsidRDefault="00294187" w:rsidP="00C81576">
            <w:pPr>
              <w:spacing w:after="0" w:line="240" w:lineRule="auto"/>
              <w:jc w:val="both"/>
              <w:rPr>
                <w:rFonts w:ascii="Calibri" w:eastAsia="Times New Roman" w:hAnsi="Calibri" w:cs="Times New Roman"/>
                <w:bCs/>
                <w:color w:val="000000"/>
              </w:rPr>
            </w:pPr>
            <w:r w:rsidRPr="00F31693">
              <w:rPr>
                <w:rFonts w:ascii="Calibri" w:eastAsia="Times New Roman" w:hAnsi="Calibri" w:cs="Times New Roman"/>
                <w:bCs/>
                <w:color w:val="000000"/>
              </w:rPr>
              <w:t>CheckFree Bill Processed</w:t>
            </w:r>
          </w:p>
        </w:tc>
        <w:tc>
          <w:tcPr>
            <w:tcW w:w="960" w:type="dxa"/>
            <w:tcBorders>
              <w:top w:val="nil"/>
              <w:left w:val="nil"/>
              <w:bottom w:val="single" w:sz="4" w:space="0" w:color="auto"/>
              <w:right w:val="single" w:sz="4" w:space="0" w:color="auto"/>
            </w:tcBorders>
            <w:shd w:val="clear" w:color="auto" w:fill="auto"/>
            <w:noWrap/>
            <w:vAlign w:val="bottom"/>
            <w:hideMark/>
          </w:tcPr>
          <w:p w14:paraId="120998D5" w14:textId="77777777" w:rsidR="00294187" w:rsidRPr="00F31693" w:rsidRDefault="006E081C"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105,704</w:t>
            </w:r>
          </w:p>
        </w:tc>
        <w:tc>
          <w:tcPr>
            <w:tcW w:w="960" w:type="dxa"/>
            <w:tcBorders>
              <w:top w:val="nil"/>
              <w:left w:val="nil"/>
              <w:bottom w:val="single" w:sz="4" w:space="0" w:color="auto"/>
              <w:right w:val="single" w:sz="4" w:space="0" w:color="auto"/>
            </w:tcBorders>
            <w:shd w:val="clear" w:color="auto" w:fill="auto"/>
            <w:noWrap/>
            <w:vAlign w:val="bottom"/>
            <w:hideMark/>
          </w:tcPr>
          <w:p w14:paraId="1538CE51" w14:textId="77777777" w:rsidR="00294187" w:rsidRPr="00F31693" w:rsidRDefault="00CE2C14"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99,194</w:t>
            </w:r>
          </w:p>
        </w:tc>
        <w:tc>
          <w:tcPr>
            <w:tcW w:w="1076" w:type="dxa"/>
            <w:tcBorders>
              <w:top w:val="nil"/>
              <w:left w:val="nil"/>
              <w:bottom w:val="single" w:sz="4" w:space="0" w:color="auto"/>
              <w:right w:val="single" w:sz="4" w:space="0" w:color="auto"/>
            </w:tcBorders>
            <w:shd w:val="clear" w:color="auto" w:fill="auto"/>
            <w:noWrap/>
            <w:vAlign w:val="bottom"/>
            <w:hideMark/>
          </w:tcPr>
          <w:p w14:paraId="3F4FAFF9" w14:textId="77777777" w:rsidR="00294187" w:rsidRPr="00F31693" w:rsidRDefault="003C794E"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6,510</w:t>
            </w:r>
          </w:p>
        </w:tc>
        <w:tc>
          <w:tcPr>
            <w:tcW w:w="1260" w:type="dxa"/>
            <w:tcBorders>
              <w:top w:val="nil"/>
              <w:left w:val="nil"/>
              <w:bottom w:val="single" w:sz="4" w:space="0" w:color="auto"/>
              <w:right w:val="single" w:sz="4" w:space="0" w:color="auto"/>
            </w:tcBorders>
            <w:shd w:val="clear" w:color="auto" w:fill="auto"/>
            <w:noWrap/>
            <w:vAlign w:val="bottom"/>
            <w:hideMark/>
          </w:tcPr>
          <w:p w14:paraId="6F1EC649" w14:textId="77777777" w:rsidR="00294187" w:rsidRPr="00F31693" w:rsidRDefault="00384F20"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6.56%</w:t>
            </w:r>
          </w:p>
        </w:tc>
      </w:tr>
      <w:tr w:rsidR="00294187" w:rsidRPr="00F31693" w14:paraId="0605BD3B" w14:textId="77777777" w:rsidTr="00B31529">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F6DEC94" w14:textId="77777777" w:rsidR="00294187" w:rsidRPr="00F31693" w:rsidRDefault="00294187" w:rsidP="00C81576">
            <w:pPr>
              <w:spacing w:after="0" w:line="240" w:lineRule="auto"/>
              <w:jc w:val="both"/>
              <w:rPr>
                <w:rFonts w:ascii="Calibri" w:eastAsia="Times New Roman" w:hAnsi="Calibri" w:cs="Times New Roman"/>
                <w:bCs/>
                <w:color w:val="000000"/>
              </w:rPr>
            </w:pPr>
            <w:r w:rsidRPr="00F31693">
              <w:rPr>
                <w:rFonts w:ascii="Calibri" w:eastAsia="Times New Roman" w:hAnsi="Calibri" w:cs="Times New Roman"/>
                <w:bCs/>
                <w:color w:val="000000"/>
              </w:rPr>
              <w:t xml:space="preserve">New CheckFree </w:t>
            </w:r>
            <w:proofErr w:type="spellStart"/>
            <w:r w:rsidRPr="00F31693">
              <w:rPr>
                <w:rFonts w:ascii="Calibri" w:eastAsia="Times New Roman" w:hAnsi="Calibri" w:cs="Times New Roman"/>
                <w:bCs/>
                <w:color w:val="000000"/>
              </w:rPr>
              <w:t>Billpay</w:t>
            </w:r>
            <w:proofErr w:type="spellEnd"/>
            <w:r w:rsidRPr="00F31693">
              <w:rPr>
                <w:rFonts w:ascii="Calibri" w:eastAsia="Times New Roman" w:hAnsi="Calibri" w:cs="Times New Roman"/>
                <w:bCs/>
                <w:color w:val="000000"/>
              </w:rPr>
              <w:t xml:space="preserve"> Users</w:t>
            </w:r>
          </w:p>
        </w:tc>
        <w:tc>
          <w:tcPr>
            <w:tcW w:w="960" w:type="dxa"/>
            <w:tcBorders>
              <w:top w:val="nil"/>
              <w:left w:val="nil"/>
              <w:bottom w:val="single" w:sz="4" w:space="0" w:color="auto"/>
              <w:right w:val="single" w:sz="4" w:space="0" w:color="auto"/>
            </w:tcBorders>
            <w:shd w:val="clear" w:color="auto" w:fill="auto"/>
            <w:noWrap/>
            <w:vAlign w:val="bottom"/>
            <w:hideMark/>
          </w:tcPr>
          <w:p w14:paraId="2719A629" w14:textId="77777777" w:rsidR="00294187" w:rsidRPr="00F31693" w:rsidRDefault="006E081C"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1,130</w:t>
            </w:r>
          </w:p>
        </w:tc>
        <w:tc>
          <w:tcPr>
            <w:tcW w:w="960" w:type="dxa"/>
            <w:tcBorders>
              <w:top w:val="nil"/>
              <w:left w:val="nil"/>
              <w:bottom w:val="single" w:sz="4" w:space="0" w:color="auto"/>
              <w:right w:val="single" w:sz="4" w:space="0" w:color="auto"/>
            </w:tcBorders>
            <w:shd w:val="clear" w:color="auto" w:fill="auto"/>
            <w:noWrap/>
            <w:vAlign w:val="bottom"/>
            <w:hideMark/>
          </w:tcPr>
          <w:p w14:paraId="1E0835CF" w14:textId="77777777" w:rsidR="00294187" w:rsidRPr="00F31693" w:rsidRDefault="00CE2C14"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1,187</w:t>
            </w:r>
          </w:p>
        </w:tc>
        <w:tc>
          <w:tcPr>
            <w:tcW w:w="1076" w:type="dxa"/>
            <w:tcBorders>
              <w:top w:val="nil"/>
              <w:left w:val="nil"/>
              <w:bottom w:val="single" w:sz="4" w:space="0" w:color="auto"/>
              <w:right w:val="single" w:sz="4" w:space="0" w:color="auto"/>
            </w:tcBorders>
            <w:shd w:val="clear" w:color="auto" w:fill="auto"/>
            <w:noWrap/>
            <w:vAlign w:val="bottom"/>
            <w:hideMark/>
          </w:tcPr>
          <w:p w14:paraId="3C05018B" w14:textId="77777777" w:rsidR="00294187" w:rsidRPr="00F31693" w:rsidRDefault="003C794E"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-57</w:t>
            </w:r>
          </w:p>
        </w:tc>
        <w:tc>
          <w:tcPr>
            <w:tcW w:w="1260" w:type="dxa"/>
            <w:tcBorders>
              <w:top w:val="nil"/>
              <w:left w:val="nil"/>
              <w:bottom w:val="single" w:sz="4" w:space="0" w:color="auto"/>
              <w:right w:val="single" w:sz="4" w:space="0" w:color="auto"/>
            </w:tcBorders>
            <w:shd w:val="clear" w:color="auto" w:fill="auto"/>
            <w:noWrap/>
            <w:vAlign w:val="bottom"/>
            <w:hideMark/>
          </w:tcPr>
          <w:p w14:paraId="271905F1" w14:textId="77777777" w:rsidR="00294187" w:rsidRPr="00F31693" w:rsidRDefault="00384F20"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-4.80%</w:t>
            </w:r>
          </w:p>
        </w:tc>
      </w:tr>
      <w:tr w:rsidR="00294187" w:rsidRPr="00F31693" w14:paraId="1E150300" w14:textId="77777777" w:rsidTr="00B31529">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5392945" w14:textId="77777777" w:rsidR="00294187" w:rsidRPr="00F31693" w:rsidRDefault="00294187" w:rsidP="00C81576">
            <w:pPr>
              <w:spacing w:after="0" w:line="240" w:lineRule="auto"/>
              <w:jc w:val="both"/>
              <w:rPr>
                <w:rFonts w:ascii="Calibri" w:eastAsia="Times New Roman" w:hAnsi="Calibri" w:cs="Times New Roman"/>
                <w:bCs/>
                <w:color w:val="000000"/>
              </w:rPr>
            </w:pPr>
            <w:r w:rsidRPr="00F31693">
              <w:rPr>
                <w:rFonts w:ascii="Calibri" w:eastAsia="Times New Roman" w:hAnsi="Calibri" w:cs="Times New Roman"/>
                <w:bCs/>
                <w:color w:val="000000"/>
              </w:rPr>
              <w:t>CheckFree Customer Count</w:t>
            </w:r>
          </w:p>
        </w:tc>
        <w:tc>
          <w:tcPr>
            <w:tcW w:w="960" w:type="dxa"/>
            <w:tcBorders>
              <w:top w:val="nil"/>
              <w:left w:val="nil"/>
              <w:bottom w:val="single" w:sz="4" w:space="0" w:color="auto"/>
              <w:right w:val="single" w:sz="4" w:space="0" w:color="auto"/>
            </w:tcBorders>
            <w:shd w:val="clear" w:color="auto" w:fill="auto"/>
            <w:noWrap/>
            <w:vAlign w:val="bottom"/>
            <w:hideMark/>
          </w:tcPr>
          <w:p w14:paraId="1CF115AF" w14:textId="77777777" w:rsidR="00294187" w:rsidRPr="00F31693" w:rsidRDefault="006E081C"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6,750</w:t>
            </w:r>
          </w:p>
        </w:tc>
        <w:tc>
          <w:tcPr>
            <w:tcW w:w="960" w:type="dxa"/>
            <w:tcBorders>
              <w:top w:val="nil"/>
              <w:left w:val="nil"/>
              <w:bottom w:val="single" w:sz="4" w:space="0" w:color="auto"/>
              <w:right w:val="single" w:sz="4" w:space="0" w:color="auto"/>
            </w:tcBorders>
            <w:shd w:val="clear" w:color="auto" w:fill="auto"/>
            <w:noWrap/>
            <w:vAlign w:val="bottom"/>
            <w:hideMark/>
          </w:tcPr>
          <w:p w14:paraId="67D99757" w14:textId="77777777" w:rsidR="00294187" w:rsidRPr="00F31693" w:rsidRDefault="00CE2C14"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6,172</w:t>
            </w:r>
          </w:p>
        </w:tc>
        <w:tc>
          <w:tcPr>
            <w:tcW w:w="1076" w:type="dxa"/>
            <w:tcBorders>
              <w:top w:val="nil"/>
              <w:left w:val="nil"/>
              <w:bottom w:val="single" w:sz="4" w:space="0" w:color="auto"/>
              <w:right w:val="single" w:sz="4" w:space="0" w:color="auto"/>
            </w:tcBorders>
            <w:shd w:val="clear" w:color="auto" w:fill="auto"/>
            <w:noWrap/>
            <w:vAlign w:val="bottom"/>
            <w:hideMark/>
          </w:tcPr>
          <w:p w14:paraId="218FCA5C" w14:textId="77777777" w:rsidR="00294187" w:rsidRPr="00F31693" w:rsidRDefault="003C794E"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578</w:t>
            </w:r>
          </w:p>
        </w:tc>
        <w:tc>
          <w:tcPr>
            <w:tcW w:w="1260" w:type="dxa"/>
            <w:tcBorders>
              <w:top w:val="nil"/>
              <w:left w:val="nil"/>
              <w:bottom w:val="single" w:sz="4" w:space="0" w:color="auto"/>
              <w:right w:val="single" w:sz="4" w:space="0" w:color="auto"/>
            </w:tcBorders>
            <w:shd w:val="clear" w:color="auto" w:fill="auto"/>
            <w:noWrap/>
            <w:vAlign w:val="bottom"/>
            <w:hideMark/>
          </w:tcPr>
          <w:p w14:paraId="2452F886" w14:textId="77777777" w:rsidR="00294187" w:rsidRPr="00F31693" w:rsidRDefault="00E54E86" w:rsidP="00294187">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9.36%</w:t>
            </w:r>
          </w:p>
        </w:tc>
      </w:tr>
    </w:tbl>
    <w:p w14:paraId="2720D412" w14:textId="77777777" w:rsidR="00294187" w:rsidRPr="00F31693" w:rsidRDefault="00294187" w:rsidP="00294187">
      <w:pPr>
        <w:pStyle w:val="NoSpacing"/>
      </w:pPr>
    </w:p>
    <w:p w14:paraId="31746B71" w14:textId="19D79713" w:rsidR="00673446" w:rsidRPr="00F31693" w:rsidRDefault="00673446" w:rsidP="00673446">
      <w:r w:rsidRPr="00F31693">
        <w:t xml:space="preserve">To alleviate the placement risks associated with online bill pay, </w:t>
      </w:r>
      <w:r w:rsidR="006473DB">
        <w:t xml:space="preserve">J. Wallace </w:t>
      </w:r>
      <w:r w:rsidRPr="00F31693">
        <w:t xml:space="preserve">maintains a robust CIP/KYC and CDD/EDD programs, which includes developing a thorough customer profile for each client and obtaining information on the customer's occupation/line of business and anticipated transaction volumes at account opening and throughout the term of the relationship. Moreover, </w:t>
      </w:r>
      <w:proofErr w:type="gramStart"/>
      <w:r w:rsidRPr="00F31693">
        <w:t>as a general rule</w:t>
      </w:r>
      <w:proofErr w:type="gramEnd"/>
      <w:r w:rsidRPr="00F31693">
        <w:t xml:space="preserve">, </w:t>
      </w:r>
      <w:r w:rsidR="006473DB">
        <w:t xml:space="preserve">J. Wallace </w:t>
      </w:r>
      <w:r w:rsidRPr="00F31693">
        <w:t>does not open non-</w:t>
      </w:r>
      <w:proofErr w:type="gramStart"/>
      <w:r w:rsidRPr="00F31693">
        <w:t>face to face</w:t>
      </w:r>
      <w:proofErr w:type="gramEnd"/>
      <w:r w:rsidRPr="00F31693">
        <w:t xml:space="preserve"> accounts. </w:t>
      </w:r>
    </w:p>
    <w:p w14:paraId="5A4A8AAB" w14:textId="77777777" w:rsidR="00673446" w:rsidRPr="00F31693" w:rsidRDefault="00673446" w:rsidP="00673446">
      <w:r w:rsidRPr="00F31693">
        <w:t xml:space="preserve">To alleviate the risks of illicit funds being integrated </w:t>
      </w:r>
      <w:proofErr w:type="gramStart"/>
      <w:r w:rsidRPr="00F31693">
        <w:t>by the use of</w:t>
      </w:r>
      <w:proofErr w:type="gramEnd"/>
      <w:r w:rsidRPr="00F31693">
        <w:t xml:space="preserve"> online bill pay, the current ACH parameters for the monthly review are reasonably designed to identify money laundering activity and/or suspicious or unusual activity at integration. In addition to the monthly monitoring of ACH transactions, the BSA staff also conducts quarterly and/or semi-annually review of </w:t>
      </w:r>
      <w:proofErr w:type="gramStart"/>
      <w:r w:rsidRPr="00F31693">
        <w:t>high risk</w:t>
      </w:r>
      <w:proofErr w:type="gramEnd"/>
      <w:r w:rsidRPr="00F31693">
        <w:t xml:space="preserve"> clients and total deposits for personal and non-personal customers to identify any possible money laundering activity at this stage.</w:t>
      </w:r>
    </w:p>
    <w:p w14:paraId="78B699EF" w14:textId="77777777" w:rsidR="007F6E21" w:rsidRPr="00F31693" w:rsidRDefault="007F6E21" w:rsidP="00A95E97"/>
    <w:p w14:paraId="103C6189" w14:textId="77777777" w:rsidR="001359E6" w:rsidRPr="00F31693" w:rsidRDefault="001359E6" w:rsidP="00A95E97">
      <w:r w:rsidRPr="00F31693">
        <w:lastRenderedPageBreak/>
        <w:t xml:space="preserve">The </w:t>
      </w:r>
      <w:r w:rsidR="00AD1AA0" w:rsidRPr="00F31693">
        <w:t>statistics</w:t>
      </w:r>
      <w:r w:rsidRPr="00F31693">
        <w:t xml:space="preserve"> for users of mobile banking</w:t>
      </w:r>
      <w:r w:rsidR="0026246E" w:rsidRPr="00F31693">
        <w:t xml:space="preserve"> during the </w:t>
      </w:r>
      <w:r w:rsidR="00AD1AA0" w:rsidRPr="00F31693">
        <w:t xml:space="preserve">current </w:t>
      </w:r>
      <w:r w:rsidR="0026246E" w:rsidRPr="00F31693">
        <w:t>assessment period</w:t>
      </w:r>
      <w:r w:rsidRPr="00F31693">
        <w:t xml:space="preserve"> </w:t>
      </w:r>
      <w:r w:rsidR="006A7BE8" w:rsidRPr="00F31693">
        <w:t>are</w:t>
      </w:r>
      <w:r w:rsidRPr="00F31693">
        <w:t xml:space="preserve"> as follows:</w:t>
      </w:r>
    </w:p>
    <w:tbl>
      <w:tblPr>
        <w:tblW w:w="6380" w:type="dxa"/>
        <w:tblInd w:w="-18" w:type="dxa"/>
        <w:tblCellMar>
          <w:left w:w="0" w:type="dxa"/>
          <w:right w:w="0" w:type="dxa"/>
        </w:tblCellMar>
        <w:tblLook w:val="04A0" w:firstRow="1" w:lastRow="0" w:firstColumn="1" w:lastColumn="0" w:noHBand="0" w:noVBand="1"/>
      </w:tblPr>
      <w:tblGrid>
        <w:gridCol w:w="3966"/>
        <w:gridCol w:w="909"/>
        <w:gridCol w:w="1580"/>
      </w:tblGrid>
      <w:tr w:rsidR="006136AF" w:rsidRPr="00F31693" w14:paraId="6B394F9C" w14:textId="77777777" w:rsidTr="006136AF">
        <w:trPr>
          <w:trHeight w:val="288"/>
        </w:trPr>
        <w:tc>
          <w:tcPr>
            <w:tcW w:w="4800" w:type="dxa"/>
            <w:gridSpan w:val="2"/>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776740C" w14:textId="77777777" w:rsidR="006136AF" w:rsidRPr="00F31693" w:rsidRDefault="006136AF" w:rsidP="006136AF">
            <w:pPr>
              <w:spacing w:after="0" w:line="240" w:lineRule="auto"/>
              <w:jc w:val="center"/>
              <w:rPr>
                <w:rFonts w:ascii="Calibri" w:hAnsi="Calibri" w:cs="Times New Roman"/>
                <w:b/>
                <w:bCs/>
                <w:color w:val="000000"/>
              </w:rPr>
            </w:pPr>
            <w:r w:rsidRPr="00F31693">
              <w:rPr>
                <w:rFonts w:ascii="Calibri" w:hAnsi="Calibri" w:cs="Times New Roman"/>
                <w:b/>
                <w:bCs/>
                <w:color w:val="000000"/>
              </w:rPr>
              <w:t>Mobile Banking Statistics</w:t>
            </w:r>
          </w:p>
        </w:tc>
        <w:tc>
          <w:tcPr>
            <w:tcW w:w="1580" w:type="dxa"/>
            <w:noWrap/>
            <w:tcMar>
              <w:top w:w="0" w:type="dxa"/>
              <w:left w:w="108" w:type="dxa"/>
              <w:bottom w:w="0" w:type="dxa"/>
              <w:right w:w="108" w:type="dxa"/>
            </w:tcMar>
            <w:vAlign w:val="bottom"/>
            <w:hideMark/>
          </w:tcPr>
          <w:p w14:paraId="164EE1CE" w14:textId="77777777" w:rsidR="006136AF" w:rsidRPr="00F31693" w:rsidRDefault="006136AF" w:rsidP="006136AF">
            <w:pPr>
              <w:spacing w:after="0" w:line="240" w:lineRule="auto"/>
            </w:pPr>
          </w:p>
        </w:tc>
      </w:tr>
      <w:tr w:rsidR="006136AF" w:rsidRPr="00F31693" w14:paraId="42177045" w14:textId="77777777" w:rsidTr="006136AF">
        <w:trPr>
          <w:trHeight w:val="288"/>
        </w:trPr>
        <w:tc>
          <w:tcPr>
            <w:tcW w:w="39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0B00138" w14:textId="77777777" w:rsidR="006136AF" w:rsidRPr="00F31693" w:rsidRDefault="006136AF" w:rsidP="006136AF">
            <w:pPr>
              <w:spacing w:after="0" w:line="240" w:lineRule="auto"/>
              <w:rPr>
                <w:rFonts w:ascii="Calibri" w:hAnsi="Calibri" w:cs="Times New Roman"/>
                <w:color w:val="000000"/>
              </w:rPr>
            </w:pPr>
            <w:r w:rsidRPr="00F31693">
              <w:rPr>
                <w:rFonts w:ascii="Calibri" w:hAnsi="Calibri" w:cs="Times New Roman"/>
                <w:color w:val="000000"/>
              </w:rPr>
              <w:t xml:space="preserve">Item Description </w:t>
            </w:r>
          </w:p>
        </w:tc>
        <w:tc>
          <w:tcPr>
            <w:tcW w:w="8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B2B8A66" w14:textId="77777777" w:rsidR="006136AF" w:rsidRPr="00F31693" w:rsidRDefault="006136AF" w:rsidP="006136AF">
            <w:pPr>
              <w:spacing w:after="0" w:line="240" w:lineRule="auto"/>
              <w:rPr>
                <w:rFonts w:ascii="Calibri" w:hAnsi="Calibri" w:cs="Times New Roman"/>
                <w:color w:val="000000"/>
              </w:rPr>
            </w:pPr>
            <w:r w:rsidRPr="00F31693">
              <w:rPr>
                <w:rFonts w:ascii="Calibri" w:hAnsi="Calibri" w:cs="Times New Roman"/>
                <w:color w:val="000000"/>
              </w:rPr>
              <w:t>Volume</w:t>
            </w:r>
          </w:p>
        </w:tc>
        <w:tc>
          <w:tcPr>
            <w:tcW w:w="1580" w:type="dxa"/>
            <w:noWrap/>
            <w:tcMar>
              <w:top w:w="0" w:type="dxa"/>
              <w:left w:w="108" w:type="dxa"/>
              <w:bottom w:w="0" w:type="dxa"/>
              <w:right w:w="108" w:type="dxa"/>
            </w:tcMar>
            <w:vAlign w:val="bottom"/>
            <w:hideMark/>
          </w:tcPr>
          <w:p w14:paraId="606948B7" w14:textId="77777777" w:rsidR="006136AF" w:rsidRPr="00F31693" w:rsidRDefault="006136AF" w:rsidP="006136AF">
            <w:pPr>
              <w:spacing w:after="0" w:line="240" w:lineRule="auto"/>
            </w:pPr>
          </w:p>
        </w:tc>
      </w:tr>
      <w:tr w:rsidR="006136AF" w:rsidRPr="00F31693" w14:paraId="526E3D3C" w14:textId="77777777" w:rsidTr="006136AF">
        <w:trPr>
          <w:trHeight w:val="288"/>
        </w:trPr>
        <w:tc>
          <w:tcPr>
            <w:tcW w:w="39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83ACE1A" w14:textId="77777777" w:rsidR="006136AF" w:rsidRPr="00F31693" w:rsidRDefault="006136AF" w:rsidP="006136AF">
            <w:pPr>
              <w:spacing w:after="0" w:line="240" w:lineRule="auto"/>
              <w:rPr>
                <w:rFonts w:ascii="Calibri" w:hAnsi="Calibri" w:cs="Times New Roman"/>
                <w:color w:val="000000"/>
              </w:rPr>
            </w:pPr>
            <w:r w:rsidRPr="00F31693">
              <w:rPr>
                <w:rFonts w:ascii="Calibri" w:hAnsi="Calibri" w:cs="Times New Roman"/>
                <w:color w:val="000000"/>
              </w:rPr>
              <w:t xml:space="preserve">iPhone Apps Downloaded </w:t>
            </w:r>
          </w:p>
        </w:tc>
        <w:tc>
          <w:tcPr>
            <w:tcW w:w="8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301766A" w14:textId="77777777" w:rsidR="006136AF" w:rsidRPr="00F31693" w:rsidRDefault="006136AF" w:rsidP="006136AF">
            <w:pPr>
              <w:spacing w:after="0" w:line="240" w:lineRule="auto"/>
              <w:jc w:val="right"/>
              <w:rPr>
                <w:rFonts w:ascii="Calibri" w:hAnsi="Calibri" w:cs="Times New Roman"/>
                <w:color w:val="000000"/>
              </w:rPr>
            </w:pPr>
            <w:r w:rsidRPr="00F31693">
              <w:rPr>
                <w:rFonts w:ascii="Calibri" w:hAnsi="Calibri" w:cs="Times New Roman"/>
                <w:color w:val="000000"/>
              </w:rPr>
              <w:t>1,868</w:t>
            </w:r>
          </w:p>
        </w:tc>
        <w:tc>
          <w:tcPr>
            <w:tcW w:w="1580" w:type="dxa"/>
            <w:noWrap/>
            <w:tcMar>
              <w:top w:w="0" w:type="dxa"/>
              <w:left w:w="108" w:type="dxa"/>
              <w:bottom w:w="0" w:type="dxa"/>
              <w:right w:w="108" w:type="dxa"/>
            </w:tcMar>
            <w:vAlign w:val="bottom"/>
            <w:hideMark/>
          </w:tcPr>
          <w:p w14:paraId="0A28987A" w14:textId="77777777" w:rsidR="006136AF" w:rsidRPr="00F31693" w:rsidRDefault="006136AF" w:rsidP="006136AF">
            <w:pPr>
              <w:spacing w:after="0" w:line="240" w:lineRule="auto"/>
            </w:pPr>
          </w:p>
        </w:tc>
      </w:tr>
      <w:tr w:rsidR="006136AF" w:rsidRPr="00F31693" w14:paraId="05CDACBE" w14:textId="77777777" w:rsidTr="006136AF">
        <w:trPr>
          <w:trHeight w:val="288"/>
        </w:trPr>
        <w:tc>
          <w:tcPr>
            <w:tcW w:w="39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A301A7C" w14:textId="77777777" w:rsidR="006136AF" w:rsidRPr="00F31693" w:rsidRDefault="006136AF" w:rsidP="006136AF">
            <w:pPr>
              <w:spacing w:after="0" w:line="240" w:lineRule="auto"/>
              <w:rPr>
                <w:rFonts w:ascii="Calibri" w:hAnsi="Calibri" w:cs="Times New Roman"/>
                <w:color w:val="000000"/>
              </w:rPr>
            </w:pPr>
            <w:r w:rsidRPr="00F31693">
              <w:rPr>
                <w:rFonts w:ascii="Calibri" w:hAnsi="Calibri" w:cs="Times New Roman"/>
                <w:color w:val="000000"/>
              </w:rPr>
              <w:t xml:space="preserve">Android Apps Downloaded </w:t>
            </w:r>
          </w:p>
        </w:tc>
        <w:tc>
          <w:tcPr>
            <w:tcW w:w="8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274F245" w14:textId="77777777" w:rsidR="006136AF" w:rsidRPr="00F31693" w:rsidRDefault="006136AF" w:rsidP="006136AF">
            <w:pPr>
              <w:spacing w:after="0" w:line="240" w:lineRule="auto"/>
              <w:jc w:val="right"/>
              <w:rPr>
                <w:rFonts w:ascii="Calibri" w:hAnsi="Calibri" w:cs="Times New Roman"/>
                <w:color w:val="000000"/>
              </w:rPr>
            </w:pPr>
            <w:r w:rsidRPr="00F31693">
              <w:rPr>
                <w:rFonts w:ascii="Calibri" w:hAnsi="Calibri" w:cs="Times New Roman"/>
                <w:color w:val="000000"/>
              </w:rPr>
              <w:t>1,395</w:t>
            </w:r>
          </w:p>
        </w:tc>
        <w:tc>
          <w:tcPr>
            <w:tcW w:w="1580" w:type="dxa"/>
            <w:noWrap/>
            <w:tcMar>
              <w:top w:w="0" w:type="dxa"/>
              <w:left w:w="108" w:type="dxa"/>
              <w:bottom w:w="0" w:type="dxa"/>
              <w:right w:w="108" w:type="dxa"/>
            </w:tcMar>
            <w:vAlign w:val="bottom"/>
            <w:hideMark/>
          </w:tcPr>
          <w:p w14:paraId="6B7F1821" w14:textId="77777777" w:rsidR="006136AF" w:rsidRPr="00F31693" w:rsidRDefault="006136AF" w:rsidP="006136AF">
            <w:pPr>
              <w:spacing w:after="0" w:line="240" w:lineRule="auto"/>
            </w:pPr>
          </w:p>
        </w:tc>
      </w:tr>
      <w:tr w:rsidR="006136AF" w:rsidRPr="00F31693" w14:paraId="77FEE272" w14:textId="77777777" w:rsidTr="006136AF">
        <w:trPr>
          <w:trHeight w:val="288"/>
        </w:trPr>
        <w:tc>
          <w:tcPr>
            <w:tcW w:w="39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E68A727" w14:textId="77777777" w:rsidR="006136AF" w:rsidRPr="00F31693" w:rsidRDefault="006136AF" w:rsidP="006136AF">
            <w:pPr>
              <w:spacing w:after="0" w:line="240" w:lineRule="auto"/>
              <w:rPr>
                <w:rFonts w:ascii="Calibri" w:hAnsi="Calibri" w:cs="Times New Roman"/>
                <w:color w:val="000000"/>
              </w:rPr>
            </w:pPr>
            <w:r w:rsidRPr="00F31693">
              <w:rPr>
                <w:rFonts w:ascii="Calibri" w:hAnsi="Calibri" w:cs="Times New Roman"/>
                <w:color w:val="000000"/>
              </w:rPr>
              <w:t xml:space="preserve">Total Apps Downloaded </w:t>
            </w:r>
          </w:p>
        </w:tc>
        <w:tc>
          <w:tcPr>
            <w:tcW w:w="8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FE14A80" w14:textId="77777777" w:rsidR="006136AF" w:rsidRPr="00F31693" w:rsidRDefault="006136AF" w:rsidP="006136AF">
            <w:pPr>
              <w:spacing w:after="0" w:line="240" w:lineRule="auto"/>
              <w:jc w:val="right"/>
              <w:rPr>
                <w:rFonts w:ascii="Calibri" w:hAnsi="Calibri" w:cs="Times New Roman"/>
                <w:color w:val="000000"/>
              </w:rPr>
            </w:pPr>
            <w:r w:rsidRPr="00F31693">
              <w:rPr>
                <w:rFonts w:ascii="Calibri" w:hAnsi="Calibri" w:cs="Times New Roman"/>
                <w:color w:val="000000"/>
              </w:rPr>
              <w:t>3,263</w:t>
            </w:r>
          </w:p>
        </w:tc>
        <w:tc>
          <w:tcPr>
            <w:tcW w:w="1580" w:type="dxa"/>
            <w:noWrap/>
            <w:tcMar>
              <w:top w:w="0" w:type="dxa"/>
              <w:left w:w="108" w:type="dxa"/>
              <w:bottom w:w="0" w:type="dxa"/>
              <w:right w:w="108" w:type="dxa"/>
            </w:tcMar>
            <w:vAlign w:val="bottom"/>
            <w:hideMark/>
          </w:tcPr>
          <w:p w14:paraId="10F3E758" w14:textId="77777777" w:rsidR="006136AF" w:rsidRPr="00F31693" w:rsidRDefault="006136AF" w:rsidP="006136AF">
            <w:pPr>
              <w:spacing w:after="0" w:line="240" w:lineRule="auto"/>
            </w:pPr>
          </w:p>
        </w:tc>
      </w:tr>
      <w:tr w:rsidR="006136AF" w:rsidRPr="00F31693" w14:paraId="2BB1C12F" w14:textId="77777777" w:rsidTr="006136AF">
        <w:trPr>
          <w:trHeight w:val="288"/>
        </w:trPr>
        <w:tc>
          <w:tcPr>
            <w:tcW w:w="3966" w:type="dxa"/>
            <w:noWrap/>
            <w:tcMar>
              <w:top w:w="0" w:type="dxa"/>
              <w:left w:w="108" w:type="dxa"/>
              <w:bottom w:w="0" w:type="dxa"/>
              <w:right w:w="108" w:type="dxa"/>
            </w:tcMar>
            <w:vAlign w:val="bottom"/>
            <w:hideMark/>
          </w:tcPr>
          <w:p w14:paraId="08423A8F" w14:textId="77777777" w:rsidR="006136AF" w:rsidRPr="00F31693" w:rsidRDefault="006136AF" w:rsidP="006136AF">
            <w:pPr>
              <w:spacing w:after="0" w:line="240" w:lineRule="auto"/>
            </w:pPr>
          </w:p>
        </w:tc>
        <w:tc>
          <w:tcPr>
            <w:tcW w:w="834" w:type="dxa"/>
            <w:noWrap/>
            <w:tcMar>
              <w:top w:w="0" w:type="dxa"/>
              <w:left w:w="108" w:type="dxa"/>
              <w:bottom w:w="0" w:type="dxa"/>
              <w:right w:w="108" w:type="dxa"/>
            </w:tcMar>
            <w:vAlign w:val="bottom"/>
            <w:hideMark/>
          </w:tcPr>
          <w:p w14:paraId="6FCD3F43" w14:textId="77777777" w:rsidR="006136AF" w:rsidRPr="00F31693" w:rsidRDefault="006136AF" w:rsidP="006136AF">
            <w:pPr>
              <w:spacing w:after="0" w:line="240" w:lineRule="auto"/>
            </w:pPr>
          </w:p>
        </w:tc>
        <w:tc>
          <w:tcPr>
            <w:tcW w:w="1580" w:type="dxa"/>
            <w:noWrap/>
            <w:tcMar>
              <w:top w:w="0" w:type="dxa"/>
              <w:left w:w="108" w:type="dxa"/>
              <w:bottom w:w="0" w:type="dxa"/>
              <w:right w:w="108" w:type="dxa"/>
            </w:tcMar>
            <w:vAlign w:val="bottom"/>
            <w:hideMark/>
          </w:tcPr>
          <w:p w14:paraId="3000D9D6" w14:textId="77777777" w:rsidR="006136AF" w:rsidRPr="00F31693" w:rsidRDefault="006136AF" w:rsidP="006136AF">
            <w:pPr>
              <w:spacing w:after="0" w:line="240" w:lineRule="auto"/>
            </w:pPr>
          </w:p>
        </w:tc>
      </w:tr>
      <w:tr w:rsidR="006136AF" w:rsidRPr="00F31693" w14:paraId="5B15364B" w14:textId="77777777" w:rsidTr="006136AF">
        <w:trPr>
          <w:trHeight w:val="288"/>
        </w:trPr>
        <w:tc>
          <w:tcPr>
            <w:tcW w:w="396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D4CE4C4" w14:textId="77777777" w:rsidR="006136AF" w:rsidRPr="00F31693" w:rsidRDefault="006136AF" w:rsidP="006136AF">
            <w:pPr>
              <w:spacing w:after="0" w:line="240" w:lineRule="auto"/>
              <w:rPr>
                <w:rFonts w:ascii="Calibri" w:hAnsi="Calibri" w:cs="Times New Roman"/>
                <w:color w:val="000000"/>
              </w:rPr>
            </w:pPr>
            <w:r w:rsidRPr="00F31693">
              <w:rPr>
                <w:rFonts w:ascii="Calibri" w:hAnsi="Calibri" w:cs="Times New Roman"/>
                <w:color w:val="000000"/>
              </w:rPr>
              <w:t xml:space="preserve">Mobile Deposit Enrollments </w:t>
            </w:r>
          </w:p>
        </w:tc>
        <w:tc>
          <w:tcPr>
            <w:tcW w:w="8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9F111FC" w14:textId="77777777" w:rsidR="006136AF" w:rsidRPr="00F31693" w:rsidRDefault="006136AF" w:rsidP="006136AF">
            <w:pPr>
              <w:spacing w:after="0" w:line="240" w:lineRule="auto"/>
              <w:jc w:val="right"/>
              <w:rPr>
                <w:rFonts w:ascii="Calibri" w:hAnsi="Calibri" w:cs="Times New Roman"/>
                <w:color w:val="000000"/>
              </w:rPr>
            </w:pPr>
            <w:r w:rsidRPr="00F31693">
              <w:rPr>
                <w:rFonts w:ascii="Calibri" w:hAnsi="Calibri" w:cs="Times New Roman"/>
                <w:color w:val="000000"/>
              </w:rPr>
              <w:t>853</w:t>
            </w:r>
          </w:p>
        </w:tc>
        <w:tc>
          <w:tcPr>
            <w:tcW w:w="1580" w:type="dxa"/>
            <w:noWrap/>
            <w:tcMar>
              <w:top w:w="0" w:type="dxa"/>
              <w:left w:w="108" w:type="dxa"/>
              <w:bottom w:w="0" w:type="dxa"/>
              <w:right w:w="108" w:type="dxa"/>
            </w:tcMar>
            <w:vAlign w:val="bottom"/>
            <w:hideMark/>
          </w:tcPr>
          <w:p w14:paraId="604BE821" w14:textId="77777777" w:rsidR="006136AF" w:rsidRPr="00F31693" w:rsidRDefault="006136AF" w:rsidP="006136AF">
            <w:pPr>
              <w:spacing w:after="0" w:line="240" w:lineRule="auto"/>
            </w:pPr>
          </w:p>
        </w:tc>
      </w:tr>
    </w:tbl>
    <w:p w14:paraId="57D0C232" w14:textId="77777777" w:rsidR="0010073A" w:rsidRPr="00F31693" w:rsidRDefault="0010073A" w:rsidP="00A95E97"/>
    <w:tbl>
      <w:tblPr>
        <w:tblW w:w="6380" w:type="dxa"/>
        <w:tblInd w:w="-18" w:type="dxa"/>
        <w:tblCellMar>
          <w:left w:w="0" w:type="dxa"/>
          <w:right w:w="0" w:type="dxa"/>
        </w:tblCellMar>
        <w:tblLook w:val="04A0" w:firstRow="1" w:lastRow="0" w:firstColumn="1" w:lastColumn="0" w:noHBand="0" w:noVBand="1"/>
      </w:tblPr>
      <w:tblGrid>
        <w:gridCol w:w="3820"/>
        <w:gridCol w:w="980"/>
        <w:gridCol w:w="1580"/>
      </w:tblGrid>
      <w:tr w:rsidR="0010073A" w:rsidRPr="00F31693" w14:paraId="1047393C" w14:textId="77777777" w:rsidTr="0010073A">
        <w:trPr>
          <w:trHeight w:val="288"/>
        </w:trPr>
        <w:tc>
          <w:tcPr>
            <w:tcW w:w="38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EB6E807" w14:textId="77777777" w:rsidR="0010073A" w:rsidRPr="00F31693" w:rsidRDefault="0010073A" w:rsidP="0010073A">
            <w:pPr>
              <w:spacing w:after="0" w:line="240" w:lineRule="auto"/>
              <w:rPr>
                <w:rFonts w:ascii="Calibri" w:hAnsi="Calibri" w:cs="Times New Roman"/>
                <w:color w:val="000000"/>
              </w:rPr>
            </w:pPr>
            <w:r w:rsidRPr="00F31693">
              <w:rPr>
                <w:rFonts w:ascii="Calibri" w:hAnsi="Calibri" w:cs="Times New Roman"/>
                <w:color w:val="000000"/>
              </w:rPr>
              <w:t>Deposits - June 2015</w:t>
            </w:r>
          </w:p>
        </w:tc>
        <w:tc>
          <w:tcPr>
            <w:tcW w:w="9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9F05C03"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628</w:t>
            </w:r>
          </w:p>
        </w:tc>
        <w:tc>
          <w:tcPr>
            <w:tcW w:w="15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506C884"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$472,562.25</w:t>
            </w:r>
          </w:p>
        </w:tc>
      </w:tr>
      <w:tr w:rsidR="0010073A" w:rsidRPr="00F31693" w14:paraId="073E4DE2" w14:textId="77777777" w:rsidTr="0010073A">
        <w:trPr>
          <w:trHeight w:val="288"/>
        </w:trPr>
        <w:tc>
          <w:tcPr>
            <w:tcW w:w="38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76B7F00" w14:textId="77777777" w:rsidR="0010073A" w:rsidRPr="00F31693" w:rsidRDefault="0010073A" w:rsidP="0010073A">
            <w:pPr>
              <w:spacing w:after="0" w:line="240" w:lineRule="auto"/>
              <w:rPr>
                <w:rFonts w:ascii="Calibri" w:hAnsi="Calibri" w:cs="Times New Roman"/>
                <w:color w:val="000000"/>
              </w:rPr>
            </w:pPr>
            <w:r w:rsidRPr="00F31693">
              <w:rPr>
                <w:rFonts w:ascii="Calibri" w:hAnsi="Calibri" w:cs="Times New Roman"/>
                <w:color w:val="000000"/>
              </w:rPr>
              <w:t>Deposits - July 2015</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1F3F26D"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600</w:t>
            </w:r>
          </w:p>
        </w:tc>
        <w:tc>
          <w:tcPr>
            <w:tcW w:w="1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A807C1"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$562,745.36</w:t>
            </w:r>
          </w:p>
        </w:tc>
      </w:tr>
      <w:tr w:rsidR="0010073A" w:rsidRPr="00F31693" w14:paraId="058413C7" w14:textId="77777777" w:rsidTr="0010073A">
        <w:trPr>
          <w:trHeight w:val="288"/>
        </w:trPr>
        <w:tc>
          <w:tcPr>
            <w:tcW w:w="38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C3E979D" w14:textId="77777777" w:rsidR="0010073A" w:rsidRPr="00F31693" w:rsidRDefault="0010073A" w:rsidP="0010073A">
            <w:pPr>
              <w:spacing w:after="0" w:line="240" w:lineRule="auto"/>
              <w:rPr>
                <w:rFonts w:ascii="Calibri" w:hAnsi="Calibri" w:cs="Times New Roman"/>
                <w:color w:val="000000"/>
              </w:rPr>
            </w:pPr>
            <w:r w:rsidRPr="00F31693">
              <w:rPr>
                <w:rFonts w:ascii="Calibri" w:hAnsi="Calibri" w:cs="Times New Roman"/>
                <w:color w:val="000000"/>
              </w:rPr>
              <w:t>Deposits - August 2015</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4B4AF0"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669</w:t>
            </w:r>
          </w:p>
        </w:tc>
        <w:tc>
          <w:tcPr>
            <w:tcW w:w="1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B86980D"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$953,653.78</w:t>
            </w:r>
          </w:p>
        </w:tc>
      </w:tr>
      <w:tr w:rsidR="0010073A" w:rsidRPr="00F31693" w14:paraId="5A7CC02A" w14:textId="77777777" w:rsidTr="0010073A">
        <w:trPr>
          <w:trHeight w:val="288"/>
        </w:trPr>
        <w:tc>
          <w:tcPr>
            <w:tcW w:w="38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6F75FBB" w14:textId="77777777" w:rsidR="0010073A" w:rsidRPr="00F31693" w:rsidRDefault="0010073A" w:rsidP="0010073A">
            <w:pPr>
              <w:spacing w:after="0" w:line="240" w:lineRule="auto"/>
              <w:rPr>
                <w:rFonts w:ascii="Calibri" w:hAnsi="Calibri" w:cs="Times New Roman"/>
                <w:color w:val="000000"/>
              </w:rPr>
            </w:pPr>
            <w:r w:rsidRPr="00F31693">
              <w:rPr>
                <w:rFonts w:ascii="Calibri" w:hAnsi="Calibri" w:cs="Times New Roman"/>
                <w:color w:val="000000"/>
              </w:rPr>
              <w:t>Deposits - September 2015</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B2069BE"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614</w:t>
            </w:r>
          </w:p>
        </w:tc>
        <w:tc>
          <w:tcPr>
            <w:tcW w:w="1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5856B93"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$540,095.27</w:t>
            </w:r>
          </w:p>
        </w:tc>
      </w:tr>
      <w:tr w:rsidR="0010073A" w:rsidRPr="00F31693" w14:paraId="21A55BF3" w14:textId="77777777" w:rsidTr="0010073A">
        <w:trPr>
          <w:trHeight w:val="288"/>
        </w:trPr>
        <w:tc>
          <w:tcPr>
            <w:tcW w:w="38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EE4FC52" w14:textId="77777777" w:rsidR="0010073A" w:rsidRPr="00F31693" w:rsidRDefault="0010073A" w:rsidP="0010073A">
            <w:pPr>
              <w:spacing w:after="0" w:line="240" w:lineRule="auto"/>
              <w:rPr>
                <w:rFonts w:ascii="Calibri" w:hAnsi="Calibri" w:cs="Times New Roman"/>
                <w:color w:val="000000"/>
              </w:rPr>
            </w:pPr>
            <w:r w:rsidRPr="00F31693">
              <w:rPr>
                <w:rFonts w:ascii="Calibri" w:hAnsi="Calibri" w:cs="Times New Roman"/>
                <w:color w:val="000000"/>
              </w:rPr>
              <w:t>Deposits - October 2015</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1B0D9AA"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715</w:t>
            </w:r>
          </w:p>
        </w:tc>
        <w:tc>
          <w:tcPr>
            <w:tcW w:w="1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89B1C9B"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$673,815.71</w:t>
            </w:r>
          </w:p>
        </w:tc>
      </w:tr>
      <w:tr w:rsidR="0010073A" w:rsidRPr="00F31693" w14:paraId="57E5159E" w14:textId="77777777" w:rsidTr="0010073A">
        <w:trPr>
          <w:trHeight w:val="288"/>
        </w:trPr>
        <w:tc>
          <w:tcPr>
            <w:tcW w:w="38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C5337F" w14:textId="77777777" w:rsidR="0010073A" w:rsidRPr="00F31693" w:rsidRDefault="0010073A" w:rsidP="0010073A">
            <w:pPr>
              <w:spacing w:after="0" w:line="240" w:lineRule="auto"/>
              <w:rPr>
                <w:rFonts w:ascii="Calibri" w:hAnsi="Calibri" w:cs="Times New Roman"/>
                <w:color w:val="000000"/>
              </w:rPr>
            </w:pPr>
            <w:r w:rsidRPr="00F31693">
              <w:rPr>
                <w:rFonts w:ascii="Calibri" w:hAnsi="Calibri" w:cs="Times New Roman"/>
                <w:color w:val="000000"/>
              </w:rPr>
              <w:t>Deposits - November 2015</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556E26"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679</w:t>
            </w:r>
          </w:p>
        </w:tc>
        <w:tc>
          <w:tcPr>
            <w:tcW w:w="1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76F6793"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$572,055.00</w:t>
            </w:r>
          </w:p>
        </w:tc>
      </w:tr>
      <w:tr w:rsidR="0010073A" w:rsidRPr="00F31693" w14:paraId="3AEF3351" w14:textId="77777777" w:rsidTr="0010073A">
        <w:trPr>
          <w:trHeight w:val="288"/>
        </w:trPr>
        <w:tc>
          <w:tcPr>
            <w:tcW w:w="38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A7B367A" w14:textId="77777777" w:rsidR="0010073A" w:rsidRPr="00F31693" w:rsidRDefault="0010073A" w:rsidP="0010073A">
            <w:pPr>
              <w:spacing w:after="0" w:line="240" w:lineRule="auto"/>
              <w:rPr>
                <w:rFonts w:ascii="Calibri" w:hAnsi="Calibri" w:cs="Times New Roman"/>
                <w:color w:val="000000"/>
              </w:rPr>
            </w:pPr>
            <w:r w:rsidRPr="00F31693">
              <w:rPr>
                <w:rFonts w:ascii="Calibri" w:hAnsi="Calibri" w:cs="Times New Roman"/>
                <w:color w:val="000000"/>
              </w:rPr>
              <w:t>Deposits - December 2015</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E5A543"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740</w:t>
            </w:r>
          </w:p>
        </w:tc>
        <w:tc>
          <w:tcPr>
            <w:tcW w:w="1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C01C4FF"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$650,538.58</w:t>
            </w:r>
          </w:p>
        </w:tc>
      </w:tr>
      <w:tr w:rsidR="0010073A" w:rsidRPr="00F31693" w14:paraId="5097A4CC" w14:textId="77777777" w:rsidTr="0010073A">
        <w:trPr>
          <w:trHeight w:val="288"/>
        </w:trPr>
        <w:tc>
          <w:tcPr>
            <w:tcW w:w="38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5908B9D" w14:textId="77777777" w:rsidR="0010073A" w:rsidRPr="00F31693" w:rsidRDefault="0010073A" w:rsidP="0010073A">
            <w:pPr>
              <w:spacing w:after="0" w:line="240" w:lineRule="auto"/>
              <w:rPr>
                <w:rFonts w:ascii="Calibri" w:hAnsi="Calibri" w:cs="Times New Roman"/>
                <w:color w:val="000000"/>
              </w:rPr>
            </w:pPr>
            <w:r w:rsidRPr="00F31693">
              <w:rPr>
                <w:rFonts w:ascii="Calibri" w:hAnsi="Calibri" w:cs="Times New Roman"/>
                <w:color w:val="000000"/>
              </w:rPr>
              <w:t>Deposits - January 2016</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548A9B4"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636</w:t>
            </w:r>
          </w:p>
        </w:tc>
        <w:tc>
          <w:tcPr>
            <w:tcW w:w="1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FA3238D"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$514,754.72</w:t>
            </w:r>
          </w:p>
        </w:tc>
      </w:tr>
      <w:tr w:rsidR="0010073A" w:rsidRPr="00F31693" w14:paraId="299C3573" w14:textId="77777777" w:rsidTr="0010073A">
        <w:trPr>
          <w:trHeight w:val="288"/>
        </w:trPr>
        <w:tc>
          <w:tcPr>
            <w:tcW w:w="38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49A1860" w14:textId="77777777" w:rsidR="0010073A" w:rsidRPr="00F31693" w:rsidRDefault="0010073A" w:rsidP="0010073A">
            <w:pPr>
              <w:spacing w:after="0" w:line="240" w:lineRule="auto"/>
              <w:rPr>
                <w:rFonts w:ascii="Calibri" w:hAnsi="Calibri" w:cs="Times New Roman"/>
                <w:color w:val="000000"/>
              </w:rPr>
            </w:pPr>
            <w:r w:rsidRPr="00F31693">
              <w:rPr>
                <w:rFonts w:ascii="Calibri" w:hAnsi="Calibri" w:cs="Times New Roman"/>
                <w:color w:val="000000"/>
              </w:rPr>
              <w:t>Deposits - February 2016</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6A5F4CB"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604</w:t>
            </w:r>
          </w:p>
        </w:tc>
        <w:tc>
          <w:tcPr>
            <w:tcW w:w="1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7ACC206"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$596,632.94</w:t>
            </w:r>
          </w:p>
        </w:tc>
      </w:tr>
      <w:tr w:rsidR="0010073A" w:rsidRPr="00F31693" w14:paraId="1B045E59" w14:textId="77777777" w:rsidTr="0010073A">
        <w:trPr>
          <w:trHeight w:val="288"/>
        </w:trPr>
        <w:tc>
          <w:tcPr>
            <w:tcW w:w="38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8BB4B60" w14:textId="77777777" w:rsidR="0010073A" w:rsidRPr="00F31693" w:rsidRDefault="0010073A" w:rsidP="0010073A">
            <w:pPr>
              <w:spacing w:after="0" w:line="240" w:lineRule="auto"/>
              <w:rPr>
                <w:rFonts w:ascii="Calibri" w:hAnsi="Calibri" w:cs="Times New Roman"/>
                <w:color w:val="000000"/>
              </w:rPr>
            </w:pPr>
            <w:r w:rsidRPr="00F31693">
              <w:rPr>
                <w:rFonts w:ascii="Calibri" w:hAnsi="Calibri" w:cs="Times New Roman"/>
                <w:color w:val="000000"/>
              </w:rPr>
              <w:t>Deposits - March 2016</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479077"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704</w:t>
            </w:r>
          </w:p>
        </w:tc>
        <w:tc>
          <w:tcPr>
            <w:tcW w:w="1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7E2953"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$652,386.35</w:t>
            </w:r>
          </w:p>
        </w:tc>
      </w:tr>
      <w:tr w:rsidR="0010073A" w:rsidRPr="00F31693" w14:paraId="6CC6DF78" w14:textId="77777777" w:rsidTr="0010073A">
        <w:trPr>
          <w:trHeight w:val="288"/>
        </w:trPr>
        <w:tc>
          <w:tcPr>
            <w:tcW w:w="38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1A4464A" w14:textId="77777777" w:rsidR="0010073A" w:rsidRPr="00F31693" w:rsidRDefault="0010073A" w:rsidP="0010073A">
            <w:pPr>
              <w:spacing w:after="0" w:line="240" w:lineRule="auto"/>
              <w:rPr>
                <w:rFonts w:ascii="Calibri" w:hAnsi="Calibri" w:cs="Times New Roman"/>
                <w:color w:val="000000"/>
              </w:rPr>
            </w:pPr>
            <w:r w:rsidRPr="00F31693">
              <w:rPr>
                <w:rFonts w:ascii="Calibri" w:hAnsi="Calibri" w:cs="Times New Roman"/>
                <w:color w:val="000000"/>
              </w:rPr>
              <w:t>Deposits - April 2016</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294312"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762</w:t>
            </w:r>
          </w:p>
        </w:tc>
        <w:tc>
          <w:tcPr>
            <w:tcW w:w="1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7FF0099"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$796,963.67</w:t>
            </w:r>
          </w:p>
        </w:tc>
      </w:tr>
      <w:tr w:rsidR="0010073A" w:rsidRPr="00F31693" w14:paraId="6A4E0935" w14:textId="77777777" w:rsidTr="0010073A">
        <w:trPr>
          <w:trHeight w:val="288"/>
        </w:trPr>
        <w:tc>
          <w:tcPr>
            <w:tcW w:w="38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4780265" w14:textId="77777777" w:rsidR="0010073A" w:rsidRPr="00F31693" w:rsidRDefault="0010073A" w:rsidP="0010073A">
            <w:pPr>
              <w:spacing w:after="0" w:line="240" w:lineRule="auto"/>
              <w:rPr>
                <w:rFonts w:ascii="Calibri" w:hAnsi="Calibri" w:cs="Times New Roman"/>
                <w:color w:val="000000"/>
              </w:rPr>
            </w:pPr>
            <w:r w:rsidRPr="00F31693">
              <w:rPr>
                <w:rFonts w:ascii="Calibri" w:hAnsi="Calibri" w:cs="Times New Roman"/>
                <w:color w:val="000000"/>
              </w:rPr>
              <w:t>Deposits - May 2016</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00A3A6"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702</w:t>
            </w:r>
          </w:p>
        </w:tc>
        <w:tc>
          <w:tcPr>
            <w:tcW w:w="1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292F1AB"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$711,161.39</w:t>
            </w:r>
          </w:p>
        </w:tc>
      </w:tr>
      <w:tr w:rsidR="0010073A" w:rsidRPr="00F31693" w14:paraId="7F6E349A" w14:textId="77777777" w:rsidTr="0010073A">
        <w:trPr>
          <w:trHeight w:val="288"/>
        </w:trPr>
        <w:tc>
          <w:tcPr>
            <w:tcW w:w="38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EC41929" w14:textId="77777777" w:rsidR="0010073A" w:rsidRPr="00F31693" w:rsidRDefault="0010073A" w:rsidP="0010073A">
            <w:pPr>
              <w:spacing w:after="0" w:line="240" w:lineRule="auto"/>
              <w:rPr>
                <w:rFonts w:ascii="Calibri" w:hAnsi="Calibri" w:cs="Times New Roman"/>
                <w:color w:val="000000"/>
              </w:rPr>
            </w:pPr>
            <w:r w:rsidRPr="00F31693">
              <w:rPr>
                <w:rFonts w:ascii="Calibri" w:hAnsi="Calibri" w:cs="Times New Roman"/>
                <w:color w:val="000000"/>
              </w:rPr>
              <w:t>Deposits - June 2016</w:t>
            </w:r>
          </w:p>
        </w:tc>
        <w:tc>
          <w:tcPr>
            <w:tcW w:w="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4060ABE"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659</w:t>
            </w:r>
          </w:p>
        </w:tc>
        <w:tc>
          <w:tcPr>
            <w:tcW w:w="1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6D6F47E" w14:textId="77777777" w:rsidR="0010073A" w:rsidRPr="00F31693" w:rsidRDefault="0010073A" w:rsidP="0010073A">
            <w:pPr>
              <w:spacing w:after="0" w:line="240" w:lineRule="auto"/>
              <w:jc w:val="right"/>
              <w:rPr>
                <w:rFonts w:ascii="Calibri" w:hAnsi="Calibri" w:cs="Times New Roman"/>
                <w:color w:val="000000"/>
              </w:rPr>
            </w:pPr>
            <w:r w:rsidRPr="00F31693">
              <w:rPr>
                <w:rFonts w:ascii="Calibri" w:hAnsi="Calibri" w:cs="Times New Roman"/>
                <w:color w:val="000000"/>
              </w:rPr>
              <w:t>$644,664.22</w:t>
            </w:r>
          </w:p>
        </w:tc>
      </w:tr>
    </w:tbl>
    <w:p w14:paraId="41E4E5F1" w14:textId="77777777" w:rsidR="004C6590" w:rsidRPr="00F31693" w:rsidRDefault="00652D93" w:rsidP="00A95E97">
      <w:pPr>
        <w:rPr>
          <w:b/>
          <w:u w:val="single"/>
        </w:rPr>
      </w:pPr>
      <w:r w:rsidRPr="00F31693">
        <w:br w:type="textWrapping" w:clear="all"/>
      </w:r>
      <w:r w:rsidR="005E7065" w:rsidRPr="00F31693">
        <w:t>Internet banking</w:t>
      </w:r>
      <w:r w:rsidR="00077585" w:rsidRPr="00F31693">
        <w:t xml:space="preserve"> is</w:t>
      </w:r>
      <w:r w:rsidR="0075673D" w:rsidRPr="00F31693">
        <w:t xml:space="preserve"> closely </w:t>
      </w:r>
      <w:r w:rsidR="006136AF" w:rsidRPr="00F31693">
        <w:t>monitor</w:t>
      </w:r>
      <w:r w:rsidR="0075673D" w:rsidRPr="00F31693">
        <w:t>ed utilizing authentication methods and oversight procedures</w:t>
      </w:r>
      <w:r w:rsidR="00B06A6E" w:rsidRPr="00F31693">
        <w:t xml:space="preserve"> </w:t>
      </w:r>
      <w:r w:rsidR="0075673D" w:rsidRPr="00F31693">
        <w:t>currently used together with methods available specifically for this product. The addition of a</w:t>
      </w:r>
      <w:r w:rsidR="00077585" w:rsidRPr="00F31693">
        <w:t xml:space="preserve">n </w:t>
      </w:r>
      <w:r w:rsidR="0075673D" w:rsidRPr="00F31693">
        <w:t xml:space="preserve">experienced </w:t>
      </w:r>
      <w:proofErr w:type="spellStart"/>
      <w:r w:rsidR="0075673D" w:rsidRPr="00F31693">
        <w:t>eBanking</w:t>
      </w:r>
      <w:proofErr w:type="spellEnd"/>
      <w:r w:rsidR="0075673D" w:rsidRPr="00F31693">
        <w:t xml:space="preserve"> Manager </w:t>
      </w:r>
      <w:r w:rsidR="00077585" w:rsidRPr="00F31693">
        <w:t>provides</w:t>
      </w:r>
      <w:r w:rsidR="0075673D" w:rsidRPr="00F31693">
        <w:t xml:space="preserve"> additional supervision and oversight. Since this is a relatively new product to the financial industry </w:t>
      </w:r>
      <w:r w:rsidR="00077585" w:rsidRPr="00F31693">
        <w:t>and bank</w:t>
      </w:r>
      <w:r w:rsidR="0075673D" w:rsidRPr="00F31693">
        <w:t>.</w:t>
      </w:r>
      <w:r w:rsidR="00077585" w:rsidRPr="00F31693">
        <w:t xml:space="preserve"> </w:t>
      </w:r>
    </w:p>
    <w:p w14:paraId="05561AE8" w14:textId="77777777" w:rsidR="0010073A" w:rsidRPr="00F31693" w:rsidRDefault="0010073A" w:rsidP="00A95E97">
      <w:pPr>
        <w:rPr>
          <w:b/>
          <w:u w:val="single"/>
        </w:rPr>
      </w:pPr>
    </w:p>
    <w:p w14:paraId="5352ED47" w14:textId="77777777" w:rsidR="0010073A" w:rsidRPr="00F31693" w:rsidRDefault="0010073A" w:rsidP="00A95E97">
      <w:pPr>
        <w:rPr>
          <w:b/>
          <w:u w:val="single"/>
        </w:rPr>
      </w:pPr>
    </w:p>
    <w:p w14:paraId="2F65A312" w14:textId="77777777" w:rsidR="0010073A" w:rsidRPr="00F31693" w:rsidRDefault="0010073A" w:rsidP="00A95E97">
      <w:pPr>
        <w:rPr>
          <w:b/>
          <w:u w:val="single"/>
        </w:rPr>
      </w:pPr>
    </w:p>
    <w:p w14:paraId="692DC10E" w14:textId="77777777" w:rsidR="009C1CD4" w:rsidRPr="00F31693" w:rsidRDefault="009C1CD4" w:rsidP="00A95E97">
      <w:pPr>
        <w:rPr>
          <w:b/>
          <w:u w:val="single"/>
        </w:rPr>
      </w:pPr>
    </w:p>
    <w:p w14:paraId="1B5415EC" w14:textId="77777777" w:rsidR="007F6E21" w:rsidRPr="00F31693" w:rsidRDefault="007F6E21" w:rsidP="00A95E97">
      <w:pPr>
        <w:rPr>
          <w:b/>
          <w:u w:val="single"/>
        </w:rPr>
      </w:pPr>
    </w:p>
    <w:p w14:paraId="03D9BE6D" w14:textId="77777777" w:rsidR="007F6E21" w:rsidRPr="00F31693" w:rsidRDefault="007F6E21" w:rsidP="00A95E97">
      <w:pPr>
        <w:rPr>
          <w:b/>
          <w:u w:val="single"/>
        </w:rPr>
      </w:pPr>
    </w:p>
    <w:p w14:paraId="536B1E35" w14:textId="77777777" w:rsidR="007F6E21" w:rsidRPr="00F31693" w:rsidRDefault="007F6E21" w:rsidP="00A95E97">
      <w:pPr>
        <w:rPr>
          <w:b/>
          <w:u w:val="single"/>
        </w:rPr>
      </w:pPr>
    </w:p>
    <w:p w14:paraId="4F72C373" w14:textId="77777777" w:rsidR="00A42E52" w:rsidRPr="00F31693" w:rsidRDefault="00A42E52" w:rsidP="00A95E97">
      <w:pPr>
        <w:rPr>
          <w:b/>
          <w:u w:val="single"/>
        </w:rPr>
      </w:pPr>
    </w:p>
    <w:p w14:paraId="00C0F7B6" w14:textId="77777777" w:rsidR="00A95E97" w:rsidRPr="00F31693" w:rsidRDefault="00A95E97" w:rsidP="00A95E97">
      <w:pPr>
        <w:rPr>
          <w:b/>
          <w:u w:val="single"/>
        </w:rPr>
      </w:pPr>
      <w:r w:rsidRPr="00F31693">
        <w:rPr>
          <w:b/>
          <w:u w:val="single"/>
        </w:rPr>
        <w:lastRenderedPageBreak/>
        <w:t>RDC</w:t>
      </w:r>
    </w:p>
    <w:p w14:paraId="05EBA7EF" w14:textId="7ECB6979" w:rsidR="00F67906" w:rsidRPr="00F31693" w:rsidRDefault="006473DB" w:rsidP="00F67906">
      <w:r>
        <w:t xml:space="preserve">J. Wallace </w:t>
      </w:r>
      <w:r w:rsidR="00F67906" w:rsidRPr="00F31693">
        <w:t>uses FSI Item Processing as its software vendor and third-party processor to provide remote deposit capture.</w:t>
      </w:r>
    </w:p>
    <w:p w14:paraId="3C9632C0" w14:textId="5C9A424A" w:rsidR="00A95E97" w:rsidRPr="00F31693" w:rsidRDefault="00A95E97" w:rsidP="00A95E97">
      <w:r w:rsidRPr="00F31693">
        <w:t xml:space="preserve">Remote deposit capture refers to computer hardware, software and telecommunications systems that enable commercial customers to process deposits to their depositary accounts with </w:t>
      </w:r>
      <w:r w:rsidR="006473DB">
        <w:t xml:space="preserve">J. Wallace Bank </w:t>
      </w:r>
      <w:r w:rsidRPr="00F31693">
        <w:t>from electronic devices of varying descriptions located at their place of business or elsewhere by scanning and transmitting images of deposited items. Once scanned and transmitted, the physical checks are no longer needed except to keep as back up until the transaction is properly posted.</w:t>
      </w:r>
    </w:p>
    <w:p w14:paraId="6925B431" w14:textId="24EDEA20" w:rsidR="00F21F0C" w:rsidRPr="00F31693" w:rsidRDefault="00FE725F" w:rsidP="00A95E97">
      <w:r w:rsidRPr="00F31693">
        <w:t>Proper identification of all businesses and those authorizing business applications must be verified. High risk industries are to be identified and generally avoided; however, if exceptions are to be granted, these require additional scrutiny and additional levels of approval. BSA Guidelines are to be followed and "</w:t>
      </w:r>
      <w:r w:rsidR="004170D0" w:rsidRPr="00F31693">
        <w:t>K</w:t>
      </w:r>
      <w:r w:rsidRPr="00F31693">
        <w:t xml:space="preserve">now </w:t>
      </w:r>
      <w:r w:rsidR="004170D0" w:rsidRPr="00F31693">
        <w:t>Y</w:t>
      </w:r>
      <w:r w:rsidRPr="00F31693">
        <w:t xml:space="preserve">our </w:t>
      </w:r>
      <w:r w:rsidR="004170D0" w:rsidRPr="00F31693">
        <w:t>C</w:t>
      </w:r>
      <w:r w:rsidRPr="00F31693">
        <w:t xml:space="preserve">ustomer" considerations in this context require the use of different identification, authentication, and transaction verification methods than those used with traditional delivery channels. It is the policy that documents requiring signatures, such as final contracts for services, require the client to meet with a bank representative and/or be verified as outlined in the bank's new business account procedures. New RDC </w:t>
      </w:r>
      <w:proofErr w:type="gramStart"/>
      <w:r w:rsidRPr="00F31693">
        <w:t>accounts</w:t>
      </w:r>
      <w:proofErr w:type="gramEnd"/>
      <w:r w:rsidRPr="00F31693">
        <w:t xml:space="preserve"> like all </w:t>
      </w:r>
      <w:r w:rsidR="006473DB">
        <w:t xml:space="preserve">J. Wallace </w:t>
      </w:r>
      <w:r w:rsidR="00E230FA" w:rsidRPr="00F31693">
        <w:t xml:space="preserve">accounts </w:t>
      </w:r>
      <w:r w:rsidRPr="00F31693">
        <w:t>must be completed in person with a bank represent</w:t>
      </w:r>
      <w:r w:rsidR="00D8213C" w:rsidRPr="00F31693">
        <w:t>ative present.</w:t>
      </w:r>
      <w:r w:rsidR="004175BD" w:rsidRPr="00F31693">
        <w:t xml:space="preserve"> Many of our RDC customers are also borrowers</w:t>
      </w:r>
      <w:r w:rsidR="007A615A" w:rsidRPr="00F31693">
        <w:t>, often with locations distant from our branches.</w:t>
      </w:r>
    </w:p>
    <w:p w14:paraId="667E9E7B" w14:textId="77777777" w:rsidR="000454FB" w:rsidRPr="00F31693" w:rsidRDefault="00550FB4" w:rsidP="000454FB">
      <w:r w:rsidRPr="00F31693">
        <w:t xml:space="preserve">RDC policies, procedures, and activity monitoring process are in place and site visits are performed annually. </w:t>
      </w:r>
      <w:r w:rsidR="000454FB" w:rsidRPr="00F31693">
        <w:t>Management has developed security controls that govern network and data access user authentication, transaction verification, and virus protection.</w:t>
      </w:r>
    </w:p>
    <w:p w14:paraId="2292B6FE" w14:textId="77777777" w:rsidR="000454FB" w:rsidRPr="00F31693" w:rsidRDefault="000454FB" w:rsidP="009A612C">
      <w:pPr>
        <w:pStyle w:val="ListParagraph"/>
        <w:numPr>
          <w:ilvl w:val="0"/>
          <w:numId w:val="25"/>
        </w:numPr>
      </w:pPr>
      <w:r w:rsidRPr="00F31693">
        <w:t>Penetration Testing</w:t>
      </w:r>
    </w:p>
    <w:p w14:paraId="7182EDBC" w14:textId="77777777" w:rsidR="000454FB" w:rsidRPr="00F31693" w:rsidRDefault="000454FB" w:rsidP="00F142C7">
      <w:pPr>
        <w:pStyle w:val="ListParagraph"/>
        <w:numPr>
          <w:ilvl w:val="0"/>
          <w:numId w:val="27"/>
        </w:numPr>
      </w:pPr>
      <w:r w:rsidRPr="00F31693">
        <w:t>Tests simulate the probable actions of unauthorized and authorized users.</w:t>
      </w:r>
    </w:p>
    <w:p w14:paraId="46E73FBB" w14:textId="77777777" w:rsidR="00F142C7" w:rsidRPr="00F31693" w:rsidRDefault="00F142C7" w:rsidP="00F142C7">
      <w:pPr>
        <w:pStyle w:val="ListParagraph"/>
        <w:ind w:left="1080"/>
      </w:pPr>
    </w:p>
    <w:p w14:paraId="3084BB48" w14:textId="77777777" w:rsidR="00550FB4" w:rsidRPr="00F31693" w:rsidRDefault="00550FB4" w:rsidP="009A612C">
      <w:pPr>
        <w:pStyle w:val="ListParagraph"/>
        <w:numPr>
          <w:ilvl w:val="0"/>
          <w:numId w:val="25"/>
        </w:numPr>
      </w:pPr>
      <w:r w:rsidRPr="00F31693">
        <w:t>Business Continuity</w:t>
      </w:r>
    </w:p>
    <w:p w14:paraId="6F118488" w14:textId="77777777" w:rsidR="000454FB" w:rsidRPr="00F31693" w:rsidRDefault="00550FB4" w:rsidP="00F142C7">
      <w:pPr>
        <w:pStyle w:val="ListParagraph"/>
        <w:numPr>
          <w:ilvl w:val="0"/>
          <w:numId w:val="27"/>
        </w:numPr>
      </w:pPr>
      <w:r w:rsidRPr="00F31693">
        <w:t xml:space="preserve">Senior management ensures that FSI </w:t>
      </w:r>
      <w:proofErr w:type="gramStart"/>
      <w:r w:rsidRPr="00F31693">
        <w:t>has the ability to</w:t>
      </w:r>
      <w:proofErr w:type="gramEnd"/>
      <w:r w:rsidRPr="00F31693">
        <w:t xml:space="preserve"> recover and resume RDC operations to meet customer service requirements when an unexpected disruption occurs. </w:t>
      </w:r>
    </w:p>
    <w:p w14:paraId="0E164B46" w14:textId="77777777" w:rsidR="00F142C7" w:rsidRPr="00F31693" w:rsidRDefault="00F142C7" w:rsidP="00F142C7">
      <w:pPr>
        <w:pStyle w:val="ListParagraph"/>
        <w:ind w:left="1080"/>
      </w:pPr>
    </w:p>
    <w:p w14:paraId="08526545" w14:textId="77777777" w:rsidR="009A612C" w:rsidRPr="00F31693" w:rsidRDefault="009A612C" w:rsidP="009A612C">
      <w:pPr>
        <w:pStyle w:val="ListParagraph"/>
        <w:numPr>
          <w:ilvl w:val="0"/>
          <w:numId w:val="25"/>
        </w:numPr>
      </w:pPr>
      <w:r w:rsidRPr="00F31693">
        <w:t>Internal Procedures</w:t>
      </w:r>
    </w:p>
    <w:p w14:paraId="5C03BB51" w14:textId="77777777" w:rsidR="00550FB4" w:rsidRPr="00F31693" w:rsidRDefault="009A612C" w:rsidP="00F142C7">
      <w:pPr>
        <w:pStyle w:val="ListParagraph"/>
        <w:numPr>
          <w:ilvl w:val="0"/>
          <w:numId w:val="27"/>
        </w:numPr>
      </w:pPr>
      <w:r w:rsidRPr="00F31693">
        <w:t>The bank maintains procedures internally to adequately administer and facilitate the remote deposit and cash management services.</w:t>
      </w:r>
    </w:p>
    <w:p w14:paraId="1635F58F" w14:textId="77777777" w:rsidR="004170D0" w:rsidRPr="00F31693" w:rsidRDefault="00A95E97" w:rsidP="00A95E97">
      <w:r w:rsidRPr="00F31693">
        <w:t xml:space="preserve">There are currently </w:t>
      </w:r>
      <w:r w:rsidR="00FD4846" w:rsidRPr="00F31693">
        <w:t>96</w:t>
      </w:r>
      <w:r w:rsidRPr="00F31693">
        <w:t xml:space="preserve"> RDC customers, which </w:t>
      </w:r>
      <w:proofErr w:type="gramStart"/>
      <w:r w:rsidRPr="00F31693">
        <w:t>represent</w:t>
      </w:r>
      <w:proofErr w:type="gramEnd"/>
      <w:r w:rsidRPr="00F31693">
        <w:t xml:space="preserve"> a</w:t>
      </w:r>
      <w:r w:rsidR="00EE238D" w:rsidRPr="00F31693">
        <w:t>15.66</w:t>
      </w:r>
      <w:r w:rsidR="00074DF3" w:rsidRPr="00F31693">
        <w:t>%</w:t>
      </w:r>
      <w:r w:rsidR="000D0F03" w:rsidRPr="00F31693">
        <w:t xml:space="preserve"> </w:t>
      </w:r>
      <w:r w:rsidR="00EE238D" w:rsidRPr="00F31693">
        <w:t>in</w:t>
      </w:r>
      <w:r w:rsidR="000D0F03" w:rsidRPr="00F31693">
        <w:t>crease</w:t>
      </w:r>
      <w:r w:rsidRPr="00F31693">
        <w:t xml:space="preserve"> in RDC customers from last assessment period, with a total transaction volume of $</w:t>
      </w:r>
      <w:r w:rsidR="00EE238D" w:rsidRPr="00F31693">
        <w:t>627,447,476.29</w:t>
      </w:r>
      <w:r w:rsidRPr="00F31693">
        <w:t xml:space="preserve">, which represents an increase of </w:t>
      </w:r>
      <w:r w:rsidR="00EE238D" w:rsidRPr="00F31693">
        <w:t>9.92%</w:t>
      </w:r>
      <w:r w:rsidRPr="00F31693">
        <w:t xml:space="preserve"> from last assessment period. </w:t>
      </w:r>
    </w:p>
    <w:p w14:paraId="2F1A2E57" w14:textId="77777777" w:rsidR="009C1CD4" w:rsidRPr="00F31693" w:rsidRDefault="009C1CD4" w:rsidP="00A95E97"/>
    <w:tbl>
      <w:tblPr>
        <w:tblStyle w:val="TableGrid"/>
        <w:tblW w:w="10389" w:type="dxa"/>
        <w:tblLook w:val="04A0" w:firstRow="1" w:lastRow="0" w:firstColumn="1" w:lastColumn="0" w:noHBand="0" w:noVBand="1"/>
      </w:tblPr>
      <w:tblGrid>
        <w:gridCol w:w="960"/>
        <w:gridCol w:w="1189"/>
        <w:gridCol w:w="1727"/>
        <w:gridCol w:w="1727"/>
        <w:gridCol w:w="1913"/>
        <w:gridCol w:w="1913"/>
        <w:gridCol w:w="960"/>
      </w:tblGrid>
      <w:tr w:rsidR="00FD4846" w:rsidRPr="00F31693" w14:paraId="4A4BC7FB" w14:textId="77777777" w:rsidTr="00FB3908">
        <w:trPr>
          <w:trHeight w:val="990"/>
        </w:trPr>
        <w:tc>
          <w:tcPr>
            <w:tcW w:w="960" w:type="dxa"/>
            <w:hideMark/>
          </w:tcPr>
          <w:p w14:paraId="1A708CB6" w14:textId="77777777" w:rsidR="00FD4846" w:rsidRPr="00F31693" w:rsidRDefault="00FD4846" w:rsidP="00FD4846">
            <w:pPr>
              <w:jc w:val="center"/>
              <w:rPr>
                <w:rFonts w:ascii="Calibri" w:eastAsia="Times New Roman" w:hAnsi="Calibri" w:cs="Times New Roman"/>
                <w:b/>
                <w:bCs/>
                <w:color w:val="000000"/>
              </w:rPr>
            </w:pPr>
          </w:p>
        </w:tc>
        <w:tc>
          <w:tcPr>
            <w:tcW w:w="1189" w:type="dxa"/>
            <w:hideMark/>
          </w:tcPr>
          <w:p w14:paraId="6AD2D212"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RDC</w:t>
            </w:r>
          </w:p>
        </w:tc>
        <w:tc>
          <w:tcPr>
            <w:tcW w:w="1727" w:type="dxa"/>
            <w:hideMark/>
          </w:tcPr>
          <w:p w14:paraId="34D1DFF8"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2016</w:t>
            </w:r>
          </w:p>
        </w:tc>
        <w:tc>
          <w:tcPr>
            <w:tcW w:w="1727" w:type="dxa"/>
            <w:hideMark/>
          </w:tcPr>
          <w:p w14:paraId="728A086E"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2015</w:t>
            </w:r>
          </w:p>
        </w:tc>
        <w:tc>
          <w:tcPr>
            <w:tcW w:w="1913" w:type="dxa"/>
            <w:hideMark/>
          </w:tcPr>
          <w:p w14:paraId="34724DE9"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Increase/Decrease</w:t>
            </w:r>
          </w:p>
        </w:tc>
        <w:tc>
          <w:tcPr>
            <w:tcW w:w="1913" w:type="dxa"/>
            <w:hideMark/>
          </w:tcPr>
          <w:p w14:paraId="2023B77E"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Percent Increase/Decrease</w:t>
            </w:r>
          </w:p>
        </w:tc>
        <w:tc>
          <w:tcPr>
            <w:tcW w:w="960" w:type="dxa"/>
            <w:hideMark/>
          </w:tcPr>
          <w:p w14:paraId="15431A11" w14:textId="77777777" w:rsidR="00FD4846" w:rsidRPr="00F31693" w:rsidRDefault="00FD4846" w:rsidP="00FD4846">
            <w:pPr>
              <w:jc w:val="center"/>
              <w:rPr>
                <w:rFonts w:ascii="Calibri" w:eastAsia="Times New Roman" w:hAnsi="Calibri" w:cs="Times New Roman"/>
                <w:b/>
                <w:bCs/>
                <w:color w:val="000000"/>
              </w:rPr>
            </w:pPr>
          </w:p>
        </w:tc>
      </w:tr>
      <w:tr w:rsidR="00FD4846" w:rsidRPr="00F31693" w14:paraId="5DBCE634" w14:textId="77777777" w:rsidTr="00FB3908">
        <w:trPr>
          <w:trHeight w:val="1035"/>
        </w:trPr>
        <w:tc>
          <w:tcPr>
            <w:tcW w:w="960" w:type="dxa"/>
            <w:noWrap/>
            <w:hideMark/>
          </w:tcPr>
          <w:p w14:paraId="5843BECD" w14:textId="77777777" w:rsidR="00FD4846" w:rsidRPr="00F31693" w:rsidRDefault="00FD4846" w:rsidP="00FD4846">
            <w:pPr>
              <w:jc w:val="center"/>
              <w:rPr>
                <w:rFonts w:ascii="Calibri" w:eastAsia="Times New Roman" w:hAnsi="Calibri" w:cs="Times New Roman"/>
                <w:b/>
                <w:bCs/>
                <w:color w:val="000000"/>
              </w:rPr>
            </w:pPr>
          </w:p>
        </w:tc>
        <w:tc>
          <w:tcPr>
            <w:tcW w:w="1189" w:type="dxa"/>
            <w:hideMark/>
          </w:tcPr>
          <w:p w14:paraId="39FB976A"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Number of Customers</w:t>
            </w:r>
          </w:p>
        </w:tc>
        <w:tc>
          <w:tcPr>
            <w:tcW w:w="1727" w:type="dxa"/>
            <w:noWrap/>
            <w:hideMark/>
          </w:tcPr>
          <w:p w14:paraId="03EC884A"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96</w:t>
            </w:r>
          </w:p>
        </w:tc>
        <w:tc>
          <w:tcPr>
            <w:tcW w:w="1727" w:type="dxa"/>
            <w:noWrap/>
            <w:hideMark/>
          </w:tcPr>
          <w:p w14:paraId="24353D00"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83</w:t>
            </w:r>
          </w:p>
        </w:tc>
        <w:tc>
          <w:tcPr>
            <w:tcW w:w="1913" w:type="dxa"/>
            <w:noWrap/>
            <w:hideMark/>
          </w:tcPr>
          <w:p w14:paraId="2971F2BB"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13</w:t>
            </w:r>
          </w:p>
        </w:tc>
        <w:tc>
          <w:tcPr>
            <w:tcW w:w="1913" w:type="dxa"/>
            <w:noWrap/>
            <w:hideMark/>
          </w:tcPr>
          <w:p w14:paraId="1379BF96"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15.66%</w:t>
            </w:r>
          </w:p>
        </w:tc>
        <w:tc>
          <w:tcPr>
            <w:tcW w:w="960" w:type="dxa"/>
            <w:noWrap/>
            <w:hideMark/>
          </w:tcPr>
          <w:p w14:paraId="40B79431" w14:textId="77777777" w:rsidR="00FD4846" w:rsidRPr="00F31693" w:rsidRDefault="00FD4846" w:rsidP="00FD4846">
            <w:pPr>
              <w:jc w:val="center"/>
              <w:rPr>
                <w:rFonts w:ascii="Calibri" w:eastAsia="Times New Roman" w:hAnsi="Calibri" w:cs="Times New Roman"/>
                <w:b/>
                <w:bCs/>
                <w:color w:val="000000"/>
              </w:rPr>
            </w:pPr>
          </w:p>
        </w:tc>
      </w:tr>
      <w:tr w:rsidR="00FD4846" w:rsidRPr="00F31693" w14:paraId="7866B636" w14:textId="77777777" w:rsidTr="00FB3908">
        <w:trPr>
          <w:trHeight w:val="630"/>
        </w:trPr>
        <w:tc>
          <w:tcPr>
            <w:tcW w:w="960" w:type="dxa"/>
            <w:noWrap/>
            <w:hideMark/>
          </w:tcPr>
          <w:p w14:paraId="32D840E4" w14:textId="77777777" w:rsidR="00FD4846" w:rsidRPr="00F31693" w:rsidRDefault="00FD4846" w:rsidP="00FD4846">
            <w:pPr>
              <w:jc w:val="center"/>
              <w:rPr>
                <w:rFonts w:ascii="Calibri" w:eastAsia="Times New Roman" w:hAnsi="Calibri" w:cs="Times New Roman"/>
                <w:b/>
                <w:bCs/>
                <w:color w:val="000000"/>
              </w:rPr>
            </w:pPr>
          </w:p>
        </w:tc>
        <w:tc>
          <w:tcPr>
            <w:tcW w:w="1189" w:type="dxa"/>
            <w:hideMark/>
          </w:tcPr>
          <w:p w14:paraId="2D3E492A"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Amount Totals</w:t>
            </w:r>
          </w:p>
        </w:tc>
        <w:tc>
          <w:tcPr>
            <w:tcW w:w="1727" w:type="dxa"/>
            <w:noWrap/>
            <w:hideMark/>
          </w:tcPr>
          <w:p w14:paraId="49899E08"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$627,447,476.29</w:t>
            </w:r>
          </w:p>
        </w:tc>
        <w:tc>
          <w:tcPr>
            <w:tcW w:w="1727" w:type="dxa"/>
            <w:noWrap/>
            <w:hideMark/>
          </w:tcPr>
          <w:p w14:paraId="3F808793"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$570,819,598.81</w:t>
            </w:r>
          </w:p>
        </w:tc>
        <w:tc>
          <w:tcPr>
            <w:tcW w:w="1913" w:type="dxa"/>
            <w:noWrap/>
            <w:hideMark/>
          </w:tcPr>
          <w:p w14:paraId="40DDF71B"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$56,627,877.48</w:t>
            </w:r>
          </w:p>
        </w:tc>
        <w:tc>
          <w:tcPr>
            <w:tcW w:w="1913" w:type="dxa"/>
            <w:noWrap/>
            <w:hideMark/>
          </w:tcPr>
          <w:p w14:paraId="1E5DA572" w14:textId="77777777" w:rsidR="00FD4846" w:rsidRPr="00F31693" w:rsidRDefault="00FD4846" w:rsidP="00FD4846">
            <w:pPr>
              <w:jc w:val="center"/>
              <w:rPr>
                <w:rFonts w:ascii="Calibri" w:eastAsia="Times New Roman" w:hAnsi="Calibri" w:cs="Times New Roman"/>
                <w:b/>
                <w:bCs/>
                <w:color w:val="000000"/>
              </w:rPr>
            </w:pPr>
            <w:r w:rsidRPr="00F31693">
              <w:rPr>
                <w:rFonts w:ascii="Calibri" w:eastAsia="Times New Roman" w:hAnsi="Calibri" w:cs="Times New Roman"/>
                <w:b/>
                <w:bCs/>
                <w:color w:val="000000"/>
              </w:rPr>
              <w:t>9.92%</w:t>
            </w:r>
          </w:p>
        </w:tc>
        <w:tc>
          <w:tcPr>
            <w:tcW w:w="960" w:type="dxa"/>
            <w:noWrap/>
            <w:hideMark/>
          </w:tcPr>
          <w:p w14:paraId="09A0C9B4" w14:textId="77777777" w:rsidR="00FD4846" w:rsidRPr="00F31693" w:rsidRDefault="00FD4846" w:rsidP="00FD4846">
            <w:pPr>
              <w:jc w:val="center"/>
              <w:rPr>
                <w:rFonts w:ascii="Calibri" w:eastAsia="Times New Roman" w:hAnsi="Calibri" w:cs="Times New Roman"/>
                <w:b/>
                <w:bCs/>
                <w:color w:val="000000"/>
              </w:rPr>
            </w:pPr>
          </w:p>
        </w:tc>
      </w:tr>
    </w:tbl>
    <w:p w14:paraId="17691BD2" w14:textId="77777777" w:rsidR="009B28FA" w:rsidRPr="00F31693" w:rsidRDefault="009B28FA" w:rsidP="0048130B">
      <w:pPr>
        <w:pStyle w:val="NoSpacing"/>
      </w:pPr>
    </w:p>
    <w:tbl>
      <w:tblPr>
        <w:tblStyle w:val="TableGrid"/>
        <w:tblW w:w="0" w:type="auto"/>
        <w:tblLook w:val="04A0" w:firstRow="1" w:lastRow="0" w:firstColumn="1" w:lastColumn="0" w:noHBand="0" w:noVBand="1"/>
      </w:tblPr>
      <w:tblGrid>
        <w:gridCol w:w="1120"/>
        <w:gridCol w:w="1740"/>
        <w:gridCol w:w="960"/>
        <w:gridCol w:w="1120"/>
        <w:gridCol w:w="1860"/>
      </w:tblGrid>
      <w:tr w:rsidR="00FD4846" w:rsidRPr="00F31693" w14:paraId="691CD019" w14:textId="77777777" w:rsidTr="00FD4846">
        <w:trPr>
          <w:trHeight w:val="330"/>
        </w:trPr>
        <w:tc>
          <w:tcPr>
            <w:tcW w:w="2860" w:type="dxa"/>
            <w:gridSpan w:val="2"/>
            <w:noWrap/>
            <w:hideMark/>
          </w:tcPr>
          <w:p w14:paraId="365D17D7" w14:textId="77777777" w:rsidR="00FD4846" w:rsidRPr="00F31693" w:rsidRDefault="00FD4846" w:rsidP="00FD4846">
            <w:pPr>
              <w:pStyle w:val="NoSpacing"/>
              <w:rPr>
                <w:b/>
                <w:bCs/>
                <w:u w:val="single"/>
              </w:rPr>
            </w:pPr>
            <w:r w:rsidRPr="00F31693">
              <w:rPr>
                <w:b/>
                <w:bCs/>
                <w:u w:val="single"/>
              </w:rPr>
              <w:t>RDC Totals FY</w:t>
            </w:r>
            <w:r w:rsidR="0059409A">
              <w:rPr>
                <w:b/>
                <w:bCs/>
                <w:u w:val="single"/>
              </w:rPr>
              <w:t>E</w:t>
            </w:r>
            <w:r w:rsidRPr="00F31693">
              <w:rPr>
                <w:b/>
                <w:bCs/>
                <w:u w:val="single"/>
              </w:rPr>
              <w:t xml:space="preserve"> 2014-15</w:t>
            </w:r>
          </w:p>
        </w:tc>
        <w:tc>
          <w:tcPr>
            <w:tcW w:w="960" w:type="dxa"/>
            <w:noWrap/>
            <w:hideMark/>
          </w:tcPr>
          <w:p w14:paraId="2C6850B3" w14:textId="77777777" w:rsidR="00FD4846" w:rsidRPr="00F31693" w:rsidRDefault="00FD4846" w:rsidP="00FD4846">
            <w:pPr>
              <w:pStyle w:val="NoSpacing"/>
            </w:pPr>
          </w:p>
        </w:tc>
        <w:tc>
          <w:tcPr>
            <w:tcW w:w="2980" w:type="dxa"/>
            <w:gridSpan w:val="2"/>
            <w:noWrap/>
            <w:hideMark/>
          </w:tcPr>
          <w:p w14:paraId="38ECA258" w14:textId="77777777" w:rsidR="00FD4846" w:rsidRPr="00F31693" w:rsidRDefault="00FD4846" w:rsidP="00FD4846">
            <w:pPr>
              <w:pStyle w:val="NoSpacing"/>
              <w:rPr>
                <w:b/>
                <w:bCs/>
                <w:u w:val="single"/>
              </w:rPr>
            </w:pPr>
            <w:r w:rsidRPr="00F31693">
              <w:rPr>
                <w:b/>
                <w:bCs/>
                <w:u w:val="single"/>
              </w:rPr>
              <w:t>RDC Totals FY</w:t>
            </w:r>
            <w:r w:rsidR="0059409A">
              <w:rPr>
                <w:b/>
                <w:bCs/>
                <w:u w:val="single"/>
              </w:rPr>
              <w:t>E</w:t>
            </w:r>
            <w:r w:rsidRPr="00F31693">
              <w:rPr>
                <w:b/>
                <w:bCs/>
                <w:u w:val="single"/>
              </w:rPr>
              <w:t xml:space="preserve"> 2015-16</w:t>
            </w:r>
          </w:p>
        </w:tc>
      </w:tr>
      <w:tr w:rsidR="00FD4846" w:rsidRPr="00F31693" w14:paraId="44F70ED7" w14:textId="77777777" w:rsidTr="00FD4846">
        <w:trPr>
          <w:trHeight w:val="330"/>
        </w:trPr>
        <w:tc>
          <w:tcPr>
            <w:tcW w:w="1120" w:type="dxa"/>
            <w:hideMark/>
          </w:tcPr>
          <w:p w14:paraId="11684FE3" w14:textId="77777777" w:rsidR="00FD4846" w:rsidRPr="00F31693" w:rsidRDefault="00FD4846" w:rsidP="00FD4846">
            <w:pPr>
              <w:pStyle w:val="NoSpacing"/>
              <w:rPr>
                <w:b/>
                <w:bCs/>
              </w:rPr>
            </w:pPr>
            <w:r w:rsidRPr="00F31693">
              <w:rPr>
                <w:b/>
                <w:bCs/>
              </w:rPr>
              <w:t>Month</w:t>
            </w:r>
          </w:p>
        </w:tc>
        <w:tc>
          <w:tcPr>
            <w:tcW w:w="1740" w:type="dxa"/>
            <w:hideMark/>
          </w:tcPr>
          <w:p w14:paraId="69CD7428" w14:textId="77777777" w:rsidR="00FD4846" w:rsidRPr="00F31693" w:rsidRDefault="00FD4846" w:rsidP="00FD4846">
            <w:pPr>
              <w:pStyle w:val="NoSpacing"/>
              <w:rPr>
                <w:b/>
                <w:bCs/>
              </w:rPr>
            </w:pPr>
            <w:r w:rsidRPr="00F31693">
              <w:rPr>
                <w:b/>
                <w:bCs/>
              </w:rPr>
              <w:t>Amounts</w:t>
            </w:r>
          </w:p>
        </w:tc>
        <w:tc>
          <w:tcPr>
            <w:tcW w:w="960" w:type="dxa"/>
            <w:hideMark/>
          </w:tcPr>
          <w:p w14:paraId="09EE0152" w14:textId="77777777" w:rsidR="00FD4846" w:rsidRPr="00F31693" w:rsidRDefault="00FD4846" w:rsidP="00FD4846">
            <w:pPr>
              <w:pStyle w:val="NoSpacing"/>
              <w:rPr>
                <w:b/>
                <w:bCs/>
              </w:rPr>
            </w:pPr>
          </w:p>
        </w:tc>
        <w:tc>
          <w:tcPr>
            <w:tcW w:w="1120" w:type="dxa"/>
            <w:hideMark/>
          </w:tcPr>
          <w:p w14:paraId="0AB551A7" w14:textId="77777777" w:rsidR="00FD4846" w:rsidRPr="00F31693" w:rsidRDefault="00FD4846" w:rsidP="00FD4846">
            <w:pPr>
              <w:pStyle w:val="NoSpacing"/>
              <w:rPr>
                <w:b/>
                <w:bCs/>
              </w:rPr>
            </w:pPr>
            <w:r w:rsidRPr="00F31693">
              <w:rPr>
                <w:b/>
                <w:bCs/>
              </w:rPr>
              <w:t>Month</w:t>
            </w:r>
          </w:p>
        </w:tc>
        <w:tc>
          <w:tcPr>
            <w:tcW w:w="1860" w:type="dxa"/>
            <w:hideMark/>
          </w:tcPr>
          <w:p w14:paraId="690A233F" w14:textId="77777777" w:rsidR="00FD4846" w:rsidRPr="00F31693" w:rsidRDefault="00FD4846" w:rsidP="00FD4846">
            <w:pPr>
              <w:pStyle w:val="NoSpacing"/>
              <w:rPr>
                <w:b/>
                <w:bCs/>
              </w:rPr>
            </w:pPr>
            <w:r w:rsidRPr="00F31693">
              <w:rPr>
                <w:b/>
                <w:bCs/>
              </w:rPr>
              <w:t>Amounts</w:t>
            </w:r>
          </w:p>
        </w:tc>
      </w:tr>
      <w:tr w:rsidR="00FD4846" w:rsidRPr="00F31693" w14:paraId="5A2AAE70" w14:textId="77777777" w:rsidTr="00FD4846">
        <w:trPr>
          <w:trHeight w:val="330"/>
        </w:trPr>
        <w:tc>
          <w:tcPr>
            <w:tcW w:w="1120" w:type="dxa"/>
            <w:noWrap/>
            <w:hideMark/>
          </w:tcPr>
          <w:p w14:paraId="5501179C" w14:textId="77777777" w:rsidR="00FD4846" w:rsidRPr="00F31693" w:rsidRDefault="00FD4846" w:rsidP="00FD4846">
            <w:pPr>
              <w:pStyle w:val="NoSpacing"/>
              <w:rPr>
                <w:b/>
                <w:bCs/>
              </w:rPr>
            </w:pPr>
            <w:r w:rsidRPr="00F31693">
              <w:rPr>
                <w:b/>
                <w:bCs/>
              </w:rPr>
              <w:t>Jul-14</w:t>
            </w:r>
          </w:p>
        </w:tc>
        <w:tc>
          <w:tcPr>
            <w:tcW w:w="1740" w:type="dxa"/>
            <w:noWrap/>
            <w:hideMark/>
          </w:tcPr>
          <w:p w14:paraId="25F39CC8" w14:textId="77777777" w:rsidR="00FD4846" w:rsidRPr="00F31693" w:rsidRDefault="00FD4846" w:rsidP="00FD4846">
            <w:pPr>
              <w:pStyle w:val="NoSpacing"/>
            </w:pPr>
            <w:r w:rsidRPr="00F31693">
              <w:t>$44,566,091.86</w:t>
            </w:r>
          </w:p>
        </w:tc>
        <w:tc>
          <w:tcPr>
            <w:tcW w:w="960" w:type="dxa"/>
            <w:noWrap/>
            <w:hideMark/>
          </w:tcPr>
          <w:p w14:paraId="0DD267B8" w14:textId="77777777" w:rsidR="00FD4846" w:rsidRPr="00F31693" w:rsidRDefault="00FD4846" w:rsidP="00FD4846">
            <w:pPr>
              <w:pStyle w:val="NoSpacing"/>
            </w:pPr>
          </w:p>
        </w:tc>
        <w:tc>
          <w:tcPr>
            <w:tcW w:w="1120" w:type="dxa"/>
            <w:noWrap/>
            <w:hideMark/>
          </w:tcPr>
          <w:p w14:paraId="5BE1C71F" w14:textId="77777777" w:rsidR="00FD4846" w:rsidRPr="00F31693" w:rsidRDefault="00FD4846" w:rsidP="00FD4846">
            <w:pPr>
              <w:pStyle w:val="NoSpacing"/>
              <w:rPr>
                <w:b/>
                <w:bCs/>
              </w:rPr>
            </w:pPr>
            <w:r w:rsidRPr="00F31693">
              <w:rPr>
                <w:b/>
                <w:bCs/>
              </w:rPr>
              <w:t>Jul-15</w:t>
            </w:r>
          </w:p>
        </w:tc>
        <w:tc>
          <w:tcPr>
            <w:tcW w:w="1860" w:type="dxa"/>
            <w:noWrap/>
            <w:hideMark/>
          </w:tcPr>
          <w:p w14:paraId="7FA0E2D3" w14:textId="77777777" w:rsidR="00FD4846" w:rsidRPr="00F31693" w:rsidRDefault="00FD4846" w:rsidP="00FD4846">
            <w:pPr>
              <w:pStyle w:val="NoSpacing"/>
            </w:pPr>
            <w:r w:rsidRPr="00F31693">
              <w:t>$48,002,663.32</w:t>
            </w:r>
          </w:p>
        </w:tc>
      </w:tr>
      <w:tr w:rsidR="00FD4846" w:rsidRPr="00F31693" w14:paraId="57FA1A0D" w14:textId="77777777" w:rsidTr="00FD4846">
        <w:trPr>
          <w:trHeight w:val="330"/>
        </w:trPr>
        <w:tc>
          <w:tcPr>
            <w:tcW w:w="1120" w:type="dxa"/>
            <w:noWrap/>
            <w:hideMark/>
          </w:tcPr>
          <w:p w14:paraId="3272ED35" w14:textId="77777777" w:rsidR="00FD4846" w:rsidRPr="00F31693" w:rsidRDefault="00FD4846" w:rsidP="00FD4846">
            <w:pPr>
              <w:pStyle w:val="NoSpacing"/>
              <w:rPr>
                <w:b/>
                <w:bCs/>
              </w:rPr>
            </w:pPr>
            <w:r w:rsidRPr="00F31693">
              <w:rPr>
                <w:b/>
                <w:bCs/>
              </w:rPr>
              <w:t>Aug-14</w:t>
            </w:r>
          </w:p>
        </w:tc>
        <w:tc>
          <w:tcPr>
            <w:tcW w:w="1740" w:type="dxa"/>
            <w:noWrap/>
            <w:hideMark/>
          </w:tcPr>
          <w:p w14:paraId="7E02E104" w14:textId="77777777" w:rsidR="00FD4846" w:rsidRPr="00F31693" w:rsidRDefault="00FD4846" w:rsidP="00FD4846">
            <w:pPr>
              <w:pStyle w:val="NoSpacing"/>
            </w:pPr>
            <w:r w:rsidRPr="00F31693">
              <w:t>$62,692,283.60</w:t>
            </w:r>
          </w:p>
        </w:tc>
        <w:tc>
          <w:tcPr>
            <w:tcW w:w="960" w:type="dxa"/>
            <w:noWrap/>
            <w:hideMark/>
          </w:tcPr>
          <w:p w14:paraId="4F7F63B1" w14:textId="77777777" w:rsidR="00FD4846" w:rsidRPr="00F31693" w:rsidRDefault="00FD4846" w:rsidP="00FD4846">
            <w:pPr>
              <w:pStyle w:val="NoSpacing"/>
            </w:pPr>
          </w:p>
        </w:tc>
        <w:tc>
          <w:tcPr>
            <w:tcW w:w="1120" w:type="dxa"/>
            <w:noWrap/>
            <w:hideMark/>
          </w:tcPr>
          <w:p w14:paraId="65206646" w14:textId="77777777" w:rsidR="00FD4846" w:rsidRPr="00F31693" w:rsidRDefault="00FD4846" w:rsidP="00FD4846">
            <w:pPr>
              <w:pStyle w:val="NoSpacing"/>
              <w:rPr>
                <w:b/>
                <w:bCs/>
              </w:rPr>
            </w:pPr>
            <w:r w:rsidRPr="00F31693">
              <w:rPr>
                <w:b/>
                <w:bCs/>
              </w:rPr>
              <w:t>Aug-15</w:t>
            </w:r>
          </w:p>
        </w:tc>
        <w:tc>
          <w:tcPr>
            <w:tcW w:w="1860" w:type="dxa"/>
            <w:noWrap/>
            <w:hideMark/>
          </w:tcPr>
          <w:p w14:paraId="270077A1" w14:textId="77777777" w:rsidR="00FD4846" w:rsidRPr="00F31693" w:rsidRDefault="00FD4846" w:rsidP="00FD4846">
            <w:pPr>
              <w:pStyle w:val="NoSpacing"/>
            </w:pPr>
            <w:r w:rsidRPr="00F31693">
              <w:t>$82,024,826.47</w:t>
            </w:r>
          </w:p>
        </w:tc>
      </w:tr>
      <w:tr w:rsidR="00FD4846" w:rsidRPr="00F31693" w14:paraId="31B9453A" w14:textId="77777777" w:rsidTr="00FD4846">
        <w:trPr>
          <w:trHeight w:val="330"/>
        </w:trPr>
        <w:tc>
          <w:tcPr>
            <w:tcW w:w="1120" w:type="dxa"/>
            <w:noWrap/>
            <w:hideMark/>
          </w:tcPr>
          <w:p w14:paraId="30C65843" w14:textId="77777777" w:rsidR="00FD4846" w:rsidRPr="00F31693" w:rsidRDefault="00FD4846" w:rsidP="00FD4846">
            <w:pPr>
              <w:pStyle w:val="NoSpacing"/>
              <w:rPr>
                <w:b/>
                <w:bCs/>
              </w:rPr>
            </w:pPr>
            <w:r w:rsidRPr="00F31693">
              <w:rPr>
                <w:b/>
                <w:bCs/>
              </w:rPr>
              <w:t>Sep-14</w:t>
            </w:r>
          </w:p>
        </w:tc>
        <w:tc>
          <w:tcPr>
            <w:tcW w:w="1740" w:type="dxa"/>
            <w:noWrap/>
            <w:hideMark/>
          </w:tcPr>
          <w:p w14:paraId="4434DFA0" w14:textId="77777777" w:rsidR="00FD4846" w:rsidRPr="00F31693" w:rsidRDefault="00FD4846" w:rsidP="00FD4846">
            <w:pPr>
              <w:pStyle w:val="NoSpacing"/>
            </w:pPr>
            <w:r w:rsidRPr="00F31693">
              <w:t>$32,876,732.39</w:t>
            </w:r>
          </w:p>
        </w:tc>
        <w:tc>
          <w:tcPr>
            <w:tcW w:w="960" w:type="dxa"/>
            <w:noWrap/>
            <w:hideMark/>
          </w:tcPr>
          <w:p w14:paraId="3B73DC6F" w14:textId="77777777" w:rsidR="00FD4846" w:rsidRPr="00F31693" w:rsidRDefault="00FD4846" w:rsidP="00FD4846">
            <w:pPr>
              <w:pStyle w:val="NoSpacing"/>
            </w:pPr>
          </w:p>
        </w:tc>
        <w:tc>
          <w:tcPr>
            <w:tcW w:w="1120" w:type="dxa"/>
            <w:noWrap/>
            <w:hideMark/>
          </w:tcPr>
          <w:p w14:paraId="66DC69F6" w14:textId="77777777" w:rsidR="00FD4846" w:rsidRPr="00F31693" w:rsidRDefault="00FD4846" w:rsidP="00FD4846">
            <w:pPr>
              <w:pStyle w:val="NoSpacing"/>
              <w:rPr>
                <w:b/>
                <w:bCs/>
              </w:rPr>
            </w:pPr>
            <w:r w:rsidRPr="00F31693">
              <w:rPr>
                <w:b/>
                <w:bCs/>
              </w:rPr>
              <w:t>Sep-15</w:t>
            </w:r>
          </w:p>
        </w:tc>
        <w:tc>
          <w:tcPr>
            <w:tcW w:w="1860" w:type="dxa"/>
            <w:noWrap/>
            <w:hideMark/>
          </w:tcPr>
          <w:p w14:paraId="30D9E1D4" w14:textId="77777777" w:rsidR="00FD4846" w:rsidRPr="00F31693" w:rsidRDefault="00FD4846" w:rsidP="00FD4846">
            <w:pPr>
              <w:pStyle w:val="NoSpacing"/>
            </w:pPr>
            <w:r w:rsidRPr="00F31693">
              <w:t>$28,490,777.95</w:t>
            </w:r>
          </w:p>
        </w:tc>
      </w:tr>
      <w:tr w:rsidR="00FD4846" w:rsidRPr="00F31693" w14:paraId="086815EC" w14:textId="77777777" w:rsidTr="00FD4846">
        <w:trPr>
          <w:trHeight w:val="330"/>
        </w:trPr>
        <w:tc>
          <w:tcPr>
            <w:tcW w:w="1120" w:type="dxa"/>
            <w:noWrap/>
            <w:hideMark/>
          </w:tcPr>
          <w:p w14:paraId="2BA1994A" w14:textId="77777777" w:rsidR="00FD4846" w:rsidRPr="00F31693" w:rsidRDefault="00FD4846" w:rsidP="00FD4846">
            <w:pPr>
              <w:pStyle w:val="NoSpacing"/>
              <w:rPr>
                <w:b/>
                <w:bCs/>
              </w:rPr>
            </w:pPr>
            <w:r w:rsidRPr="00F31693">
              <w:rPr>
                <w:b/>
                <w:bCs/>
              </w:rPr>
              <w:t>Oct-14</w:t>
            </w:r>
          </w:p>
        </w:tc>
        <w:tc>
          <w:tcPr>
            <w:tcW w:w="1740" w:type="dxa"/>
            <w:noWrap/>
            <w:hideMark/>
          </w:tcPr>
          <w:p w14:paraId="71826FD7" w14:textId="77777777" w:rsidR="00FD4846" w:rsidRPr="00F31693" w:rsidRDefault="00FD4846" w:rsidP="00FD4846">
            <w:pPr>
              <w:pStyle w:val="NoSpacing"/>
            </w:pPr>
            <w:r w:rsidRPr="00F31693">
              <w:t>$60,634,408.82</w:t>
            </w:r>
          </w:p>
        </w:tc>
        <w:tc>
          <w:tcPr>
            <w:tcW w:w="960" w:type="dxa"/>
            <w:noWrap/>
            <w:hideMark/>
          </w:tcPr>
          <w:p w14:paraId="340981A5" w14:textId="77777777" w:rsidR="00FD4846" w:rsidRPr="00F31693" w:rsidRDefault="00FD4846" w:rsidP="00FD4846">
            <w:pPr>
              <w:pStyle w:val="NoSpacing"/>
            </w:pPr>
          </w:p>
        </w:tc>
        <w:tc>
          <w:tcPr>
            <w:tcW w:w="1120" w:type="dxa"/>
            <w:noWrap/>
            <w:hideMark/>
          </w:tcPr>
          <w:p w14:paraId="6BBF5834" w14:textId="77777777" w:rsidR="00FD4846" w:rsidRPr="00F31693" w:rsidRDefault="00FD4846" w:rsidP="00FD4846">
            <w:pPr>
              <w:pStyle w:val="NoSpacing"/>
              <w:rPr>
                <w:b/>
                <w:bCs/>
              </w:rPr>
            </w:pPr>
            <w:r w:rsidRPr="00F31693">
              <w:rPr>
                <w:b/>
                <w:bCs/>
              </w:rPr>
              <w:t>Oct-15</w:t>
            </w:r>
          </w:p>
        </w:tc>
        <w:tc>
          <w:tcPr>
            <w:tcW w:w="1860" w:type="dxa"/>
            <w:noWrap/>
            <w:hideMark/>
          </w:tcPr>
          <w:p w14:paraId="26A7A4C0" w14:textId="77777777" w:rsidR="00FD4846" w:rsidRPr="00F31693" w:rsidRDefault="00FD4846" w:rsidP="00FD4846">
            <w:pPr>
              <w:pStyle w:val="NoSpacing"/>
            </w:pPr>
            <w:r w:rsidRPr="00F31693">
              <w:t>$56,129,827.76</w:t>
            </w:r>
          </w:p>
        </w:tc>
      </w:tr>
      <w:tr w:rsidR="00FD4846" w:rsidRPr="00F31693" w14:paraId="654484D3" w14:textId="77777777" w:rsidTr="00FD4846">
        <w:trPr>
          <w:trHeight w:val="330"/>
        </w:trPr>
        <w:tc>
          <w:tcPr>
            <w:tcW w:w="1120" w:type="dxa"/>
            <w:noWrap/>
            <w:hideMark/>
          </w:tcPr>
          <w:p w14:paraId="1C1DACBE" w14:textId="77777777" w:rsidR="00FD4846" w:rsidRPr="00F31693" w:rsidRDefault="00FD4846" w:rsidP="00FD4846">
            <w:pPr>
              <w:pStyle w:val="NoSpacing"/>
              <w:rPr>
                <w:b/>
                <w:bCs/>
              </w:rPr>
            </w:pPr>
            <w:r w:rsidRPr="00F31693">
              <w:rPr>
                <w:b/>
                <w:bCs/>
              </w:rPr>
              <w:t>Nov-14</w:t>
            </w:r>
          </w:p>
        </w:tc>
        <w:tc>
          <w:tcPr>
            <w:tcW w:w="1740" w:type="dxa"/>
            <w:noWrap/>
            <w:hideMark/>
          </w:tcPr>
          <w:p w14:paraId="3978BCBB" w14:textId="77777777" w:rsidR="00FD4846" w:rsidRPr="00F31693" w:rsidRDefault="00FD4846" w:rsidP="00FD4846">
            <w:pPr>
              <w:pStyle w:val="NoSpacing"/>
            </w:pPr>
            <w:r w:rsidRPr="00F31693">
              <w:t>$56,956,837.12</w:t>
            </w:r>
          </w:p>
        </w:tc>
        <w:tc>
          <w:tcPr>
            <w:tcW w:w="960" w:type="dxa"/>
            <w:noWrap/>
            <w:hideMark/>
          </w:tcPr>
          <w:p w14:paraId="67ED2540" w14:textId="77777777" w:rsidR="00FD4846" w:rsidRPr="00F31693" w:rsidRDefault="00FD4846" w:rsidP="00FD4846">
            <w:pPr>
              <w:pStyle w:val="NoSpacing"/>
            </w:pPr>
          </w:p>
        </w:tc>
        <w:tc>
          <w:tcPr>
            <w:tcW w:w="1120" w:type="dxa"/>
            <w:noWrap/>
            <w:hideMark/>
          </w:tcPr>
          <w:p w14:paraId="0FBB07DB" w14:textId="77777777" w:rsidR="00FD4846" w:rsidRPr="00F31693" w:rsidRDefault="00FD4846" w:rsidP="00FD4846">
            <w:pPr>
              <w:pStyle w:val="NoSpacing"/>
              <w:rPr>
                <w:b/>
                <w:bCs/>
              </w:rPr>
            </w:pPr>
            <w:r w:rsidRPr="00F31693">
              <w:rPr>
                <w:b/>
                <w:bCs/>
              </w:rPr>
              <w:t>Nov-15</w:t>
            </w:r>
          </w:p>
        </w:tc>
        <w:tc>
          <w:tcPr>
            <w:tcW w:w="1860" w:type="dxa"/>
            <w:noWrap/>
            <w:hideMark/>
          </w:tcPr>
          <w:p w14:paraId="15291CDA" w14:textId="77777777" w:rsidR="00FD4846" w:rsidRPr="00F31693" w:rsidRDefault="00FD4846" w:rsidP="00FD4846">
            <w:pPr>
              <w:pStyle w:val="NoSpacing"/>
            </w:pPr>
            <w:r w:rsidRPr="00F31693">
              <w:t>$70,019,431.03</w:t>
            </w:r>
          </w:p>
        </w:tc>
      </w:tr>
      <w:tr w:rsidR="00FD4846" w:rsidRPr="00F31693" w14:paraId="5B39C6FE" w14:textId="77777777" w:rsidTr="00FD4846">
        <w:trPr>
          <w:trHeight w:val="330"/>
        </w:trPr>
        <w:tc>
          <w:tcPr>
            <w:tcW w:w="1120" w:type="dxa"/>
            <w:noWrap/>
            <w:hideMark/>
          </w:tcPr>
          <w:p w14:paraId="10A8843F" w14:textId="77777777" w:rsidR="00FD4846" w:rsidRPr="00F31693" w:rsidRDefault="00FD4846" w:rsidP="00FD4846">
            <w:pPr>
              <w:pStyle w:val="NoSpacing"/>
              <w:rPr>
                <w:b/>
                <w:bCs/>
              </w:rPr>
            </w:pPr>
            <w:r w:rsidRPr="00F31693">
              <w:rPr>
                <w:b/>
                <w:bCs/>
              </w:rPr>
              <w:t>Dec-14</w:t>
            </w:r>
          </w:p>
        </w:tc>
        <w:tc>
          <w:tcPr>
            <w:tcW w:w="1740" w:type="dxa"/>
            <w:noWrap/>
            <w:hideMark/>
          </w:tcPr>
          <w:p w14:paraId="2BE62673" w14:textId="77777777" w:rsidR="00FD4846" w:rsidRPr="00F31693" w:rsidRDefault="00FD4846" w:rsidP="00FD4846">
            <w:pPr>
              <w:pStyle w:val="NoSpacing"/>
            </w:pPr>
            <w:r w:rsidRPr="00F31693">
              <w:t>$24,680,571.16</w:t>
            </w:r>
          </w:p>
        </w:tc>
        <w:tc>
          <w:tcPr>
            <w:tcW w:w="960" w:type="dxa"/>
            <w:noWrap/>
            <w:hideMark/>
          </w:tcPr>
          <w:p w14:paraId="375DE125" w14:textId="77777777" w:rsidR="00FD4846" w:rsidRPr="00F31693" w:rsidRDefault="00FD4846" w:rsidP="00FD4846">
            <w:pPr>
              <w:pStyle w:val="NoSpacing"/>
            </w:pPr>
          </w:p>
        </w:tc>
        <w:tc>
          <w:tcPr>
            <w:tcW w:w="1120" w:type="dxa"/>
            <w:noWrap/>
            <w:hideMark/>
          </w:tcPr>
          <w:p w14:paraId="27931A57" w14:textId="77777777" w:rsidR="00FD4846" w:rsidRPr="00F31693" w:rsidRDefault="00FD4846" w:rsidP="00FD4846">
            <w:pPr>
              <w:pStyle w:val="NoSpacing"/>
              <w:rPr>
                <w:b/>
                <w:bCs/>
              </w:rPr>
            </w:pPr>
            <w:r w:rsidRPr="00F31693">
              <w:rPr>
                <w:b/>
                <w:bCs/>
              </w:rPr>
              <w:t>Dec-15</w:t>
            </w:r>
          </w:p>
        </w:tc>
        <w:tc>
          <w:tcPr>
            <w:tcW w:w="1860" w:type="dxa"/>
            <w:noWrap/>
            <w:hideMark/>
          </w:tcPr>
          <w:p w14:paraId="51664389" w14:textId="77777777" w:rsidR="00FD4846" w:rsidRPr="00F31693" w:rsidRDefault="00FD4846" w:rsidP="00FD4846">
            <w:pPr>
              <w:pStyle w:val="NoSpacing"/>
            </w:pPr>
            <w:r w:rsidRPr="00F31693">
              <w:t>$34,245,019.48</w:t>
            </w:r>
          </w:p>
        </w:tc>
      </w:tr>
      <w:tr w:rsidR="00FD4846" w:rsidRPr="00F31693" w14:paraId="0310ED24" w14:textId="77777777" w:rsidTr="00FD4846">
        <w:trPr>
          <w:trHeight w:val="330"/>
        </w:trPr>
        <w:tc>
          <w:tcPr>
            <w:tcW w:w="1120" w:type="dxa"/>
            <w:noWrap/>
            <w:hideMark/>
          </w:tcPr>
          <w:p w14:paraId="5293F183" w14:textId="77777777" w:rsidR="00FD4846" w:rsidRPr="00F31693" w:rsidRDefault="00FD4846" w:rsidP="00FD4846">
            <w:pPr>
              <w:pStyle w:val="NoSpacing"/>
              <w:rPr>
                <w:b/>
                <w:bCs/>
              </w:rPr>
            </w:pPr>
            <w:r w:rsidRPr="00F31693">
              <w:rPr>
                <w:b/>
                <w:bCs/>
              </w:rPr>
              <w:t>Jan-15</w:t>
            </w:r>
          </w:p>
        </w:tc>
        <w:tc>
          <w:tcPr>
            <w:tcW w:w="1740" w:type="dxa"/>
            <w:noWrap/>
            <w:hideMark/>
          </w:tcPr>
          <w:p w14:paraId="10A5165E" w14:textId="77777777" w:rsidR="00FD4846" w:rsidRPr="00F31693" w:rsidRDefault="00FD4846" w:rsidP="00FD4846">
            <w:pPr>
              <w:pStyle w:val="NoSpacing"/>
            </w:pPr>
            <w:r w:rsidRPr="00F31693">
              <w:t>$37,725,938.84</w:t>
            </w:r>
          </w:p>
        </w:tc>
        <w:tc>
          <w:tcPr>
            <w:tcW w:w="960" w:type="dxa"/>
            <w:noWrap/>
            <w:hideMark/>
          </w:tcPr>
          <w:p w14:paraId="2857DD94" w14:textId="77777777" w:rsidR="00FD4846" w:rsidRPr="00F31693" w:rsidRDefault="00FD4846" w:rsidP="00FD4846">
            <w:pPr>
              <w:pStyle w:val="NoSpacing"/>
            </w:pPr>
          </w:p>
        </w:tc>
        <w:tc>
          <w:tcPr>
            <w:tcW w:w="1120" w:type="dxa"/>
            <w:noWrap/>
            <w:hideMark/>
          </w:tcPr>
          <w:p w14:paraId="4DDC50E7" w14:textId="77777777" w:rsidR="00FD4846" w:rsidRPr="00F31693" w:rsidRDefault="00FD4846" w:rsidP="00FD4846">
            <w:pPr>
              <w:pStyle w:val="NoSpacing"/>
              <w:rPr>
                <w:b/>
                <w:bCs/>
              </w:rPr>
            </w:pPr>
            <w:r w:rsidRPr="00F31693">
              <w:rPr>
                <w:b/>
                <w:bCs/>
              </w:rPr>
              <w:t>Jan-16</w:t>
            </w:r>
          </w:p>
        </w:tc>
        <w:tc>
          <w:tcPr>
            <w:tcW w:w="1860" w:type="dxa"/>
            <w:noWrap/>
            <w:hideMark/>
          </w:tcPr>
          <w:p w14:paraId="18189B77" w14:textId="77777777" w:rsidR="00FD4846" w:rsidRPr="00F31693" w:rsidRDefault="00FD4846" w:rsidP="00FD4846">
            <w:pPr>
              <w:pStyle w:val="NoSpacing"/>
            </w:pPr>
            <w:r w:rsidRPr="00F31693">
              <w:t>$36,468,847.19</w:t>
            </w:r>
          </w:p>
        </w:tc>
      </w:tr>
      <w:tr w:rsidR="00FD4846" w:rsidRPr="00F31693" w14:paraId="6A770358" w14:textId="77777777" w:rsidTr="00FD4846">
        <w:trPr>
          <w:trHeight w:val="330"/>
        </w:trPr>
        <w:tc>
          <w:tcPr>
            <w:tcW w:w="1120" w:type="dxa"/>
            <w:noWrap/>
            <w:hideMark/>
          </w:tcPr>
          <w:p w14:paraId="3B662770" w14:textId="77777777" w:rsidR="00FD4846" w:rsidRPr="00F31693" w:rsidRDefault="00FD4846" w:rsidP="00FD4846">
            <w:pPr>
              <w:pStyle w:val="NoSpacing"/>
              <w:rPr>
                <w:b/>
                <w:bCs/>
              </w:rPr>
            </w:pPr>
            <w:r w:rsidRPr="00F31693">
              <w:rPr>
                <w:b/>
                <w:bCs/>
              </w:rPr>
              <w:t>Feb-15</w:t>
            </w:r>
          </w:p>
        </w:tc>
        <w:tc>
          <w:tcPr>
            <w:tcW w:w="1740" w:type="dxa"/>
            <w:noWrap/>
            <w:hideMark/>
          </w:tcPr>
          <w:p w14:paraId="5903D7B8" w14:textId="77777777" w:rsidR="00FD4846" w:rsidRPr="00F31693" w:rsidRDefault="00FD4846" w:rsidP="00FD4846">
            <w:pPr>
              <w:pStyle w:val="NoSpacing"/>
            </w:pPr>
            <w:r w:rsidRPr="00F31693">
              <w:t>$63,631,164.95</w:t>
            </w:r>
          </w:p>
        </w:tc>
        <w:tc>
          <w:tcPr>
            <w:tcW w:w="960" w:type="dxa"/>
            <w:noWrap/>
            <w:hideMark/>
          </w:tcPr>
          <w:p w14:paraId="03778B22" w14:textId="77777777" w:rsidR="00FD4846" w:rsidRPr="00F31693" w:rsidRDefault="00FD4846" w:rsidP="00FD4846">
            <w:pPr>
              <w:pStyle w:val="NoSpacing"/>
            </w:pPr>
          </w:p>
        </w:tc>
        <w:tc>
          <w:tcPr>
            <w:tcW w:w="1120" w:type="dxa"/>
            <w:noWrap/>
            <w:hideMark/>
          </w:tcPr>
          <w:p w14:paraId="1C21504D" w14:textId="77777777" w:rsidR="00FD4846" w:rsidRPr="00F31693" w:rsidRDefault="00FD4846" w:rsidP="00FD4846">
            <w:pPr>
              <w:pStyle w:val="NoSpacing"/>
              <w:rPr>
                <w:b/>
                <w:bCs/>
              </w:rPr>
            </w:pPr>
            <w:r w:rsidRPr="00F31693">
              <w:rPr>
                <w:b/>
                <w:bCs/>
              </w:rPr>
              <w:t>Feb-16</w:t>
            </w:r>
          </w:p>
        </w:tc>
        <w:tc>
          <w:tcPr>
            <w:tcW w:w="1860" w:type="dxa"/>
            <w:noWrap/>
            <w:hideMark/>
          </w:tcPr>
          <w:p w14:paraId="45124F3F" w14:textId="77777777" w:rsidR="00FD4846" w:rsidRPr="00F31693" w:rsidRDefault="00FD4846" w:rsidP="00FD4846">
            <w:pPr>
              <w:pStyle w:val="NoSpacing"/>
            </w:pPr>
            <w:r w:rsidRPr="00F31693">
              <w:t>$77,352,910.41</w:t>
            </w:r>
          </w:p>
        </w:tc>
      </w:tr>
      <w:tr w:rsidR="00FD4846" w:rsidRPr="00F31693" w14:paraId="584F3AFE" w14:textId="77777777" w:rsidTr="00FD4846">
        <w:trPr>
          <w:trHeight w:val="330"/>
        </w:trPr>
        <w:tc>
          <w:tcPr>
            <w:tcW w:w="1120" w:type="dxa"/>
            <w:noWrap/>
            <w:hideMark/>
          </w:tcPr>
          <w:p w14:paraId="72C8308A" w14:textId="77777777" w:rsidR="00FD4846" w:rsidRPr="00F31693" w:rsidRDefault="00FD4846" w:rsidP="00FD4846">
            <w:pPr>
              <w:pStyle w:val="NoSpacing"/>
              <w:rPr>
                <w:b/>
                <w:bCs/>
              </w:rPr>
            </w:pPr>
            <w:r w:rsidRPr="00F31693">
              <w:rPr>
                <w:b/>
                <w:bCs/>
              </w:rPr>
              <w:t>Mar-15</w:t>
            </w:r>
          </w:p>
        </w:tc>
        <w:tc>
          <w:tcPr>
            <w:tcW w:w="1740" w:type="dxa"/>
            <w:noWrap/>
            <w:hideMark/>
          </w:tcPr>
          <w:p w14:paraId="04FB1BB7" w14:textId="77777777" w:rsidR="00FD4846" w:rsidRPr="00F31693" w:rsidRDefault="00FD4846" w:rsidP="00FD4846">
            <w:pPr>
              <w:pStyle w:val="NoSpacing"/>
            </w:pPr>
            <w:r w:rsidRPr="00F31693">
              <w:t>$40,795,683.44</w:t>
            </w:r>
          </w:p>
        </w:tc>
        <w:tc>
          <w:tcPr>
            <w:tcW w:w="960" w:type="dxa"/>
            <w:noWrap/>
            <w:hideMark/>
          </w:tcPr>
          <w:p w14:paraId="3062FF71" w14:textId="77777777" w:rsidR="00FD4846" w:rsidRPr="00F31693" w:rsidRDefault="00FD4846" w:rsidP="00FD4846">
            <w:pPr>
              <w:pStyle w:val="NoSpacing"/>
            </w:pPr>
          </w:p>
        </w:tc>
        <w:tc>
          <w:tcPr>
            <w:tcW w:w="1120" w:type="dxa"/>
            <w:noWrap/>
            <w:hideMark/>
          </w:tcPr>
          <w:p w14:paraId="60EE6239" w14:textId="77777777" w:rsidR="00FD4846" w:rsidRPr="00F31693" w:rsidRDefault="00FD4846" w:rsidP="00FD4846">
            <w:pPr>
              <w:pStyle w:val="NoSpacing"/>
              <w:rPr>
                <w:b/>
                <w:bCs/>
              </w:rPr>
            </w:pPr>
            <w:r w:rsidRPr="00F31693">
              <w:rPr>
                <w:b/>
                <w:bCs/>
              </w:rPr>
              <w:t>Mar-16</w:t>
            </w:r>
          </w:p>
        </w:tc>
        <w:tc>
          <w:tcPr>
            <w:tcW w:w="1860" w:type="dxa"/>
            <w:noWrap/>
            <w:hideMark/>
          </w:tcPr>
          <w:p w14:paraId="343B0C2F" w14:textId="77777777" w:rsidR="00FD4846" w:rsidRPr="00F31693" w:rsidRDefault="00FD4846" w:rsidP="00FD4846">
            <w:pPr>
              <w:pStyle w:val="NoSpacing"/>
            </w:pPr>
            <w:r w:rsidRPr="00F31693">
              <w:t>$41,993,083.20</w:t>
            </w:r>
          </w:p>
        </w:tc>
      </w:tr>
      <w:tr w:rsidR="00FD4846" w:rsidRPr="00F31693" w14:paraId="6D17930A" w14:textId="77777777" w:rsidTr="00FD4846">
        <w:trPr>
          <w:trHeight w:val="330"/>
        </w:trPr>
        <w:tc>
          <w:tcPr>
            <w:tcW w:w="1120" w:type="dxa"/>
            <w:noWrap/>
            <w:hideMark/>
          </w:tcPr>
          <w:p w14:paraId="72970CE5" w14:textId="77777777" w:rsidR="00FD4846" w:rsidRPr="00F31693" w:rsidRDefault="00FD4846" w:rsidP="00FD4846">
            <w:pPr>
              <w:pStyle w:val="NoSpacing"/>
              <w:rPr>
                <w:b/>
                <w:bCs/>
              </w:rPr>
            </w:pPr>
            <w:r w:rsidRPr="00F31693">
              <w:rPr>
                <w:b/>
                <w:bCs/>
              </w:rPr>
              <w:t>Apr-15</w:t>
            </w:r>
          </w:p>
        </w:tc>
        <w:tc>
          <w:tcPr>
            <w:tcW w:w="1740" w:type="dxa"/>
            <w:noWrap/>
            <w:hideMark/>
          </w:tcPr>
          <w:p w14:paraId="27D6993D" w14:textId="77777777" w:rsidR="00FD4846" w:rsidRPr="00F31693" w:rsidRDefault="00FD4846" w:rsidP="00FD4846">
            <w:pPr>
              <w:pStyle w:val="NoSpacing"/>
            </w:pPr>
            <w:r w:rsidRPr="00F31693">
              <w:t>$47,747,604.33</w:t>
            </w:r>
          </w:p>
        </w:tc>
        <w:tc>
          <w:tcPr>
            <w:tcW w:w="960" w:type="dxa"/>
            <w:noWrap/>
            <w:hideMark/>
          </w:tcPr>
          <w:p w14:paraId="6EC1904D" w14:textId="77777777" w:rsidR="00FD4846" w:rsidRPr="00F31693" w:rsidRDefault="00FD4846" w:rsidP="00FD4846">
            <w:pPr>
              <w:pStyle w:val="NoSpacing"/>
            </w:pPr>
          </w:p>
        </w:tc>
        <w:tc>
          <w:tcPr>
            <w:tcW w:w="1120" w:type="dxa"/>
            <w:noWrap/>
            <w:hideMark/>
          </w:tcPr>
          <w:p w14:paraId="12C9BD55" w14:textId="77777777" w:rsidR="00FD4846" w:rsidRPr="00F31693" w:rsidRDefault="00FD4846" w:rsidP="00FD4846">
            <w:pPr>
              <w:pStyle w:val="NoSpacing"/>
              <w:rPr>
                <w:b/>
                <w:bCs/>
              </w:rPr>
            </w:pPr>
            <w:r w:rsidRPr="00F31693">
              <w:rPr>
                <w:b/>
                <w:bCs/>
              </w:rPr>
              <w:t>Apr-16</w:t>
            </w:r>
          </w:p>
        </w:tc>
        <w:tc>
          <w:tcPr>
            <w:tcW w:w="1860" w:type="dxa"/>
            <w:noWrap/>
            <w:hideMark/>
          </w:tcPr>
          <w:p w14:paraId="607113F5" w14:textId="77777777" w:rsidR="00FD4846" w:rsidRPr="00F31693" w:rsidRDefault="00FD4846" w:rsidP="00FD4846">
            <w:pPr>
              <w:pStyle w:val="NoSpacing"/>
            </w:pPr>
            <w:r w:rsidRPr="00F31693">
              <w:t>$50,419,925.61</w:t>
            </w:r>
          </w:p>
        </w:tc>
      </w:tr>
      <w:tr w:rsidR="00FD4846" w:rsidRPr="00F31693" w14:paraId="54C28BC6" w14:textId="77777777" w:rsidTr="00FD4846">
        <w:trPr>
          <w:trHeight w:val="330"/>
        </w:trPr>
        <w:tc>
          <w:tcPr>
            <w:tcW w:w="1120" w:type="dxa"/>
            <w:noWrap/>
            <w:hideMark/>
          </w:tcPr>
          <w:p w14:paraId="3C70DC32" w14:textId="77777777" w:rsidR="00FD4846" w:rsidRPr="00F31693" w:rsidRDefault="00FD4846" w:rsidP="00FD4846">
            <w:pPr>
              <w:pStyle w:val="NoSpacing"/>
              <w:rPr>
                <w:b/>
                <w:bCs/>
              </w:rPr>
            </w:pPr>
            <w:r w:rsidRPr="00F31693">
              <w:rPr>
                <w:b/>
                <w:bCs/>
              </w:rPr>
              <w:t>May-15</w:t>
            </w:r>
          </w:p>
        </w:tc>
        <w:tc>
          <w:tcPr>
            <w:tcW w:w="1740" w:type="dxa"/>
            <w:noWrap/>
            <w:hideMark/>
          </w:tcPr>
          <w:p w14:paraId="50BC43DA" w14:textId="77777777" w:rsidR="00FD4846" w:rsidRPr="00F31693" w:rsidRDefault="00FD4846" w:rsidP="00FD4846">
            <w:pPr>
              <w:pStyle w:val="NoSpacing"/>
            </w:pPr>
            <w:r w:rsidRPr="00F31693">
              <w:t>$71,148,230.24</w:t>
            </w:r>
          </w:p>
        </w:tc>
        <w:tc>
          <w:tcPr>
            <w:tcW w:w="960" w:type="dxa"/>
            <w:noWrap/>
            <w:hideMark/>
          </w:tcPr>
          <w:p w14:paraId="6183EC4B" w14:textId="77777777" w:rsidR="00FD4846" w:rsidRPr="00F31693" w:rsidRDefault="00FD4846" w:rsidP="00FD4846">
            <w:pPr>
              <w:pStyle w:val="NoSpacing"/>
            </w:pPr>
          </w:p>
        </w:tc>
        <w:tc>
          <w:tcPr>
            <w:tcW w:w="1120" w:type="dxa"/>
            <w:noWrap/>
            <w:hideMark/>
          </w:tcPr>
          <w:p w14:paraId="1D0CDAE1" w14:textId="77777777" w:rsidR="00FD4846" w:rsidRPr="00F31693" w:rsidRDefault="00FD4846" w:rsidP="00FD4846">
            <w:pPr>
              <w:pStyle w:val="NoSpacing"/>
              <w:rPr>
                <w:b/>
                <w:bCs/>
              </w:rPr>
            </w:pPr>
            <w:r w:rsidRPr="00F31693">
              <w:rPr>
                <w:b/>
                <w:bCs/>
              </w:rPr>
              <w:t>May-16</w:t>
            </w:r>
          </w:p>
        </w:tc>
        <w:tc>
          <w:tcPr>
            <w:tcW w:w="1860" w:type="dxa"/>
            <w:noWrap/>
            <w:hideMark/>
          </w:tcPr>
          <w:p w14:paraId="1135B738" w14:textId="77777777" w:rsidR="00FD4846" w:rsidRPr="00F31693" w:rsidRDefault="00FD4846" w:rsidP="00FD4846">
            <w:pPr>
              <w:pStyle w:val="NoSpacing"/>
            </w:pPr>
            <w:r w:rsidRPr="00F31693">
              <w:t>$76,765,742.16</w:t>
            </w:r>
          </w:p>
        </w:tc>
      </w:tr>
      <w:tr w:rsidR="00FD4846" w:rsidRPr="00F31693" w14:paraId="7799703B" w14:textId="77777777" w:rsidTr="00FD4846">
        <w:trPr>
          <w:trHeight w:val="330"/>
        </w:trPr>
        <w:tc>
          <w:tcPr>
            <w:tcW w:w="1120" w:type="dxa"/>
            <w:noWrap/>
            <w:hideMark/>
          </w:tcPr>
          <w:p w14:paraId="4679201E" w14:textId="77777777" w:rsidR="00FD4846" w:rsidRPr="00F31693" w:rsidRDefault="00FD4846" w:rsidP="00FD4846">
            <w:pPr>
              <w:pStyle w:val="NoSpacing"/>
              <w:rPr>
                <w:b/>
                <w:bCs/>
              </w:rPr>
            </w:pPr>
            <w:r w:rsidRPr="00F31693">
              <w:rPr>
                <w:b/>
                <w:bCs/>
              </w:rPr>
              <w:t>Jun-15</w:t>
            </w:r>
          </w:p>
        </w:tc>
        <w:tc>
          <w:tcPr>
            <w:tcW w:w="1740" w:type="dxa"/>
            <w:noWrap/>
            <w:hideMark/>
          </w:tcPr>
          <w:p w14:paraId="2FD1FC09" w14:textId="77777777" w:rsidR="00FD4846" w:rsidRPr="00F31693" w:rsidRDefault="00FD4846" w:rsidP="00FD4846">
            <w:pPr>
              <w:pStyle w:val="NoSpacing"/>
            </w:pPr>
            <w:r w:rsidRPr="00F31693">
              <w:t>$27,364,052.06</w:t>
            </w:r>
          </w:p>
        </w:tc>
        <w:tc>
          <w:tcPr>
            <w:tcW w:w="960" w:type="dxa"/>
            <w:noWrap/>
            <w:hideMark/>
          </w:tcPr>
          <w:p w14:paraId="25BEB6A5" w14:textId="77777777" w:rsidR="00FD4846" w:rsidRPr="00F31693" w:rsidRDefault="00FD4846" w:rsidP="00FD4846">
            <w:pPr>
              <w:pStyle w:val="NoSpacing"/>
            </w:pPr>
          </w:p>
        </w:tc>
        <w:tc>
          <w:tcPr>
            <w:tcW w:w="1120" w:type="dxa"/>
            <w:noWrap/>
            <w:hideMark/>
          </w:tcPr>
          <w:p w14:paraId="20719576" w14:textId="77777777" w:rsidR="00FD4846" w:rsidRPr="00F31693" w:rsidRDefault="00FD4846" w:rsidP="00FD4846">
            <w:pPr>
              <w:pStyle w:val="NoSpacing"/>
              <w:rPr>
                <w:b/>
                <w:bCs/>
              </w:rPr>
            </w:pPr>
            <w:r w:rsidRPr="00F31693">
              <w:rPr>
                <w:b/>
                <w:bCs/>
              </w:rPr>
              <w:t>Jun-16</w:t>
            </w:r>
          </w:p>
        </w:tc>
        <w:tc>
          <w:tcPr>
            <w:tcW w:w="1860" w:type="dxa"/>
            <w:noWrap/>
            <w:hideMark/>
          </w:tcPr>
          <w:p w14:paraId="407F8837" w14:textId="77777777" w:rsidR="00FD4846" w:rsidRPr="00F31693" w:rsidRDefault="00FD4846" w:rsidP="00FD4846">
            <w:pPr>
              <w:pStyle w:val="NoSpacing"/>
            </w:pPr>
            <w:r w:rsidRPr="00F31693">
              <w:t>$25,534,421.71</w:t>
            </w:r>
          </w:p>
        </w:tc>
      </w:tr>
      <w:tr w:rsidR="00FD4846" w:rsidRPr="00F31693" w14:paraId="3AB78625" w14:textId="77777777" w:rsidTr="00FD4846">
        <w:trPr>
          <w:trHeight w:val="630"/>
        </w:trPr>
        <w:tc>
          <w:tcPr>
            <w:tcW w:w="1120" w:type="dxa"/>
            <w:hideMark/>
          </w:tcPr>
          <w:p w14:paraId="547387DC" w14:textId="77777777" w:rsidR="00FD4846" w:rsidRPr="00F31693" w:rsidRDefault="00FD4846" w:rsidP="00FD4846">
            <w:pPr>
              <w:pStyle w:val="NoSpacing"/>
            </w:pPr>
            <w:r w:rsidRPr="00F31693">
              <w:t>Total FY</w:t>
            </w:r>
            <w:r w:rsidR="0059409A">
              <w:t>E</w:t>
            </w:r>
            <w:r w:rsidRPr="00F31693">
              <w:t xml:space="preserve"> 2014-2015</w:t>
            </w:r>
          </w:p>
        </w:tc>
        <w:tc>
          <w:tcPr>
            <w:tcW w:w="1740" w:type="dxa"/>
            <w:noWrap/>
            <w:hideMark/>
          </w:tcPr>
          <w:p w14:paraId="6F2FE9A5" w14:textId="77777777" w:rsidR="00FD4846" w:rsidRPr="00F31693" w:rsidRDefault="00FD4846" w:rsidP="00FD4846">
            <w:pPr>
              <w:pStyle w:val="NoSpacing"/>
            </w:pPr>
            <w:r w:rsidRPr="00F31693">
              <w:t>$570,819,598.81</w:t>
            </w:r>
          </w:p>
        </w:tc>
        <w:tc>
          <w:tcPr>
            <w:tcW w:w="960" w:type="dxa"/>
            <w:noWrap/>
            <w:hideMark/>
          </w:tcPr>
          <w:p w14:paraId="1C236045" w14:textId="77777777" w:rsidR="00FD4846" w:rsidRPr="00F31693" w:rsidRDefault="00FD4846" w:rsidP="00FD4846">
            <w:pPr>
              <w:pStyle w:val="NoSpacing"/>
            </w:pPr>
          </w:p>
        </w:tc>
        <w:tc>
          <w:tcPr>
            <w:tcW w:w="1120" w:type="dxa"/>
            <w:hideMark/>
          </w:tcPr>
          <w:p w14:paraId="1430FE54" w14:textId="77777777" w:rsidR="00FD4846" w:rsidRPr="00F31693" w:rsidRDefault="00FD4846" w:rsidP="00FD4846">
            <w:pPr>
              <w:pStyle w:val="NoSpacing"/>
            </w:pPr>
            <w:r w:rsidRPr="00F31693">
              <w:t>Total FY</w:t>
            </w:r>
            <w:r w:rsidR="0059409A">
              <w:t>E</w:t>
            </w:r>
            <w:r w:rsidRPr="00F31693">
              <w:t xml:space="preserve"> 2015-2016</w:t>
            </w:r>
          </w:p>
        </w:tc>
        <w:tc>
          <w:tcPr>
            <w:tcW w:w="1860" w:type="dxa"/>
            <w:noWrap/>
            <w:hideMark/>
          </w:tcPr>
          <w:p w14:paraId="36998607" w14:textId="77777777" w:rsidR="00FD4846" w:rsidRPr="00F31693" w:rsidRDefault="00FD4846" w:rsidP="00FD4846">
            <w:pPr>
              <w:pStyle w:val="NoSpacing"/>
            </w:pPr>
            <w:r w:rsidRPr="00F31693">
              <w:t>$627,447,476.29</w:t>
            </w:r>
          </w:p>
        </w:tc>
      </w:tr>
      <w:tr w:rsidR="00FD4846" w:rsidRPr="00F31693" w14:paraId="65D38878" w14:textId="77777777" w:rsidTr="00FD4846">
        <w:trPr>
          <w:trHeight w:val="315"/>
        </w:trPr>
        <w:tc>
          <w:tcPr>
            <w:tcW w:w="1120" w:type="dxa"/>
            <w:noWrap/>
            <w:hideMark/>
          </w:tcPr>
          <w:p w14:paraId="2DA21DD9" w14:textId="77777777" w:rsidR="00FD4846" w:rsidRPr="00F31693" w:rsidRDefault="00FD4846" w:rsidP="00FD4846">
            <w:pPr>
              <w:pStyle w:val="NoSpacing"/>
            </w:pPr>
          </w:p>
        </w:tc>
        <w:tc>
          <w:tcPr>
            <w:tcW w:w="1740" w:type="dxa"/>
            <w:noWrap/>
            <w:hideMark/>
          </w:tcPr>
          <w:p w14:paraId="3F5FD098" w14:textId="77777777" w:rsidR="00FD4846" w:rsidRPr="00F31693" w:rsidRDefault="00FD4846" w:rsidP="00FD4846">
            <w:pPr>
              <w:pStyle w:val="NoSpacing"/>
            </w:pPr>
          </w:p>
        </w:tc>
        <w:tc>
          <w:tcPr>
            <w:tcW w:w="960" w:type="dxa"/>
            <w:noWrap/>
            <w:hideMark/>
          </w:tcPr>
          <w:p w14:paraId="59D22AFD" w14:textId="77777777" w:rsidR="00FD4846" w:rsidRPr="00F31693" w:rsidRDefault="00FD4846" w:rsidP="00FD4846">
            <w:pPr>
              <w:pStyle w:val="NoSpacing"/>
            </w:pPr>
          </w:p>
        </w:tc>
        <w:tc>
          <w:tcPr>
            <w:tcW w:w="1120" w:type="dxa"/>
            <w:noWrap/>
            <w:hideMark/>
          </w:tcPr>
          <w:p w14:paraId="6EC80898" w14:textId="77777777" w:rsidR="00FD4846" w:rsidRPr="00F31693" w:rsidRDefault="00FD4846" w:rsidP="00FD4846">
            <w:pPr>
              <w:pStyle w:val="NoSpacing"/>
            </w:pPr>
          </w:p>
        </w:tc>
        <w:tc>
          <w:tcPr>
            <w:tcW w:w="1860" w:type="dxa"/>
            <w:noWrap/>
            <w:hideMark/>
          </w:tcPr>
          <w:p w14:paraId="0AFEA383" w14:textId="77777777" w:rsidR="00FD4846" w:rsidRPr="00F31693" w:rsidRDefault="00FD4846" w:rsidP="00FD4846">
            <w:pPr>
              <w:pStyle w:val="NoSpacing"/>
            </w:pPr>
          </w:p>
        </w:tc>
      </w:tr>
    </w:tbl>
    <w:p w14:paraId="7F27400D" w14:textId="77777777" w:rsidR="00FD4846" w:rsidRPr="00F31693" w:rsidRDefault="00FD4846" w:rsidP="0048130B">
      <w:pPr>
        <w:pStyle w:val="NoSpacing"/>
      </w:pPr>
    </w:p>
    <w:p w14:paraId="1FD13879" w14:textId="77777777" w:rsidR="00A95E97" w:rsidRPr="00F31693" w:rsidRDefault="00A95E97" w:rsidP="00A95E97">
      <w:r w:rsidRPr="00F31693">
        <w:t>The BSA team reviews RDC activity quarterly. There have been no SARs filed during the assessment period as result of unusual or suspicious activity surrounding the use of RDC services.</w:t>
      </w:r>
    </w:p>
    <w:p w14:paraId="38703646" w14:textId="77777777" w:rsidR="00A95E97" w:rsidRPr="00F31693" w:rsidRDefault="00A95E97" w:rsidP="00A95E97">
      <w:pPr>
        <w:rPr>
          <w:u w:val="single"/>
        </w:rPr>
      </w:pPr>
      <w:r w:rsidRPr="00F31693">
        <w:rPr>
          <w:b/>
          <w:u w:val="single"/>
        </w:rPr>
        <w:t>ACH</w:t>
      </w:r>
    </w:p>
    <w:p w14:paraId="43DEFDBC" w14:textId="569AA3C8" w:rsidR="00665E6B" w:rsidRPr="00F31693" w:rsidRDefault="006473DB" w:rsidP="00A95E97">
      <w:r>
        <w:t xml:space="preserve">J. Wallace </w:t>
      </w:r>
      <w:r w:rsidR="00A95E97" w:rsidRPr="00F31693">
        <w:t xml:space="preserve">acts as </w:t>
      </w:r>
      <w:r w:rsidR="00E2267B">
        <w:t xml:space="preserve">both </w:t>
      </w:r>
      <w:r w:rsidR="00A95E97" w:rsidRPr="00F31693">
        <w:t>an Originating Depository Financial Institutions (“ODFI”)</w:t>
      </w:r>
      <w:r w:rsidR="00E2267B">
        <w:t xml:space="preserve"> and a</w:t>
      </w:r>
      <w:r w:rsidR="00931468">
        <w:t xml:space="preserve"> </w:t>
      </w:r>
      <w:r w:rsidR="00E2267B">
        <w:t>Receiving Depository Financial Institution (“RDFI”)</w:t>
      </w:r>
      <w:r w:rsidR="00A95E97" w:rsidRPr="00F31693">
        <w:t>. The ODFI</w:t>
      </w:r>
      <w:r w:rsidR="00931468">
        <w:t xml:space="preserve"> and RDFI are</w:t>
      </w:r>
      <w:r w:rsidR="00A95E97" w:rsidRPr="00F31693">
        <w:t xml:space="preserve"> required to establish, </w:t>
      </w:r>
      <w:proofErr w:type="gramStart"/>
      <w:r w:rsidR="00A95E97" w:rsidRPr="00F31693">
        <w:t>monitor</w:t>
      </w:r>
      <w:proofErr w:type="gramEnd"/>
      <w:r w:rsidR="00A95E97" w:rsidRPr="00F31693">
        <w:t xml:space="preserve"> and periodically review exposure limits for each of its approved originators</w:t>
      </w:r>
      <w:r w:rsidR="00931468">
        <w:t xml:space="preserve"> and beneficiaries</w:t>
      </w:r>
      <w:r w:rsidR="00A95E97" w:rsidRPr="00F31693">
        <w:t xml:space="preserve">. It also must examine compliance with this requirement on an ongoing basis through its internal audit process. </w:t>
      </w:r>
    </w:p>
    <w:p w14:paraId="5CB8FB1F" w14:textId="77777777" w:rsidR="00665E6B" w:rsidRPr="00F31693" w:rsidRDefault="00665E6B" w:rsidP="00A95E97">
      <w:r w:rsidRPr="00F31693">
        <w:t xml:space="preserve">Customers may be in a </w:t>
      </w:r>
      <w:r w:rsidR="006D2535" w:rsidRPr="00F31693">
        <w:t>corporate</w:t>
      </w:r>
      <w:r w:rsidRPr="00F31693">
        <w:t xml:space="preserve"> form of legal organization, </w:t>
      </w:r>
      <w:proofErr w:type="gramStart"/>
      <w:r w:rsidRPr="00F31693">
        <w:t>may be</w:t>
      </w:r>
      <w:proofErr w:type="gramEnd"/>
      <w:r w:rsidRPr="00F31693">
        <w:t xml:space="preserve"> Partnerships of various types or may be municipalities. These payments are automatically debited and/or credited from/to a customer’s </w:t>
      </w:r>
      <w:r w:rsidRPr="00F31693">
        <w:lastRenderedPageBreak/>
        <w:t>account on the payment effective date of the file. ACH payments are governed by the National Automated Clearing House Association (NACHA).</w:t>
      </w:r>
    </w:p>
    <w:p w14:paraId="3F86CEB2" w14:textId="77777777" w:rsidR="009F4B6D" w:rsidRPr="00F31693" w:rsidRDefault="009F4B6D" w:rsidP="00A95E97">
      <w:r w:rsidRPr="00F31693">
        <w:t>FY</w:t>
      </w:r>
      <w:r w:rsidR="00FB3908">
        <w:t>E</w:t>
      </w:r>
      <w:r w:rsidRPr="00F31693">
        <w:t xml:space="preserve"> 201</w:t>
      </w:r>
      <w:r w:rsidR="00D2651B" w:rsidRPr="00F31693">
        <w:t>6</w:t>
      </w:r>
      <w:r w:rsidRPr="00F31693">
        <w:t xml:space="preserve"> ACH activity was conducted as follows:</w:t>
      </w:r>
    </w:p>
    <w:tbl>
      <w:tblPr>
        <w:tblW w:w="7860" w:type="dxa"/>
        <w:tblInd w:w="93" w:type="dxa"/>
        <w:tblLook w:val="04A0" w:firstRow="1" w:lastRow="0" w:firstColumn="1" w:lastColumn="0" w:noHBand="0" w:noVBand="1"/>
      </w:tblPr>
      <w:tblGrid>
        <w:gridCol w:w="1635"/>
        <w:gridCol w:w="1325"/>
        <w:gridCol w:w="1720"/>
        <w:gridCol w:w="1340"/>
        <w:gridCol w:w="1840"/>
      </w:tblGrid>
      <w:tr w:rsidR="000D129F" w:rsidRPr="00F31693" w14:paraId="0B7A15DE" w14:textId="77777777" w:rsidTr="0061774A">
        <w:trPr>
          <w:trHeight w:val="30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454DD" w14:textId="77777777" w:rsidR="000D129F" w:rsidRPr="00F31693" w:rsidRDefault="000D129F" w:rsidP="0061774A">
            <w:pPr>
              <w:spacing w:after="0" w:line="240" w:lineRule="auto"/>
              <w:rPr>
                <w:rFonts w:ascii="Calibri" w:eastAsia="Times New Roman" w:hAnsi="Calibri" w:cs="Times New Roman"/>
                <w:b/>
                <w:bCs/>
              </w:rPr>
            </w:pPr>
            <w:r w:rsidRPr="00F31693">
              <w:rPr>
                <w:rFonts w:ascii="Calibri" w:eastAsia="Times New Roman" w:hAnsi="Calibri" w:cs="Times New Roman"/>
                <w:b/>
                <w:bCs/>
              </w:rPr>
              <w:t> Date</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14:paraId="6E285FB9" w14:textId="77777777" w:rsidR="000D129F" w:rsidRPr="00F31693" w:rsidRDefault="000D129F" w:rsidP="0061774A">
            <w:pPr>
              <w:spacing w:after="0" w:line="240" w:lineRule="auto"/>
              <w:jc w:val="center"/>
              <w:rPr>
                <w:rFonts w:ascii="Calibri" w:eastAsia="Times New Roman" w:hAnsi="Calibri" w:cs="Times New Roman"/>
                <w:b/>
                <w:bCs/>
              </w:rPr>
            </w:pPr>
            <w:r w:rsidRPr="00F31693">
              <w:rPr>
                <w:rFonts w:ascii="Calibri" w:eastAsia="Times New Roman" w:hAnsi="Calibri" w:cs="Times New Roman"/>
                <w:b/>
                <w:bCs/>
              </w:rPr>
              <w:t>No.</w:t>
            </w:r>
            <w:r w:rsidR="00335FF1" w:rsidRPr="00F31693">
              <w:rPr>
                <w:rFonts w:ascii="Calibri" w:eastAsia="Times New Roman" w:hAnsi="Calibri" w:cs="Times New Roman"/>
                <w:b/>
                <w:bCs/>
              </w:rPr>
              <w:t xml:space="preserve"> </w:t>
            </w:r>
            <w:r w:rsidRPr="00F31693">
              <w:rPr>
                <w:rFonts w:ascii="Calibri" w:eastAsia="Times New Roman" w:hAnsi="Calibri" w:cs="Times New Roman"/>
                <w:b/>
                <w:bCs/>
              </w:rPr>
              <w:t>Debits</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1DED3A50" w14:textId="77777777" w:rsidR="000D129F" w:rsidRPr="00F31693" w:rsidRDefault="000D129F" w:rsidP="0061774A">
            <w:pPr>
              <w:spacing w:after="0" w:line="240" w:lineRule="auto"/>
              <w:jc w:val="center"/>
              <w:rPr>
                <w:rFonts w:ascii="Calibri" w:eastAsia="Times New Roman" w:hAnsi="Calibri" w:cs="Times New Roman"/>
                <w:b/>
                <w:bCs/>
              </w:rPr>
            </w:pPr>
            <w:r w:rsidRPr="00F31693">
              <w:rPr>
                <w:rFonts w:ascii="Calibri" w:eastAsia="Times New Roman" w:hAnsi="Calibri" w:cs="Times New Roman"/>
                <w:b/>
                <w:bCs/>
              </w:rPr>
              <w:t>Debits Amount</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30E2DD83" w14:textId="77777777" w:rsidR="000D129F" w:rsidRPr="00F31693" w:rsidRDefault="000D129F" w:rsidP="0061774A">
            <w:pPr>
              <w:spacing w:after="0" w:line="240" w:lineRule="auto"/>
              <w:jc w:val="center"/>
              <w:rPr>
                <w:rFonts w:ascii="Calibri" w:eastAsia="Times New Roman" w:hAnsi="Calibri" w:cs="Times New Roman"/>
                <w:b/>
                <w:bCs/>
              </w:rPr>
            </w:pPr>
            <w:r w:rsidRPr="00F31693">
              <w:rPr>
                <w:rFonts w:ascii="Calibri" w:eastAsia="Times New Roman" w:hAnsi="Calibri" w:cs="Times New Roman"/>
                <w:b/>
                <w:bCs/>
              </w:rPr>
              <w:t>No.</w:t>
            </w:r>
            <w:r w:rsidR="00335FF1" w:rsidRPr="00F31693">
              <w:rPr>
                <w:rFonts w:ascii="Calibri" w:eastAsia="Times New Roman" w:hAnsi="Calibri" w:cs="Times New Roman"/>
                <w:b/>
                <w:bCs/>
              </w:rPr>
              <w:t xml:space="preserve"> </w:t>
            </w:r>
            <w:r w:rsidRPr="00F31693">
              <w:rPr>
                <w:rFonts w:ascii="Calibri" w:eastAsia="Times New Roman" w:hAnsi="Calibri" w:cs="Times New Roman"/>
                <w:b/>
                <w:bCs/>
              </w:rPr>
              <w:t>Credits</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0A58CB40" w14:textId="77777777" w:rsidR="000D129F" w:rsidRPr="00F31693" w:rsidRDefault="000D129F" w:rsidP="0061774A">
            <w:pPr>
              <w:spacing w:after="0" w:line="240" w:lineRule="auto"/>
              <w:jc w:val="center"/>
              <w:rPr>
                <w:rFonts w:ascii="Calibri" w:eastAsia="Times New Roman" w:hAnsi="Calibri" w:cs="Times New Roman"/>
                <w:b/>
                <w:bCs/>
              </w:rPr>
            </w:pPr>
            <w:r w:rsidRPr="00F31693">
              <w:rPr>
                <w:rFonts w:ascii="Calibri" w:eastAsia="Times New Roman" w:hAnsi="Calibri" w:cs="Times New Roman"/>
                <w:b/>
                <w:bCs/>
              </w:rPr>
              <w:t>Credits Amount</w:t>
            </w:r>
          </w:p>
        </w:tc>
      </w:tr>
      <w:tr w:rsidR="000D129F" w:rsidRPr="00F31693" w14:paraId="1B68B46F" w14:textId="77777777" w:rsidTr="0061774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65A5A14A" w14:textId="77777777" w:rsidR="000D129F" w:rsidRPr="00F31693" w:rsidRDefault="000D129F" w:rsidP="0061774A">
            <w:pPr>
              <w:spacing w:after="0" w:line="240" w:lineRule="auto"/>
              <w:rPr>
                <w:rFonts w:ascii="Calibri" w:eastAsia="Times New Roman" w:hAnsi="Calibri" w:cs="Times New Roman"/>
                <w:b/>
                <w:bCs/>
              </w:rPr>
            </w:pPr>
            <w:r w:rsidRPr="00F31693">
              <w:rPr>
                <w:rFonts w:ascii="Calibri" w:eastAsia="Times New Roman" w:hAnsi="Calibri" w:cs="Times New Roman"/>
                <w:b/>
                <w:bCs/>
              </w:rPr>
              <w:t>July-1</w:t>
            </w:r>
            <w:r w:rsidR="00F25A6C" w:rsidRPr="00F31693">
              <w:rPr>
                <w:rFonts w:ascii="Calibri" w:eastAsia="Times New Roman" w:hAnsi="Calibri" w:cs="Times New Roman"/>
                <w:b/>
                <w:bCs/>
              </w:rPr>
              <w:t>5</w:t>
            </w:r>
          </w:p>
        </w:tc>
        <w:tc>
          <w:tcPr>
            <w:tcW w:w="1325" w:type="dxa"/>
            <w:tcBorders>
              <w:top w:val="nil"/>
              <w:left w:val="nil"/>
              <w:bottom w:val="single" w:sz="4" w:space="0" w:color="auto"/>
              <w:right w:val="single" w:sz="4" w:space="0" w:color="auto"/>
            </w:tcBorders>
            <w:shd w:val="clear" w:color="auto" w:fill="auto"/>
            <w:noWrap/>
            <w:vAlign w:val="bottom"/>
            <w:hideMark/>
          </w:tcPr>
          <w:p w14:paraId="1E298434" w14:textId="77777777" w:rsidR="00F25A6C" w:rsidRPr="00F31693" w:rsidRDefault="00F25A6C" w:rsidP="00F25A6C">
            <w:pPr>
              <w:spacing w:after="0" w:line="240" w:lineRule="auto"/>
              <w:jc w:val="center"/>
              <w:rPr>
                <w:rFonts w:ascii="Calibri" w:eastAsia="Times New Roman" w:hAnsi="Calibri" w:cs="Times New Roman"/>
                <w:bCs/>
              </w:rPr>
            </w:pPr>
            <w:r w:rsidRPr="00F31693">
              <w:rPr>
                <w:rFonts w:ascii="Calibri" w:eastAsia="Times New Roman" w:hAnsi="Calibri" w:cs="Times New Roman"/>
                <w:bCs/>
              </w:rPr>
              <w:t>8990</w:t>
            </w:r>
          </w:p>
        </w:tc>
        <w:tc>
          <w:tcPr>
            <w:tcW w:w="1720" w:type="dxa"/>
            <w:tcBorders>
              <w:top w:val="nil"/>
              <w:left w:val="nil"/>
              <w:bottom w:val="single" w:sz="4" w:space="0" w:color="auto"/>
              <w:right w:val="single" w:sz="4" w:space="0" w:color="auto"/>
            </w:tcBorders>
            <w:shd w:val="clear" w:color="auto" w:fill="auto"/>
            <w:noWrap/>
            <w:vAlign w:val="bottom"/>
            <w:hideMark/>
          </w:tcPr>
          <w:p w14:paraId="39C17D15" w14:textId="77777777" w:rsidR="000D129F" w:rsidRPr="00F31693" w:rsidRDefault="000D129F" w:rsidP="00F25A6C">
            <w:pPr>
              <w:spacing w:after="0" w:line="240" w:lineRule="auto"/>
              <w:jc w:val="center"/>
              <w:rPr>
                <w:rFonts w:ascii="Calibri" w:eastAsia="Times New Roman" w:hAnsi="Calibri" w:cs="Times New Roman"/>
                <w:bCs/>
              </w:rPr>
            </w:pPr>
            <w:r w:rsidRPr="00F31693">
              <w:rPr>
                <w:rFonts w:ascii="Calibri" w:eastAsia="Times New Roman" w:hAnsi="Calibri" w:cs="Times New Roman"/>
                <w:bCs/>
              </w:rPr>
              <w:t>$</w:t>
            </w:r>
            <w:r w:rsidR="00F25A6C" w:rsidRPr="00F31693">
              <w:rPr>
                <w:rFonts w:ascii="Calibri" w:eastAsia="Times New Roman" w:hAnsi="Calibri" w:cs="Times New Roman"/>
                <w:bCs/>
              </w:rPr>
              <w:t>11,146,715.10</w:t>
            </w:r>
          </w:p>
        </w:tc>
        <w:tc>
          <w:tcPr>
            <w:tcW w:w="1340" w:type="dxa"/>
            <w:tcBorders>
              <w:top w:val="nil"/>
              <w:left w:val="nil"/>
              <w:bottom w:val="single" w:sz="4" w:space="0" w:color="auto"/>
              <w:right w:val="single" w:sz="4" w:space="0" w:color="auto"/>
            </w:tcBorders>
            <w:shd w:val="clear" w:color="auto" w:fill="auto"/>
            <w:noWrap/>
            <w:vAlign w:val="bottom"/>
            <w:hideMark/>
          </w:tcPr>
          <w:p w14:paraId="4EE85F53" w14:textId="77777777" w:rsidR="000D129F" w:rsidRPr="00F31693" w:rsidRDefault="00F25A6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12264</w:t>
            </w:r>
          </w:p>
        </w:tc>
        <w:tc>
          <w:tcPr>
            <w:tcW w:w="1840" w:type="dxa"/>
            <w:tcBorders>
              <w:top w:val="nil"/>
              <w:left w:val="nil"/>
              <w:bottom w:val="single" w:sz="4" w:space="0" w:color="auto"/>
              <w:right w:val="single" w:sz="4" w:space="0" w:color="auto"/>
            </w:tcBorders>
            <w:shd w:val="clear" w:color="auto" w:fill="auto"/>
            <w:noWrap/>
            <w:vAlign w:val="bottom"/>
            <w:hideMark/>
          </w:tcPr>
          <w:p w14:paraId="439DE50B" w14:textId="77777777" w:rsidR="000D129F" w:rsidRPr="00F31693" w:rsidRDefault="00F25A6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$18,853,361.68</w:t>
            </w:r>
          </w:p>
        </w:tc>
      </w:tr>
      <w:tr w:rsidR="000D129F" w:rsidRPr="00F31693" w14:paraId="63CC34B5" w14:textId="77777777" w:rsidTr="0061774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1ADECD35" w14:textId="77777777" w:rsidR="000D129F" w:rsidRPr="00F31693" w:rsidRDefault="000D129F" w:rsidP="0061774A">
            <w:pPr>
              <w:spacing w:after="0" w:line="240" w:lineRule="auto"/>
              <w:rPr>
                <w:rFonts w:ascii="Calibri" w:eastAsia="Times New Roman" w:hAnsi="Calibri" w:cs="Times New Roman"/>
                <w:b/>
                <w:bCs/>
              </w:rPr>
            </w:pPr>
            <w:r w:rsidRPr="00F31693">
              <w:rPr>
                <w:rFonts w:ascii="Calibri" w:eastAsia="Times New Roman" w:hAnsi="Calibri" w:cs="Times New Roman"/>
                <w:b/>
                <w:bCs/>
              </w:rPr>
              <w:t>August-1</w:t>
            </w:r>
            <w:r w:rsidR="00F25A6C" w:rsidRPr="00F31693">
              <w:rPr>
                <w:rFonts w:ascii="Calibri" w:eastAsia="Times New Roman" w:hAnsi="Calibri" w:cs="Times New Roman"/>
                <w:b/>
                <w:bCs/>
              </w:rPr>
              <w:t>5</w:t>
            </w:r>
          </w:p>
        </w:tc>
        <w:tc>
          <w:tcPr>
            <w:tcW w:w="1325" w:type="dxa"/>
            <w:tcBorders>
              <w:top w:val="nil"/>
              <w:left w:val="nil"/>
              <w:bottom w:val="single" w:sz="4" w:space="0" w:color="auto"/>
              <w:right w:val="single" w:sz="4" w:space="0" w:color="auto"/>
            </w:tcBorders>
            <w:shd w:val="clear" w:color="auto" w:fill="auto"/>
            <w:noWrap/>
            <w:vAlign w:val="bottom"/>
            <w:hideMark/>
          </w:tcPr>
          <w:p w14:paraId="70733DA5" w14:textId="77777777" w:rsidR="000D129F" w:rsidRPr="00F31693" w:rsidRDefault="00F25A6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8489</w:t>
            </w:r>
          </w:p>
        </w:tc>
        <w:tc>
          <w:tcPr>
            <w:tcW w:w="1720" w:type="dxa"/>
            <w:tcBorders>
              <w:top w:val="nil"/>
              <w:left w:val="nil"/>
              <w:bottom w:val="single" w:sz="4" w:space="0" w:color="auto"/>
              <w:right w:val="single" w:sz="4" w:space="0" w:color="auto"/>
            </w:tcBorders>
            <w:shd w:val="clear" w:color="auto" w:fill="auto"/>
            <w:noWrap/>
            <w:vAlign w:val="bottom"/>
            <w:hideMark/>
          </w:tcPr>
          <w:p w14:paraId="1010E984" w14:textId="77777777" w:rsidR="000D129F" w:rsidRPr="00F31693" w:rsidRDefault="00F25A6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$10,710,266.90</w:t>
            </w:r>
          </w:p>
        </w:tc>
        <w:tc>
          <w:tcPr>
            <w:tcW w:w="1340" w:type="dxa"/>
            <w:tcBorders>
              <w:top w:val="nil"/>
              <w:left w:val="nil"/>
              <w:bottom w:val="single" w:sz="4" w:space="0" w:color="auto"/>
              <w:right w:val="single" w:sz="4" w:space="0" w:color="auto"/>
            </w:tcBorders>
            <w:shd w:val="clear" w:color="auto" w:fill="auto"/>
            <w:noWrap/>
            <w:vAlign w:val="bottom"/>
            <w:hideMark/>
          </w:tcPr>
          <w:p w14:paraId="73DB291E" w14:textId="77777777" w:rsidR="000D129F" w:rsidRPr="00F31693" w:rsidRDefault="00F25A6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10061</w:t>
            </w:r>
          </w:p>
        </w:tc>
        <w:tc>
          <w:tcPr>
            <w:tcW w:w="1840" w:type="dxa"/>
            <w:tcBorders>
              <w:top w:val="nil"/>
              <w:left w:val="nil"/>
              <w:bottom w:val="single" w:sz="4" w:space="0" w:color="auto"/>
              <w:right w:val="single" w:sz="4" w:space="0" w:color="auto"/>
            </w:tcBorders>
            <w:shd w:val="clear" w:color="auto" w:fill="auto"/>
            <w:noWrap/>
            <w:vAlign w:val="bottom"/>
            <w:hideMark/>
          </w:tcPr>
          <w:p w14:paraId="39C55EA2" w14:textId="77777777" w:rsidR="000D129F" w:rsidRPr="00F31693" w:rsidRDefault="00F25A6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$16,544,029.55</w:t>
            </w:r>
          </w:p>
        </w:tc>
      </w:tr>
      <w:tr w:rsidR="000D129F" w:rsidRPr="00F31693" w14:paraId="46B69A76" w14:textId="77777777" w:rsidTr="0061774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2C0EE503" w14:textId="77777777" w:rsidR="000D129F" w:rsidRPr="00F31693" w:rsidRDefault="000D129F" w:rsidP="0061774A">
            <w:pPr>
              <w:spacing w:after="0" w:line="240" w:lineRule="auto"/>
              <w:rPr>
                <w:rFonts w:ascii="Calibri" w:eastAsia="Times New Roman" w:hAnsi="Calibri" w:cs="Times New Roman"/>
                <w:b/>
                <w:bCs/>
              </w:rPr>
            </w:pPr>
            <w:r w:rsidRPr="00F31693">
              <w:rPr>
                <w:rFonts w:ascii="Calibri" w:eastAsia="Times New Roman" w:hAnsi="Calibri" w:cs="Times New Roman"/>
                <w:b/>
                <w:bCs/>
              </w:rPr>
              <w:t>September-1</w:t>
            </w:r>
            <w:r w:rsidR="00F25A6C" w:rsidRPr="00F31693">
              <w:rPr>
                <w:rFonts w:ascii="Calibri" w:eastAsia="Times New Roman" w:hAnsi="Calibri" w:cs="Times New Roman"/>
                <w:b/>
                <w:bCs/>
              </w:rPr>
              <w:t>5</w:t>
            </w:r>
          </w:p>
        </w:tc>
        <w:tc>
          <w:tcPr>
            <w:tcW w:w="1325" w:type="dxa"/>
            <w:tcBorders>
              <w:top w:val="nil"/>
              <w:left w:val="nil"/>
              <w:bottom w:val="single" w:sz="4" w:space="0" w:color="auto"/>
              <w:right w:val="single" w:sz="4" w:space="0" w:color="auto"/>
            </w:tcBorders>
            <w:shd w:val="clear" w:color="auto" w:fill="auto"/>
            <w:noWrap/>
            <w:vAlign w:val="bottom"/>
            <w:hideMark/>
          </w:tcPr>
          <w:p w14:paraId="52747516"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9201</w:t>
            </w:r>
          </w:p>
        </w:tc>
        <w:tc>
          <w:tcPr>
            <w:tcW w:w="1720" w:type="dxa"/>
            <w:tcBorders>
              <w:top w:val="nil"/>
              <w:left w:val="nil"/>
              <w:bottom w:val="single" w:sz="4" w:space="0" w:color="auto"/>
              <w:right w:val="single" w:sz="4" w:space="0" w:color="auto"/>
            </w:tcBorders>
            <w:shd w:val="clear" w:color="auto" w:fill="auto"/>
            <w:noWrap/>
            <w:vAlign w:val="bottom"/>
            <w:hideMark/>
          </w:tcPr>
          <w:p w14:paraId="58BCB464"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$13,584,191.46</w:t>
            </w:r>
          </w:p>
        </w:tc>
        <w:tc>
          <w:tcPr>
            <w:tcW w:w="1340" w:type="dxa"/>
            <w:tcBorders>
              <w:top w:val="nil"/>
              <w:left w:val="nil"/>
              <w:bottom w:val="single" w:sz="4" w:space="0" w:color="auto"/>
              <w:right w:val="single" w:sz="4" w:space="0" w:color="auto"/>
            </w:tcBorders>
            <w:shd w:val="clear" w:color="auto" w:fill="auto"/>
            <w:noWrap/>
            <w:vAlign w:val="bottom"/>
            <w:hideMark/>
          </w:tcPr>
          <w:p w14:paraId="5A6153A4"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13856</w:t>
            </w:r>
          </w:p>
        </w:tc>
        <w:tc>
          <w:tcPr>
            <w:tcW w:w="1840" w:type="dxa"/>
            <w:tcBorders>
              <w:top w:val="nil"/>
              <w:left w:val="nil"/>
              <w:bottom w:val="single" w:sz="4" w:space="0" w:color="auto"/>
              <w:right w:val="single" w:sz="4" w:space="0" w:color="auto"/>
            </w:tcBorders>
            <w:shd w:val="clear" w:color="auto" w:fill="auto"/>
            <w:noWrap/>
            <w:vAlign w:val="bottom"/>
            <w:hideMark/>
          </w:tcPr>
          <w:p w14:paraId="62D2A952"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$19,619,612.82</w:t>
            </w:r>
          </w:p>
        </w:tc>
      </w:tr>
      <w:tr w:rsidR="000D129F" w:rsidRPr="00F31693" w14:paraId="1798D4BB" w14:textId="77777777" w:rsidTr="0061774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66507B61" w14:textId="77777777" w:rsidR="000D129F" w:rsidRPr="00F31693" w:rsidRDefault="000D129F" w:rsidP="0061774A">
            <w:pPr>
              <w:spacing w:after="0" w:line="240" w:lineRule="auto"/>
              <w:rPr>
                <w:rFonts w:ascii="Calibri" w:eastAsia="Times New Roman" w:hAnsi="Calibri" w:cs="Times New Roman"/>
                <w:b/>
                <w:bCs/>
              </w:rPr>
            </w:pPr>
            <w:r w:rsidRPr="00F31693">
              <w:rPr>
                <w:rFonts w:ascii="Calibri" w:eastAsia="Times New Roman" w:hAnsi="Calibri" w:cs="Times New Roman"/>
                <w:b/>
                <w:bCs/>
              </w:rPr>
              <w:t>October-1</w:t>
            </w:r>
            <w:r w:rsidR="00F25A6C" w:rsidRPr="00F31693">
              <w:rPr>
                <w:rFonts w:ascii="Calibri" w:eastAsia="Times New Roman" w:hAnsi="Calibri" w:cs="Times New Roman"/>
                <w:b/>
                <w:bCs/>
              </w:rPr>
              <w:t>5</w:t>
            </w:r>
          </w:p>
        </w:tc>
        <w:tc>
          <w:tcPr>
            <w:tcW w:w="1325" w:type="dxa"/>
            <w:tcBorders>
              <w:top w:val="nil"/>
              <w:left w:val="nil"/>
              <w:bottom w:val="single" w:sz="4" w:space="0" w:color="auto"/>
              <w:right w:val="single" w:sz="4" w:space="0" w:color="auto"/>
            </w:tcBorders>
            <w:shd w:val="clear" w:color="auto" w:fill="auto"/>
            <w:noWrap/>
            <w:vAlign w:val="bottom"/>
            <w:hideMark/>
          </w:tcPr>
          <w:p w14:paraId="389A2243"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8489</w:t>
            </w:r>
          </w:p>
        </w:tc>
        <w:tc>
          <w:tcPr>
            <w:tcW w:w="1720" w:type="dxa"/>
            <w:tcBorders>
              <w:top w:val="nil"/>
              <w:left w:val="nil"/>
              <w:bottom w:val="single" w:sz="4" w:space="0" w:color="auto"/>
              <w:right w:val="single" w:sz="4" w:space="0" w:color="auto"/>
            </w:tcBorders>
            <w:shd w:val="clear" w:color="auto" w:fill="auto"/>
            <w:noWrap/>
            <w:vAlign w:val="bottom"/>
            <w:hideMark/>
          </w:tcPr>
          <w:p w14:paraId="0C213F02"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$11,629,349.87</w:t>
            </w:r>
          </w:p>
        </w:tc>
        <w:tc>
          <w:tcPr>
            <w:tcW w:w="1340" w:type="dxa"/>
            <w:tcBorders>
              <w:top w:val="nil"/>
              <w:left w:val="nil"/>
              <w:bottom w:val="single" w:sz="4" w:space="0" w:color="auto"/>
              <w:right w:val="single" w:sz="4" w:space="0" w:color="auto"/>
            </w:tcBorders>
            <w:shd w:val="clear" w:color="auto" w:fill="auto"/>
            <w:noWrap/>
            <w:vAlign w:val="bottom"/>
            <w:hideMark/>
          </w:tcPr>
          <w:p w14:paraId="727ADAF5"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10727</w:t>
            </w:r>
          </w:p>
        </w:tc>
        <w:tc>
          <w:tcPr>
            <w:tcW w:w="1840" w:type="dxa"/>
            <w:tcBorders>
              <w:top w:val="nil"/>
              <w:left w:val="nil"/>
              <w:bottom w:val="single" w:sz="4" w:space="0" w:color="auto"/>
              <w:right w:val="single" w:sz="4" w:space="0" w:color="auto"/>
            </w:tcBorders>
            <w:shd w:val="clear" w:color="auto" w:fill="auto"/>
            <w:noWrap/>
            <w:vAlign w:val="bottom"/>
            <w:hideMark/>
          </w:tcPr>
          <w:p w14:paraId="6E2EE1C9"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$15,955,397.03</w:t>
            </w:r>
          </w:p>
        </w:tc>
      </w:tr>
      <w:tr w:rsidR="000D129F" w:rsidRPr="00F31693" w14:paraId="36970D46" w14:textId="77777777" w:rsidTr="0061774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5D25D563" w14:textId="77777777" w:rsidR="000D129F" w:rsidRPr="00F31693" w:rsidRDefault="000D129F" w:rsidP="0061774A">
            <w:pPr>
              <w:spacing w:after="0" w:line="240" w:lineRule="auto"/>
              <w:rPr>
                <w:rFonts w:ascii="Calibri" w:eastAsia="Times New Roman" w:hAnsi="Calibri" w:cs="Times New Roman"/>
                <w:b/>
                <w:bCs/>
              </w:rPr>
            </w:pPr>
            <w:r w:rsidRPr="00F31693">
              <w:rPr>
                <w:rFonts w:ascii="Calibri" w:eastAsia="Times New Roman" w:hAnsi="Calibri" w:cs="Times New Roman"/>
                <w:b/>
                <w:bCs/>
              </w:rPr>
              <w:t>November-1</w:t>
            </w:r>
            <w:r w:rsidR="00F25A6C" w:rsidRPr="00F31693">
              <w:rPr>
                <w:rFonts w:ascii="Calibri" w:eastAsia="Times New Roman" w:hAnsi="Calibri" w:cs="Times New Roman"/>
                <w:b/>
                <w:bCs/>
              </w:rPr>
              <w:t>5</w:t>
            </w:r>
          </w:p>
        </w:tc>
        <w:tc>
          <w:tcPr>
            <w:tcW w:w="1325" w:type="dxa"/>
            <w:tcBorders>
              <w:top w:val="nil"/>
              <w:left w:val="nil"/>
              <w:bottom w:val="single" w:sz="4" w:space="0" w:color="auto"/>
              <w:right w:val="single" w:sz="4" w:space="0" w:color="auto"/>
            </w:tcBorders>
            <w:shd w:val="clear" w:color="auto" w:fill="auto"/>
            <w:noWrap/>
            <w:vAlign w:val="bottom"/>
            <w:hideMark/>
          </w:tcPr>
          <w:p w14:paraId="0F780D6F"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8562</w:t>
            </w:r>
          </w:p>
        </w:tc>
        <w:tc>
          <w:tcPr>
            <w:tcW w:w="1720" w:type="dxa"/>
            <w:tcBorders>
              <w:top w:val="nil"/>
              <w:left w:val="nil"/>
              <w:bottom w:val="single" w:sz="4" w:space="0" w:color="auto"/>
              <w:right w:val="single" w:sz="4" w:space="0" w:color="auto"/>
            </w:tcBorders>
            <w:shd w:val="clear" w:color="auto" w:fill="auto"/>
            <w:noWrap/>
            <w:vAlign w:val="bottom"/>
            <w:hideMark/>
          </w:tcPr>
          <w:p w14:paraId="0BA82655"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$11,905,993.25</w:t>
            </w:r>
          </w:p>
        </w:tc>
        <w:tc>
          <w:tcPr>
            <w:tcW w:w="1340" w:type="dxa"/>
            <w:tcBorders>
              <w:top w:val="nil"/>
              <w:left w:val="nil"/>
              <w:bottom w:val="single" w:sz="4" w:space="0" w:color="auto"/>
              <w:right w:val="single" w:sz="4" w:space="0" w:color="auto"/>
            </w:tcBorders>
            <w:shd w:val="clear" w:color="auto" w:fill="auto"/>
            <w:noWrap/>
            <w:vAlign w:val="bottom"/>
            <w:hideMark/>
          </w:tcPr>
          <w:p w14:paraId="4CD33789"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9770</w:t>
            </w:r>
          </w:p>
        </w:tc>
        <w:tc>
          <w:tcPr>
            <w:tcW w:w="1840" w:type="dxa"/>
            <w:tcBorders>
              <w:top w:val="nil"/>
              <w:left w:val="nil"/>
              <w:bottom w:val="single" w:sz="4" w:space="0" w:color="auto"/>
              <w:right w:val="single" w:sz="4" w:space="0" w:color="auto"/>
            </w:tcBorders>
            <w:shd w:val="clear" w:color="auto" w:fill="auto"/>
            <w:noWrap/>
            <w:vAlign w:val="bottom"/>
            <w:hideMark/>
          </w:tcPr>
          <w:p w14:paraId="5E06667F"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$15,612,038.00</w:t>
            </w:r>
          </w:p>
        </w:tc>
      </w:tr>
      <w:tr w:rsidR="000D129F" w:rsidRPr="00F31693" w14:paraId="73657E17" w14:textId="77777777" w:rsidTr="0061774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5BE508ED" w14:textId="77777777" w:rsidR="000D129F" w:rsidRPr="00F31693" w:rsidRDefault="000D129F" w:rsidP="0061774A">
            <w:pPr>
              <w:spacing w:after="0" w:line="240" w:lineRule="auto"/>
              <w:rPr>
                <w:rFonts w:ascii="Calibri" w:eastAsia="Times New Roman" w:hAnsi="Calibri" w:cs="Times New Roman"/>
                <w:b/>
                <w:bCs/>
              </w:rPr>
            </w:pPr>
            <w:r w:rsidRPr="00F31693">
              <w:rPr>
                <w:rFonts w:ascii="Calibri" w:eastAsia="Times New Roman" w:hAnsi="Calibri" w:cs="Times New Roman"/>
                <w:b/>
                <w:bCs/>
              </w:rPr>
              <w:t>December-1</w:t>
            </w:r>
            <w:r w:rsidR="00F25A6C" w:rsidRPr="00F31693">
              <w:rPr>
                <w:rFonts w:ascii="Calibri" w:eastAsia="Times New Roman" w:hAnsi="Calibri" w:cs="Times New Roman"/>
                <w:b/>
                <w:bCs/>
              </w:rPr>
              <w:t>5</w:t>
            </w:r>
          </w:p>
        </w:tc>
        <w:tc>
          <w:tcPr>
            <w:tcW w:w="1325" w:type="dxa"/>
            <w:tcBorders>
              <w:top w:val="nil"/>
              <w:left w:val="nil"/>
              <w:bottom w:val="single" w:sz="4" w:space="0" w:color="auto"/>
              <w:right w:val="single" w:sz="4" w:space="0" w:color="auto"/>
            </w:tcBorders>
            <w:shd w:val="clear" w:color="auto" w:fill="auto"/>
            <w:noWrap/>
            <w:vAlign w:val="bottom"/>
            <w:hideMark/>
          </w:tcPr>
          <w:p w14:paraId="7C944569"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9299</w:t>
            </w:r>
          </w:p>
        </w:tc>
        <w:tc>
          <w:tcPr>
            <w:tcW w:w="1720" w:type="dxa"/>
            <w:tcBorders>
              <w:top w:val="nil"/>
              <w:left w:val="nil"/>
              <w:bottom w:val="single" w:sz="4" w:space="0" w:color="auto"/>
              <w:right w:val="single" w:sz="4" w:space="0" w:color="auto"/>
            </w:tcBorders>
            <w:shd w:val="clear" w:color="auto" w:fill="auto"/>
            <w:noWrap/>
            <w:vAlign w:val="bottom"/>
            <w:hideMark/>
          </w:tcPr>
          <w:p w14:paraId="5F37BAC3"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$13,701,365.26</w:t>
            </w:r>
          </w:p>
        </w:tc>
        <w:tc>
          <w:tcPr>
            <w:tcW w:w="1340" w:type="dxa"/>
            <w:tcBorders>
              <w:top w:val="nil"/>
              <w:left w:val="nil"/>
              <w:bottom w:val="single" w:sz="4" w:space="0" w:color="auto"/>
              <w:right w:val="single" w:sz="4" w:space="0" w:color="auto"/>
            </w:tcBorders>
            <w:shd w:val="clear" w:color="auto" w:fill="auto"/>
            <w:noWrap/>
            <w:vAlign w:val="bottom"/>
            <w:hideMark/>
          </w:tcPr>
          <w:p w14:paraId="7804C126"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12595</w:t>
            </w:r>
          </w:p>
        </w:tc>
        <w:tc>
          <w:tcPr>
            <w:tcW w:w="1840" w:type="dxa"/>
            <w:tcBorders>
              <w:top w:val="nil"/>
              <w:left w:val="nil"/>
              <w:bottom w:val="single" w:sz="4" w:space="0" w:color="auto"/>
              <w:right w:val="single" w:sz="4" w:space="0" w:color="auto"/>
            </w:tcBorders>
            <w:shd w:val="clear" w:color="auto" w:fill="auto"/>
            <w:noWrap/>
            <w:vAlign w:val="bottom"/>
            <w:hideMark/>
          </w:tcPr>
          <w:p w14:paraId="6972C7BD"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$17,857,661.52</w:t>
            </w:r>
          </w:p>
        </w:tc>
      </w:tr>
      <w:tr w:rsidR="000D129F" w:rsidRPr="00F31693" w14:paraId="53BA5005" w14:textId="77777777" w:rsidTr="0061774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17A32FCB" w14:textId="77777777" w:rsidR="000D129F" w:rsidRPr="00F31693" w:rsidRDefault="000D129F" w:rsidP="0061774A">
            <w:pPr>
              <w:spacing w:after="0" w:line="240" w:lineRule="auto"/>
              <w:rPr>
                <w:rFonts w:ascii="Calibri" w:eastAsia="Times New Roman" w:hAnsi="Calibri" w:cs="Times New Roman"/>
                <w:b/>
                <w:bCs/>
              </w:rPr>
            </w:pPr>
            <w:r w:rsidRPr="00F31693">
              <w:rPr>
                <w:rFonts w:ascii="Calibri" w:eastAsia="Times New Roman" w:hAnsi="Calibri" w:cs="Times New Roman"/>
                <w:b/>
                <w:bCs/>
              </w:rPr>
              <w:t>January-1</w:t>
            </w:r>
            <w:r w:rsidR="00F25A6C" w:rsidRPr="00F31693">
              <w:rPr>
                <w:rFonts w:ascii="Calibri" w:eastAsia="Times New Roman" w:hAnsi="Calibri" w:cs="Times New Roman"/>
                <w:b/>
                <w:bCs/>
              </w:rPr>
              <w:t>6</w:t>
            </w:r>
          </w:p>
        </w:tc>
        <w:tc>
          <w:tcPr>
            <w:tcW w:w="1325" w:type="dxa"/>
            <w:tcBorders>
              <w:top w:val="nil"/>
              <w:left w:val="nil"/>
              <w:bottom w:val="single" w:sz="4" w:space="0" w:color="auto"/>
              <w:right w:val="single" w:sz="4" w:space="0" w:color="auto"/>
            </w:tcBorders>
            <w:shd w:val="clear" w:color="auto" w:fill="auto"/>
            <w:noWrap/>
            <w:vAlign w:val="bottom"/>
            <w:hideMark/>
          </w:tcPr>
          <w:p w14:paraId="6A6D46E6"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7986</w:t>
            </w:r>
          </w:p>
        </w:tc>
        <w:tc>
          <w:tcPr>
            <w:tcW w:w="1720" w:type="dxa"/>
            <w:tcBorders>
              <w:top w:val="nil"/>
              <w:left w:val="nil"/>
              <w:bottom w:val="single" w:sz="4" w:space="0" w:color="auto"/>
              <w:right w:val="single" w:sz="4" w:space="0" w:color="auto"/>
            </w:tcBorders>
            <w:shd w:val="clear" w:color="auto" w:fill="auto"/>
            <w:noWrap/>
            <w:vAlign w:val="bottom"/>
            <w:hideMark/>
          </w:tcPr>
          <w:p w14:paraId="7D45E2AE"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$11,398,928.39</w:t>
            </w:r>
          </w:p>
        </w:tc>
        <w:tc>
          <w:tcPr>
            <w:tcW w:w="1340" w:type="dxa"/>
            <w:tcBorders>
              <w:top w:val="nil"/>
              <w:left w:val="nil"/>
              <w:bottom w:val="single" w:sz="4" w:space="0" w:color="auto"/>
              <w:right w:val="single" w:sz="4" w:space="0" w:color="auto"/>
            </w:tcBorders>
            <w:shd w:val="clear" w:color="auto" w:fill="auto"/>
            <w:noWrap/>
            <w:vAlign w:val="bottom"/>
            <w:hideMark/>
          </w:tcPr>
          <w:p w14:paraId="7D163A73"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9228</w:t>
            </w:r>
          </w:p>
        </w:tc>
        <w:tc>
          <w:tcPr>
            <w:tcW w:w="1840" w:type="dxa"/>
            <w:tcBorders>
              <w:top w:val="nil"/>
              <w:left w:val="nil"/>
              <w:bottom w:val="single" w:sz="4" w:space="0" w:color="auto"/>
              <w:right w:val="single" w:sz="4" w:space="0" w:color="auto"/>
            </w:tcBorders>
            <w:shd w:val="clear" w:color="auto" w:fill="auto"/>
            <w:noWrap/>
            <w:vAlign w:val="bottom"/>
            <w:hideMark/>
          </w:tcPr>
          <w:p w14:paraId="58CD36C0"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$13,569,506.19</w:t>
            </w:r>
          </w:p>
        </w:tc>
      </w:tr>
      <w:tr w:rsidR="000D129F" w:rsidRPr="00F31693" w14:paraId="210115B8" w14:textId="77777777" w:rsidTr="0061774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2D9CBBB7" w14:textId="77777777" w:rsidR="000D129F" w:rsidRPr="00F31693" w:rsidRDefault="000D129F" w:rsidP="0061774A">
            <w:pPr>
              <w:spacing w:after="0" w:line="240" w:lineRule="auto"/>
              <w:rPr>
                <w:rFonts w:ascii="Calibri" w:eastAsia="Times New Roman" w:hAnsi="Calibri" w:cs="Times New Roman"/>
                <w:b/>
                <w:bCs/>
              </w:rPr>
            </w:pPr>
            <w:r w:rsidRPr="00F31693">
              <w:rPr>
                <w:rFonts w:ascii="Calibri" w:eastAsia="Times New Roman" w:hAnsi="Calibri" w:cs="Times New Roman"/>
                <w:b/>
                <w:bCs/>
              </w:rPr>
              <w:t>February-1</w:t>
            </w:r>
            <w:r w:rsidR="00F25A6C" w:rsidRPr="00F31693">
              <w:rPr>
                <w:rFonts w:ascii="Calibri" w:eastAsia="Times New Roman" w:hAnsi="Calibri" w:cs="Times New Roman"/>
                <w:b/>
                <w:bCs/>
              </w:rPr>
              <w:t>6</w:t>
            </w:r>
          </w:p>
        </w:tc>
        <w:tc>
          <w:tcPr>
            <w:tcW w:w="1325" w:type="dxa"/>
            <w:tcBorders>
              <w:top w:val="nil"/>
              <w:left w:val="nil"/>
              <w:bottom w:val="single" w:sz="4" w:space="0" w:color="auto"/>
              <w:right w:val="single" w:sz="4" w:space="0" w:color="auto"/>
            </w:tcBorders>
            <w:shd w:val="clear" w:color="auto" w:fill="auto"/>
            <w:noWrap/>
            <w:vAlign w:val="bottom"/>
            <w:hideMark/>
          </w:tcPr>
          <w:p w14:paraId="70DA2488"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8616</w:t>
            </w:r>
          </w:p>
        </w:tc>
        <w:tc>
          <w:tcPr>
            <w:tcW w:w="1720" w:type="dxa"/>
            <w:tcBorders>
              <w:top w:val="nil"/>
              <w:left w:val="nil"/>
              <w:bottom w:val="single" w:sz="4" w:space="0" w:color="auto"/>
              <w:right w:val="single" w:sz="4" w:space="0" w:color="auto"/>
            </w:tcBorders>
            <w:shd w:val="clear" w:color="auto" w:fill="auto"/>
            <w:noWrap/>
            <w:vAlign w:val="bottom"/>
            <w:hideMark/>
          </w:tcPr>
          <w:p w14:paraId="7BB8796D"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$12,941,705.74</w:t>
            </w:r>
          </w:p>
        </w:tc>
        <w:tc>
          <w:tcPr>
            <w:tcW w:w="1340" w:type="dxa"/>
            <w:tcBorders>
              <w:top w:val="nil"/>
              <w:left w:val="nil"/>
              <w:bottom w:val="single" w:sz="4" w:space="0" w:color="auto"/>
              <w:right w:val="single" w:sz="4" w:space="0" w:color="auto"/>
            </w:tcBorders>
            <w:shd w:val="clear" w:color="auto" w:fill="auto"/>
            <w:noWrap/>
            <w:vAlign w:val="bottom"/>
            <w:hideMark/>
          </w:tcPr>
          <w:p w14:paraId="6F174CE5"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11918</w:t>
            </w:r>
          </w:p>
        </w:tc>
        <w:tc>
          <w:tcPr>
            <w:tcW w:w="1840" w:type="dxa"/>
            <w:tcBorders>
              <w:top w:val="nil"/>
              <w:left w:val="nil"/>
              <w:bottom w:val="single" w:sz="4" w:space="0" w:color="auto"/>
              <w:right w:val="single" w:sz="4" w:space="0" w:color="auto"/>
            </w:tcBorders>
            <w:shd w:val="clear" w:color="auto" w:fill="auto"/>
            <w:noWrap/>
            <w:vAlign w:val="bottom"/>
            <w:hideMark/>
          </w:tcPr>
          <w:p w14:paraId="6BEDE899"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$19,546,572.81</w:t>
            </w:r>
          </w:p>
        </w:tc>
      </w:tr>
      <w:tr w:rsidR="000D129F" w:rsidRPr="00F31693" w14:paraId="7FC699BF" w14:textId="77777777" w:rsidTr="0061774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41AAE91E" w14:textId="77777777" w:rsidR="000D129F" w:rsidRPr="00F31693" w:rsidRDefault="000D129F" w:rsidP="0061774A">
            <w:pPr>
              <w:spacing w:after="0" w:line="240" w:lineRule="auto"/>
              <w:rPr>
                <w:rFonts w:ascii="Calibri" w:eastAsia="Times New Roman" w:hAnsi="Calibri" w:cs="Times New Roman"/>
                <w:b/>
                <w:bCs/>
              </w:rPr>
            </w:pPr>
            <w:r w:rsidRPr="00F31693">
              <w:rPr>
                <w:rFonts w:ascii="Calibri" w:eastAsia="Times New Roman" w:hAnsi="Calibri" w:cs="Times New Roman"/>
                <w:b/>
                <w:bCs/>
              </w:rPr>
              <w:t>March-1</w:t>
            </w:r>
            <w:r w:rsidR="00F25A6C" w:rsidRPr="00F31693">
              <w:rPr>
                <w:rFonts w:ascii="Calibri" w:eastAsia="Times New Roman" w:hAnsi="Calibri" w:cs="Times New Roman"/>
                <w:b/>
                <w:bCs/>
              </w:rPr>
              <w:t>6</w:t>
            </w:r>
          </w:p>
        </w:tc>
        <w:tc>
          <w:tcPr>
            <w:tcW w:w="1325" w:type="dxa"/>
            <w:tcBorders>
              <w:top w:val="nil"/>
              <w:left w:val="nil"/>
              <w:bottom w:val="single" w:sz="4" w:space="0" w:color="auto"/>
              <w:right w:val="single" w:sz="4" w:space="0" w:color="auto"/>
            </w:tcBorders>
            <w:shd w:val="clear" w:color="auto" w:fill="auto"/>
            <w:noWrap/>
            <w:vAlign w:val="bottom"/>
            <w:hideMark/>
          </w:tcPr>
          <w:p w14:paraId="54BE035B"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9608</w:t>
            </w:r>
          </w:p>
        </w:tc>
        <w:tc>
          <w:tcPr>
            <w:tcW w:w="1720" w:type="dxa"/>
            <w:tcBorders>
              <w:top w:val="nil"/>
              <w:left w:val="nil"/>
              <w:bottom w:val="single" w:sz="4" w:space="0" w:color="auto"/>
              <w:right w:val="single" w:sz="4" w:space="0" w:color="auto"/>
            </w:tcBorders>
            <w:shd w:val="clear" w:color="auto" w:fill="auto"/>
            <w:noWrap/>
            <w:vAlign w:val="bottom"/>
            <w:hideMark/>
          </w:tcPr>
          <w:p w14:paraId="1893A3A3"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$13,797,993.02</w:t>
            </w:r>
          </w:p>
        </w:tc>
        <w:tc>
          <w:tcPr>
            <w:tcW w:w="1340" w:type="dxa"/>
            <w:tcBorders>
              <w:top w:val="nil"/>
              <w:left w:val="nil"/>
              <w:bottom w:val="single" w:sz="4" w:space="0" w:color="auto"/>
              <w:right w:val="single" w:sz="4" w:space="0" w:color="auto"/>
            </w:tcBorders>
            <w:shd w:val="clear" w:color="auto" w:fill="auto"/>
            <w:noWrap/>
            <w:vAlign w:val="bottom"/>
            <w:hideMark/>
          </w:tcPr>
          <w:p w14:paraId="72F95511"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14796</w:t>
            </w:r>
          </w:p>
        </w:tc>
        <w:tc>
          <w:tcPr>
            <w:tcW w:w="1840" w:type="dxa"/>
            <w:tcBorders>
              <w:top w:val="nil"/>
              <w:left w:val="nil"/>
              <w:bottom w:val="single" w:sz="4" w:space="0" w:color="auto"/>
              <w:right w:val="single" w:sz="4" w:space="0" w:color="auto"/>
            </w:tcBorders>
            <w:shd w:val="clear" w:color="auto" w:fill="auto"/>
            <w:noWrap/>
            <w:vAlign w:val="bottom"/>
            <w:hideMark/>
          </w:tcPr>
          <w:p w14:paraId="6241577F"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$21,132,198.37</w:t>
            </w:r>
          </w:p>
        </w:tc>
      </w:tr>
      <w:tr w:rsidR="000D129F" w:rsidRPr="00F31693" w14:paraId="26198FFC" w14:textId="77777777" w:rsidTr="0061774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010522D6" w14:textId="77777777" w:rsidR="000D129F" w:rsidRPr="00F31693" w:rsidRDefault="000D129F" w:rsidP="0061774A">
            <w:pPr>
              <w:spacing w:after="0" w:line="240" w:lineRule="auto"/>
              <w:rPr>
                <w:rFonts w:ascii="Calibri" w:eastAsia="Times New Roman" w:hAnsi="Calibri" w:cs="Times New Roman"/>
                <w:b/>
                <w:bCs/>
              </w:rPr>
            </w:pPr>
            <w:r w:rsidRPr="00F31693">
              <w:rPr>
                <w:rFonts w:ascii="Calibri" w:eastAsia="Times New Roman" w:hAnsi="Calibri" w:cs="Times New Roman"/>
                <w:b/>
                <w:bCs/>
              </w:rPr>
              <w:t>April-1</w:t>
            </w:r>
            <w:r w:rsidR="00F25A6C" w:rsidRPr="00F31693">
              <w:rPr>
                <w:rFonts w:ascii="Calibri" w:eastAsia="Times New Roman" w:hAnsi="Calibri" w:cs="Times New Roman"/>
                <w:b/>
                <w:bCs/>
              </w:rPr>
              <w:t>6</w:t>
            </w:r>
          </w:p>
        </w:tc>
        <w:tc>
          <w:tcPr>
            <w:tcW w:w="1325" w:type="dxa"/>
            <w:tcBorders>
              <w:top w:val="nil"/>
              <w:left w:val="nil"/>
              <w:bottom w:val="single" w:sz="4" w:space="0" w:color="auto"/>
              <w:right w:val="single" w:sz="4" w:space="0" w:color="auto"/>
            </w:tcBorders>
            <w:shd w:val="clear" w:color="auto" w:fill="auto"/>
            <w:noWrap/>
            <w:vAlign w:val="bottom"/>
            <w:hideMark/>
          </w:tcPr>
          <w:p w14:paraId="3D161554"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10148</w:t>
            </w:r>
          </w:p>
        </w:tc>
        <w:tc>
          <w:tcPr>
            <w:tcW w:w="1720" w:type="dxa"/>
            <w:tcBorders>
              <w:top w:val="nil"/>
              <w:left w:val="nil"/>
              <w:bottom w:val="single" w:sz="4" w:space="0" w:color="auto"/>
              <w:right w:val="single" w:sz="4" w:space="0" w:color="auto"/>
            </w:tcBorders>
            <w:shd w:val="clear" w:color="auto" w:fill="auto"/>
            <w:noWrap/>
            <w:vAlign w:val="bottom"/>
            <w:hideMark/>
          </w:tcPr>
          <w:p w14:paraId="133D0A17"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$15,072,726.85</w:t>
            </w:r>
          </w:p>
        </w:tc>
        <w:tc>
          <w:tcPr>
            <w:tcW w:w="1340" w:type="dxa"/>
            <w:tcBorders>
              <w:top w:val="nil"/>
              <w:left w:val="nil"/>
              <w:bottom w:val="single" w:sz="4" w:space="0" w:color="auto"/>
              <w:right w:val="single" w:sz="4" w:space="0" w:color="auto"/>
            </w:tcBorders>
            <w:shd w:val="clear" w:color="auto" w:fill="auto"/>
            <w:noWrap/>
            <w:vAlign w:val="bottom"/>
            <w:hideMark/>
          </w:tcPr>
          <w:p w14:paraId="27B8D9BE"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13032</w:t>
            </w:r>
          </w:p>
        </w:tc>
        <w:tc>
          <w:tcPr>
            <w:tcW w:w="1840" w:type="dxa"/>
            <w:tcBorders>
              <w:top w:val="nil"/>
              <w:left w:val="nil"/>
              <w:bottom w:val="single" w:sz="4" w:space="0" w:color="auto"/>
              <w:right w:val="single" w:sz="4" w:space="0" w:color="auto"/>
            </w:tcBorders>
            <w:shd w:val="clear" w:color="auto" w:fill="auto"/>
            <w:noWrap/>
            <w:vAlign w:val="bottom"/>
            <w:hideMark/>
          </w:tcPr>
          <w:p w14:paraId="79860924"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$23,480,101.75</w:t>
            </w:r>
          </w:p>
        </w:tc>
      </w:tr>
      <w:tr w:rsidR="000D129F" w:rsidRPr="00F31693" w14:paraId="42EA1CF4" w14:textId="77777777" w:rsidTr="0061774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DB56B39" w14:textId="77777777" w:rsidR="000D129F" w:rsidRPr="00F31693" w:rsidRDefault="000D129F" w:rsidP="0061774A">
            <w:pPr>
              <w:spacing w:after="0" w:line="240" w:lineRule="auto"/>
              <w:rPr>
                <w:rFonts w:ascii="Calibri" w:eastAsia="Times New Roman" w:hAnsi="Calibri" w:cs="Times New Roman"/>
                <w:b/>
                <w:bCs/>
              </w:rPr>
            </w:pPr>
            <w:r w:rsidRPr="00F31693">
              <w:rPr>
                <w:rFonts w:ascii="Calibri" w:eastAsia="Times New Roman" w:hAnsi="Calibri" w:cs="Times New Roman"/>
                <w:b/>
                <w:bCs/>
              </w:rPr>
              <w:t>May-1</w:t>
            </w:r>
            <w:r w:rsidR="00F25A6C" w:rsidRPr="00F31693">
              <w:rPr>
                <w:rFonts w:ascii="Calibri" w:eastAsia="Times New Roman" w:hAnsi="Calibri" w:cs="Times New Roman"/>
                <w:b/>
                <w:bCs/>
              </w:rPr>
              <w:t>6</w:t>
            </w:r>
          </w:p>
        </w:tc>
        <w:tc>
          <w:tcPr>
            <w:tcW w:w="1325" w:type="dxa"/>
            <w:tcBorders>
              <w:top w:val="nil"/>
              <w:left w:val="nil"/>
              <w:bottom w:val="single" w:sz="4" w:space="0" w:color="auto"/>
              <w:right w:val="single" w:sz="4" w:space="0" w:color="auto"/>
            </w:tcBorders>
            <w:shd w:val="clear" w:color="auto" w:fill="auto"/>
            <w:noWrap/>
            <w:vAlign w:val="bottom"/>
            <w:hideMark/>
          </w:tcPr>
          <w:p w14:paraId="73DF37C8"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10451</w:t>
            </w:r>
          </w:p>
        </w:tc>
        <w:tc>
          <w:tcPr>
            <w:tcW w:w="1720" w:type="dxa"/>
            <w:tcBorders>
              <w:top w:val="nil"/>
              <w:left w:val="nil"/>
              <w:bottom w:val="single" w:sz="4" w:space="0" w:color="auto"/>
              <w:right w:val="single" w:sz="4" w:space="0" w:color="auto"/>
            </w:tcBorders>
            <w:shd w:val="clear" w:color="auto" w:fill="auto"/>
            <w:noWrap/>
            <w:vAlign w:val="bottom"/>
            <w:hideMark/>
          </w:tcPr>
          <w:p w14:paraId="556BD7D6"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$15,109,262.88</w:t>
            </w:r>
          </w:p>
        </w:tc>
        <w:tc>
          <w:tcPr>
            <w:tcW w:w="1340" w:type="dxa"/>
            <w:tcBorders>
              <w:top w:val="nil"/>
              <w:left w:val="nil"/>
              <w:bottom w:val="single" w:sz="4" w:space="0" w:color="auto"/>
              <w:right w:val="single" w:sz="4" w:space="0" w:color="auto"/>
            </w:tcBorders>
            <w:shd w:val="clear" w:color="auto" w:fill="auto"/>
            <w:noWrap/>
            <w:vAlign w:val="bottom"/>
            <w:hideMark/>
          </w:tcPr>
          <w:p w14:paraId="2544010A"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11169</w:t>
            </w:r>
          </w:p>
        </w:tc>
        <w:tc>
          <w:tcPr>
            <w:tcW w:w="1840" w:type="dxa"/>
            <w:tcBorders>
              <w:top w:val="nil"/>
              <w:left w:val="nil"/>
              <w:bottom w:val="single" w:sz="4" w:space="0" w:color="auto"/>
              <w:right w:val="single" w:sz="4" w:space="0" w:color="auto"/>
            </w:tcBorders>
            <w:shd w:val="clear" w:color="auto" w:fill="auto"/>
            <w:noWrap/>
            <w:vAlign w:val="bottom"/>
            <w:hideMark/>
          </w:tcPr>
          <w:p w14:paraId="3CE89D5F"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$17,786,981.53</w:t>
            </w:r>
          </w:p>
        </w:tc>
      </w:tr>
      <w:tr w:rsidR="000D129F" w:rsidRPr="00F31693" w14:paraId="0D533318" w14:textId="77777777" w:rsidTr="0061774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2A659582" w14:textId="77777777" w:rsidR="000D129F" w:rsidRPr="00F31693" w:rsidRDefault="000D129F" w:rsidP="007A6159">
            <w:pPr>
              <w:spacing w:after="0" w:line="240" w:lineRule="auto"/>
              <w:rPr>
                <w:rFonts w:ascii="Calibri" w:eastAsia="Times New Roman" w:hAnsi="Calibri" w:cs="Times New Roman"/>
                <w:b/>
                <w:bCs/>
              </w:rPr>
            </w:pPr>
            <w:r w:rsidRPr="00F31693">
              <w:rPr>
                <w:rFonts w:ascii="Calibri" w:eastAsia="Times New Roman" w:hAnsi="Calibri" w:cs="Times New Roman"/>
                <w:b/>
                <w:bCs/>
              </w:rPr>
              <w:t>June-1</w:t>
            </w:r>
            <w:r w:rsidR="00F25A6C" w:rsidRPr="00F31693">
              <w:rPr>
                <w:rFonts w:ascii="Calibri" w:eastAsia="Times New Roman" w:hAnsi="Calibri" w:cs="Times New Roman"/>
                <w:b/>
                <w:bCs/>
              </w:rPr>
              <w:t>6</w:t>
            </w:r>
          </w:p>
        </w:tc>
        <w:tc>
          <w:tcPr>
            <w:tcW w:w="1325" w:type="dxa"/>
            <w:tcBorders>
              <w:top w:val="nil"/>
              <w:left w:val="nil"/>
              <w:bottom w:val="single" w:sz="4" w:space="0" w:color="auto"/>
              <w:right w:val="single" w:sz="4" w:space="0" w:color="auto"/>
            </w:tcBorders>
            <w:shd w:val="clear" w:color="auto" w:fill="auto"/>
            <w:noWrap/>
            <w:vAlign w:val="bottom"/>
            <w:hideMark/>
          </w:tcPr>
          <w:p w14:paraId="1625600A"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11662</w:t>
            </w:r>
          </w:p>
        </w:tc>
        <w:tc>
          <w:tcPr>
            <w:tcW w:w="1720" w:type="dxa"/>
            <w:tcBorders>
              <w:top w:val="nil"/>
              <w:left w:val="nil"/>
              <w:bottom w:val="single" w:sz="4" w:space="0" w:color="auto"/>
              <w:right w:val="single" w:sz="4" w:space="0" w:color="auto"/>
            </w:tcBorders>
            <w:shd w:val="clear" w:color="auto" w:fill="auto"/>
            <w:noWrap/>
            <w:vAlign w:val="bottom"/>
            <w:hideMark/>
          </w:tcPr>
          <w:p w14:paraId="32E221DF"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$15,960,856.84</w:t>
            </w:r>
          </w:p>
        </w:tc>
        <w:tc>
          <w:tcPr>
            <w:tcW w:w="1340" w:type="dxa"/>
            <w:tcBorders>
              <w:top w:val="nil"/>
              <w:left w:val="nil"/>
              <w:bottom w:val="single" w:sz="4" w:space="0" w:color="auto"/>
              <w:right w:val="single" w:sz="4" w:space="0" w:color="auto"/>
            </w:tcBorders>
            <w:shd w:val="clear" w:color="auto" w:fill="auto"/>
            <w:noWrap/>
            <w:vAlign w:val="bottom"/>
            <w:hideMark/>
          </w:tcPr>
          <w:p w14:paraId="283A315E"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13224</w:t>
            </w:r>
          </w:p>
        </w:tc>
        <w:tc>
          <w:tcPr>
            <w:tcW w:w="1840" w:type="dxa"/>
            <w:tcBorders>
              <w:top w:val="nil"/>
              <w:left w:val="nil"/>
              <w:bottom w:val="single" w:sz="4" w:space="0" w:color="auto"/>
              <w:right w:val="single" w:sz="4" w:space="0" w:color="auto"/>
            </w:tcBorders>
            <w:shd w:val="clear" w:color="auto" w:fill="auto"/>
            <w:noWrap/>
            <w:vAlign w:val="bottom"/>
            <w:hideMark/>
          </w:tcPr>
          <w:p w14:paraId="5B84B651"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$17,523,790.39</w:t>
            </w:r>
          </w:p>
        </w:tc>
      </w:tr>
      <w:tr w:rsidR="000D129F" w:rsidRPr="00F31693" w14:paraId="3D32A301" w14:textId="77777777" w:rsidTr="0061774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4BDBE840" w14:textId="77777777" w:rsidR="000D129F" w:rsidRPr="00F31693" w:rsidRDefault="000D129F" w:rsidP="000D129F">
            <w:pPr>
              <w:spacing w:after="0" w:line="240" w:lineRule="auto"/>
              <w:rPr>
                <w:rFonts w:ascii="Calibri" w:eastAsia="Times New Roman" w:hAnsi="Calibri" w:cs="Times New Roman"/>
                <w:b/>
                <w:bCs/>
              </w:rPr>
            </w:pPr>
            <w:r w:rsidRPr="00F31693">
              <w:rPr>
                <w:rFonts w:ascii="Calibri" w:eastAsia="Times New Roman" w:hAnsi="Calibri" w:cs="Times New Roman"/>
                <w:b/>
                <w:bCs/>
              </w:rPr>
              <w:t>Totals FY</w:t>
            </w:r>
            <w:r w:rsidR="0059409A">
              <w:rPr>
                <w:rFonts w:ascii="Calibri" w:eastAsia="Times New Roman" w:hAnsi="Calibri" w:cs="Times New Roman"/>
                <w:b/>
                <w:bCs/>
              </w:rPr>
              <w:t>E</w:t>
            </w:r>
            <w:r w:rsidRPr="00F31693">
              <w:rPr>
                <w:rFonts w:ascii="Calibri" w:eastAsia="Times New Roman" w:hAnsi="Calibri" w:cs="Times New Roman"/>
                <w:b/>
                <w:bCs/>
              </w:rPr>
              <w:t xml:space="preserve"> 201</w:t>
            </w:r>
            <w:r w:rsidR="00F25A6C" w:rsidRPr="00F31693">
              <w:rPr>
                <w:rFonts w:ascii="Calibri" w:eastAsia="Times New Roman" w:hAnsi="Calibri" w:cs="Times New Roman"/>
                <w:b/>
                <w:bCs/>
              </w:rPr>
              <w:t>6</w:t>
            </w:r>
          </w:p>
        </w:tc>
        <w:tc>
          <w:tcPr>
            <w:tcW w:w="1325" w:type="dxa"/>
            <w:tcBorders>
              <w:top w:val="nil"/>
              <w:left w:val="nil"/>
              <w:bottom w:val="single" w:sz="4" w:space="0" w:color="auto"/>
              <w:right w:val="single" w:sz="4" w:space="0" w:color="auto"/>
            </w:tcBorders>
            <w:shd w:val="clear" w:color="auto" w:fill="auto"/>
            <w:noWrap/>
            <w:vAlign w:val="bottom"/>
            <w:hideMark/>
          </w:tcPr>
          <w:p w14:paraId="4E69B27F"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111510</w:t>
            </w:r>
          </w:p>
        </w:tc>
        <w:tc>
          <w:tcPr>
            <w:tcW w:w="1720" w:type="dxa"/>
            <w:tcBorders>
              <w:top w:val="nil"/>
              <w:left w:val="nil"/>
              <w:bottom w:val="single" w:sz="4" w:space="0" w:color="auto"/>
              <w:right w:val="single" w:sz="4" w:space="0" w:color="auto"/>
            </w:tcBorders>
            <w:shd w:val="clear" w:color="auto" w:fill="auto"/>
            <w:noWrap/>
            <w:vAlign w:val="bottom"/>
            <w:hideMark/>
          </w:tcPr>
          <w:p w14:paraId="47F18468"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$156,959,355.56</w:t>
            </w:r>
          </w:p>
        </w:tc>
        <w:tc>
          <w:tcPr>
            <w:tcW w:w="1340" w:type="dxa"/>
            <w:tcBorders>
              <w:top w:val="nil"/>
              <w:left w:val="nil"/>
              <w:bottom w:val="single" w:sz="4" w:space="0" w:color="auto"/>
              <w:right w:val="single" w:sz="4" w:space="0" w:color="auto"/>
            </w:tcBorders>
            <w:shd w:val="clear" w:color="auto" w:fill="auto"/>
            <w:noWrap/>
            <w:vAlign w:val="bottom"/>
            <w:hideMark/>
          </w:tcPr>
          <w:p w14:paraId="1771748F"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142640</w:t>
            </w:r>
          </w:p>
        </w:tc>
        <w:tc>
          <w:tcPr>
            <w:tcW w:w="1840" w:type="dxa"/>
            <w:tcBorders>
              <w:top w:val="nil"/>
              <w:left w:val="nil"/>
              <w:bottom w:val="single" w:sz="4" w:space="0" w:color="auto"/>
              <w:right w:val="single" w:sz="4" w:space="0" w:color="auto"/>
            </w:tcBorders>
            <w:shd w:val="clear" w:color="auto" w:fill="auto"/>
            <w:noWrap/>
            <w:vAlign w:val="bottom"/>
            <w:hideMark/>
          </w:tcPr>
          <w:p w14:paraId="76913F34" w14:textId="77777777" w:rsidR="000D129F" w:rsidRPr="00F31693" w:rsidRDefault="0060758C" w:rsidP="0061774A">
            <w:pPr>
              <w:spacing w:after="0" w:line="240" w:lineRule="auto"/>
              <w:jc w:val="center"/>
              <w:rPr>
                <w:rFonts w:ascii="Calibri" w:eastAsia="Times New Roman" w:hAnsi="Calibri" w:cs="Times New Roman"/>
                <w:bCs/>
              </w:rPr>
            </w:pPr>
            <w:r w:rsidRPr="00F31693">
              <w:rPr>
                <w:rFonts w:ascii="Calibri" w:eastAsia="Times New Roman" w:hAnsi="Calibri" w:cs="Times New Roman"/>
                <w:bCs/>
              </w:rPr>
              <w:t>$217,481,252.39</w:t>
            </w:r>
          </w:p>
        </w:tc>
      </w:tr>
    </w:tbl>
    <w:p w14:paraId="5AA4339B" w14:textId="77777777" w:rsidR="009F4B6D" w:rsidRPr="00F31693" w:rsidRDefault="009F4B6D" w:rsidP="0048130B">
      <w:pPr>
        <w:pStyle w:val="NoSpacing"/>
      </w:pPr>
    </w:p>
    <w:p w14:paraId="685C9DC5" w14:textId="77777777" w:rsidR="006A2F97" w:rsidRPr="00F31693" w:rsidRDefault="00A95E97" w:rsidP="00A95E97">
      <w:r w:rsidRPr="00F31693">
        <w:t xml:space="preserve">The department processes </w:t>
      </w:r>
      <w:proofErr w:type="gramStart"/>
      <w:r w:rsidRPr="00F31693">
        <w:t>rejects</w:t>
      </w:r>
      <w:proofErr w:type="gramEnd"/>
      <w:r w:rsidRPr="00F31693">
        <w:t xml:space="preserve"> and returns unpaid items in a timely manner which has not resulted in any losses to the Bank. </w:t>
      </w:r>
      <w:proofErr w:type="gramStart"/>
      <w:r w:rsidR="006A2F97" w:rsidRPr="00F31693">
        <w:t>Therefore</w:t>
      </w:r>
      <w:proofErr w:type="gramEnd"/>
      <w:r w:rsidR="006A2F97" w:rsidRPr="00F31693">
        <w:t xml:space="preserve"> a</w:t>
      </w:r>
      <w:r w:rsidRPr="00F31693">
        <w:t>n increase</w:t>
      </w:r>
      <w:r w:rsidR="006A2F97" w:rsidRPr="00F31693">
        <w:t xml:space="preserve"> </w:t>
      </w:r>
      <w:r w:rsidR="008109EB" w:rsidRPr="00F31693">
        <w:t xml:space="preserve">in </w:t>
      </w:r>
      <w:r w:rsidR="006A2F97" w:rsidRPr="00F31693">
        <w:t>ACH activity will not have an adverse effect on its risk rating.</w:t>
      </w:r>
    </w:p>
    <w:p w14:paraId="441D6DF3" w14:textId="77777777" w:rsidR="00A95E97" w:rsidRPr="00F31693" w:rsidRDefault="00A95E97" w:rsidP="00A95E97">
      <w:pPr>
        <w:rPr>
          <w:b/>
        </w:rPr>
      </w:pPr>
      <w:r w:rsidRPr="00F31693">
        <w:rPr>
          <w:b/>
        </w:rPr>
        <w:t>Brokered Deposits</w:t>
      </w:r>
    </w:p>
    <w:p w14:paraId="380FE5E2" w14:textId="058A071A" w:rsidR="0077748A" w:rsidRPr="00F31693" w:rsidRDefault="0077748A" w:rsidP="00A95E97">
      <w:r w:rsidRPr="00F31693">
        <w:t xml:space="preserve">The Board of Directors of </w:t>
      </w:r>
      <w:r w:rsidR="006473DB">
        <w:t xml:space="preserve">J. Wallace Bank </w:t>
      </w:r>
      <w:r w:rsidRPr="00F31693">
        <w:t>promotes the maintenance of effective controls to ensure the liquidity needs of the institution will be met. The Board considers the prudent use of brokered funds to be a permissible liquidity source. Brokered deposits are defined as all deposits directly or indirectly obtained through deposit brokers.</w:t>
      </w:r>
    </w:p>
    <w:p w14:paraId="54F2EA70" w14:textId="1B3F22F3" w:rsidR="00A95E97" w:rsidRPr="00F31693" w:rsidRDefault="00A95E97" w:rsidP="00A95E97">
      <w:pPr>
        <w:rPr>
          <w:b/>
        </w:rPr>
      </w:pPr>
      <w:r w:rsidRPr="00F31693">
        <w:rPr>
          <w:b/>
        </w:rPr>
        <w:t xml:space="preserve">As per FFIEC guidance, </w:t>
      </w:r>
      <w:r w:rsidR="006473DB">
        <w:rPr>
          <w:b/>
        </w:rPr>
        <w:t xml:space="preserve">J. Wallace </w:t>
      </w:r>
      <w:r w:rsidRPr="00F31693">
        <w:rPr>
          <w:b/>
        </w:rPr>
        <w:t>generally does not accept deposit brokers:</w:t>
      </w:r>
    </w:p>
    <w:p w14:paraId="0618B4A4" w14:textId="77777777" w:rsidR="00A95E97" w:rsidRPr="00F31693" w:rsidRDefault="00A95E97" w:rsidP="005840B8">
      <w:pPr>
        <w:pStyle w:val="ListParagraph"/>
        <w:numPr>
          <w:ilvl w:val="0"/>
          <w:numId w:val="16"/>
        </w:numPr>
      </w:pPr>
      <w:r w:rsidRPr="00F31693">
        <w:t xml:space="preserve">Who are not known to </w:t>
      </w:r>
      <w:proofErr w:type="spellStart"/>
      <w:proofErr w:type="gramStart"/>
      <w:r w:rsidRPr="00F31693">
        <w:t>Oritani</w:t>
      </w:r>
      <w:proofErr w:type="spellEnd"/>
      <w:r w:rsidRPr="00F31693">
        <w:t>;</w:t>
      </w:r>
      <w:proofErr w:type="gramEnd"/>
    </w:p>
    <w:p w14:paraId="7CD6A4E8" w14:textId="77777777" w:rsidR="00A95E97" w:rsidRPr="00F31693" w:rsidRDefault="00A95E97" w:rsidP="005840B8">
      <w:pPr>
        <w:pStyle w:val="ListParagraph"/>
        <w:numPr>
          <w:ilvl w:val="0"/>
          <w:numId w:val="16"/>
        </w:numPr>
      </w:pPr>
      <w:r w:rsidRPr="00F31693">
        <w:t xml:space="preserve">Conduct business or obtain deposits outside of the United </w:t>
      </w:r>
      <w:proofErr w:type="gramStart"/>
      <w:r w:rsidRPr="00F31693">
        <w:t>States;</w:t>
      </w:r>
      <w:proofErr w:type="gramEnd"/>
    </w:p>
    <w:p w14:paraId="5181545D" w14:textId="77777777" w:rsidR="00A95E97" w:rsidRPr="00F31693" w:rsidRDefault="00A95E97" w:rsidP="005840B8">
      <w:pPr>
        <w:pStyle w:val="ListParagraph"/>
        <w:numPr>
          <w:ilvl w:val="0"/>
          <w:numId w:val="16"/>
        </w:numPr>
      </w:pPr>
      <w:r w:rsidRPr="00F31693">
        <w:t xml:space="preserve">Are unable to provide reference(s) from reputable </w:t>
      </w:r>
      <w:proofErr w:type="gramStart"/>
      <w:r w:rsidRPr="00F31693">
        <w:t>banks;</w:t>
      </w:r>
      <w:proofErr w:type="gramEnd"/>
    </w:p>
    <w:p w14:paraId="698E45D4" w14:textId="77777777" w:rsidR="00A95E97" w:rsidRPr="00F31693" w:rsidRDefault="00A95E97" w:rsidP="005840B8">
      <w:pPr>
        <w:pStyle w:val="ListParagraph"/>
        <w:numPr>
          <w:ilvl w:val="0"/>
          <w:numId w:val="16"/>
        </w:numPr>
      </w:pPr>
      <w:r w:rsidRPr="00F31693">
        <w:t xml:space="preserve">Provide other services that appear suspicious or may create the appearance of </w:t>
      </w:r>
      <w:proofErr w:type="gramStart"/>
      <w:r w:rsidRPr="00F31693">
        <w:t>impropriety;</w:t>
      </w:r>
      <w:proofErr w:type="gramEnd"/>
    </w:p>
    <w:p w14:paraId="1219D240" w14:textId="77777777" w:rsidR="00A95E97" w:rsidRPr="00F31693" w:rsidRDefault="00A95E97" w:rsidP="005840B8">
      <w:pPr>
        <w:pStyle w:val="ListParagraph"/>
        <w:numPr>
          <w:ilvl w:val="0"/>
          <w:numId w:val="16"/>
        </w:numPr>
      </w:pPr>
      <w:r w:rsidRPr="00F31693">
        <w:t xml:space="preserve">Refuse to cooperate and provide material information during the due diligence </w:t>
      </w:r>
      <w:proofErr w:type="gramStart"/>
      <w:r w:rsidRPr="00F31693">
        <w:t>process;</w:t>
      </w:r>
      <w:proofErr w:type="gramEnd"/>
    </w:p>
    <w:p w14:paraId="03A39AE0" w14:textId="77777777" w:rsidR="00A95E97" w:rsidRPr="00F31693" w:rsidRDefault="00A95E97" w:rsidP="005840B8">
      <w:pPr>
        <w:pStyle w:val="ListParagraph"/>
        <w:numPr>
          <w:ilvl w:val="0"/>
          <w:numId w:val="16"/>
        </w:numPr>
      </w:pPr>
      <w:r w:rsidRPr="00F31693">
        <w:t xml:space="preserve">Use technology or engage in behavior that would provide anonymity to customers. </w:t>
      </w:r>
    </w:p>
    <w:p w14:paraId="36792AA3" w14:textId="77777777" w:rsidR="00A95E97" w:rsidRPr="00F31693" w:rsidRDefault="00A95E97" w:rsidP="00A95E97">
      <w:r w:rsidRPr="00F31693">
        <w:t xml:space="preserve">The Board has appointed the Chief Financial Officer (CFO), under the general direction of the Board, to implement and administer the brokered deposit funding program. The Board of Directors will annually </w:t>
      </w:r>
      <w:r w:rsidRPr="00F31693">
        <w:lastRenderedPageBreak/>
        <w:t xml:space="preserve">review and approve </w:t>
      </w:r>
      <w:proofErr w:type="gramStart"/>
      <w:r w:rsidRPr="00F31693">
        <w:t>brokered</w:t>
      </w:r>
      <w:proofErr w:type="gramEnd"/>
      <w:r w:rsidRPr="00F31693">
        <w:t xml:space="preserve"> deposit funding program policy. The CFO will recommend changes to it as appropriate for review and approval of the Board.</w:t>
      </w:r>
    </w:p>
    <w:p w14:paraId="61658FF2" w14:textId="77777777" w:rsidR="00AF044F" w:rsidRDefault="00AF044F" w:rsidP="00A95E97">
      <w:pPr>
        <w:rPr>
          <w:b/>
          <w:u w:val="single"/>
        </w:rPr>
      </w:pPr>
    </w:p>
    <w:p w14:paraId="105023DD" w14:textId="77777777" w:rsidR="00A95E97" w:rsidRPr="00F31693" w:rsidRDefault="00A95E97" w:rsidP="00A95E97">
      <w:pPr>
        <w:rPr>
          <w:b/>
          <w:u w:val="single"/>
        </w:rPr>
      </w:pPr>
      <w:r w:rsidRPr="00F31693">
        <w:rPr>
          <w:b/>
          <w:u w:val="single"/>
        </w:rPr>
        <w:t>Risk Management</w:t>
      </w:r>
    </w:p>
    <w:p w14:paraId="6D7C8CCE" w14:textId="77777777" w:rsidR="00A95E97" w:rsidRPr="00F31693" w:rsidRDefault="00A95E97" w:rsidP="00A95E97">
      <w:r w:rsidRPr="00F31693">
        <w:t xml:space="preserve">The Chief Risk Officer must evaluate and approve the use of brokered deposits. Risks associated with the use of brokered deposits include liquidity, interest rate, transaction, </w:t>
      </w:r>
      <w:proofErr w:type="gramStart"/>
      <w:r w:rsidRPr="00F31693">
        <w:t>reputation</w:t>
      </w:r>
      <w:proofErr w:type="gramEnd"/>
      <w:r w:rsidRPr="00F31693">
        <w:t xml:space="preserve"> and compliance risk.</w:t>
      </w:r>
    </w:p>
    <w:p w14:paraId="5E32AB87" w14:textId="77777777" w:rsidR="00A95E97" w:rsidRPr="00F31693" w:rsidRDefault="00A95E97" w:rsidP="00A95E97">
      <w:pPr>
        <w:rPr>
          <w:b/>
          <w:u w:val="single"/>
        </w:rPr>
      </w:pPr>
      <w:r w:rsidRPr="00F31693">
        <w:rPr>
          <w:b/>
          <w:u w:val="single"/>
        </w:rPr>
        <w:t>Liquidity Risk</w:t>
      </w:r>
    </w:p>
    <w:p w14:paraId="58EB3B13" w14:textId="77777777" w:rsidR="00A95E97" w:rsidRPr="00F31693" w:rsidRDefault="00A95E97" w:rsidP="00A95E97">
      <w:r w:rsidRPr="00F31693">
        <w:t xml:space="preserve">Liquidity risk refers to the risk to earnings or capital that arises from the bank’s inability to meet its obligations when they come due without incurring unacceptable losses. Management mitigates this risk by limiting the bank’s exposure to the use of brokered deposits. The risk is also limited by the substantial capital position the bank currently enjoys. </w:t>
      </w:r>
    </w:p>
    <w:p w14:paraId="53462A5B" w14:textId="77777777" w:rsidR="00A95E97" w:rsidRPr="00F31693" w:rsidRDefault="00A95E97" w:rsidP="00A95E97">
      <w:pPr>
        <w:rPr>
          <w:b/>
          <w:u w:val="single"/>
        </w:rPr>
      </w:pPr>
      <w:r w:rsidRPr="00F31693">
        <w:rPr>
          <w:b/>
          <w:u w:val="single"/>
        </w:rPr>
        <w:t>Interest Rate Risk</w:t>
      </w:r>
    </w:p>
    <w:p w14:paraId="45D3D8D3" w14:textId="77777777" w:rsidR="00A95E97" w:rsidRPr="00F31693" w:rsidRDefault="00A95E97" w:rsidP="00A95E97">
      <w:r w:rsidRPr="00F31693">
        <w:t xml:space="preserve">Interest rate (market) risk is the risk to a bank’s condition resulting from adverse movements in market rates or prices, such as interest rates, foreign exchange rates or equity prices. This type of risk focuses on the economic scenarios relative to the value of the Bank in the current interest rate environment and the sensitivity of that value to changes in interest rates. </w:t>
      </w:r>
      <w:r w:rsidR="008109EB" w:rsidRPr="00F31693">
        <w:t>A t</w:t>
      </w:r>
      <w:r w:rsidRPr="00F31693">
        <w:t>horough analysis will be conducted prior to commitment to a brokered deposit contract including rate, fees, and duration of said contract. Limits to the use of brokered deposits will be determined in this policy. The use of these funds will be reviewed by the Board of Directors on a quarterly basis.</w:t>
      </w:r>
    </w:p>
    <w:p w14:paraId="6B31E27A" w14:textId="77777777" w:rsidR="00A95E97" w:rsidRPr="00F31693" w:rsidRDefault="00A95E97" w:rsidP="00A95E97">
      <w:pPr>
        <w:rPr>
          <w:b/>
          <w:u w:val="single"/>
        </w:rPr>
      </w:pPr>
      <w:r w:rsidRPr="00F31693">
        <w:rPr>
          <w:b/>
          <w:u w:val="single"/>
        </w:rPr>
        <w:t>Transaction Risk</w:t>
      </w:r>
    </w:p>
    <w:p w14:paraId="73CA5BA0" w14:textId="77777777" w:rsidR="00A95E97" w:rsidRPr="00F31693" w:rsidRDefault="00A95E97" w:rsidP="00A95E97">
      <w:r w:rsidRPr="00F31693">
        <w:t xml:space="preserve">Transaction risk is the risk to earnings or capital arising from problems with service or product delivery and may include potential financial losses from human error or fraud, incomplete information and related decision-making or operation disruption. The risk is a function of the adequacy of internal control and information systems, employee integrity, management policies and operation processes. </w:t>
      </w:r>
      <w:proofErr w:type="gramStart"/>
      <w:r w:rsidRPr="00F31693">
        <w:t>In order to</w:t>
      </w:r>
      <w:proofErr w:type="gramEnd"/>
      <w:r w:rsidRPr="00F31693">
        <w:t xml:space="preserve"> mitigate transaction risk, due diligence will be conducted on all deposit brokers prior to entering into a relationship with them and on an annual basis thereafter. Management information systems will provide ease in monitoring and tracking the use of brokered deposits. The system will include a listing of funds obtained through each significant program, rates paid on each instrument, maturity information and concentrations. The concentration of brokered deposits will be prepared at least quarterly by the CFO and reviewed by the Board in the financial report. Further, the use of brokered deposits and the management of </w:t>
      </w:r>
      <w:proofErr w:type="gramStart"/>
      <w:r w:rsidRPr="00F31693">
        <w:t>its</w:t>
      </w:r>
      <w:proofErr w:type="gramEnd"/>
      <w:r w:rsidRPr="00F31693">
        <w:t xml:space="preserve"> function will be reviewed annually by the bank’s external auditors.</w:t>
      </w:r>
    </w:p>
    <w:p w14:paraId="352A0C53" w14:textId="77777777" w:rsidR="00A95E97" w:rsidRPr="00F31693" w:rsidRDefault="00A95E97" w:rsidP="00A95E97">
      <w:pPr>
        <w:rPr>
          <w:b/>
          <w:u w:val="single"/>
        </w:rPr>
      </w:pPr>
      <w:r w:rsidRPr="00F31693">
        <w:rPr>
          <w:b/>
          <w:u w:val="single"/>
        </w:rPr>
        <w:t>Reputation Risk</w:t>
      </w:r>
    </w:p>
    <w:p w14:paraId="2927A817" w14:textId="77777777" w:rsidR="00A95E97" w:rsidRPr="00F31693" w:rsidRDefault="00A95E97" w:rsidP="00A95E97">
      <w:r w:rsidRPr="00F31693">
        <w:lastRenderedPageBreak/>
        <w:t xml:space="preserve">Reputation risk is the potential that negative publicity regarding the Bank’s business practices, whether true or not, will </w:t>
      </w:r>
      <w:proofErr w:type="gramStart"/>
      <w:r w:rsidRPr="00F31693">
        <w:t>impact</w:t>
      </w:r>
      <w:proofErr w:type="gramEnd"/>
      <w:r w:rsidRPr="00F31693">
        <w:t xml:space="preserve"> our ability to raise brokered deposits. For this reason, </w:t>
      </w:r>
      <w:proofErr w:type="gramStart"/>
      <w:r w:rsidRPr="00F31693">
        <w:t>bank</w:t>
      </w:r>
      <w:proofErr w:type="gramEnd"/>
      <w:r w:rsidRPr="00F31693">
        <w:t xml:space="preserve"> management responsible for overseeing the brokered deposit program must be aware of any information that could affect the </w:t>
      </w:r>
      <w:proofErr w:type="gramStart"/>
      <w:r w:rsidRPr="00F31693">
        <w:t>market’s</w:t>
      </w:r>
      <w:proofErr w:type="gramEnd"/>
      <w:r w:rsidRPr="00F31693">
        <w:t xml:space="preserve"> or public’s perception of the soundness of the institution.</w:t>
      </w:r>
    </w:p>
    <w:p w14:paraId="71684F52" w14:textId="77777777" w:rsidR="00A13B1B" w:rsidRPr="00F31693" w:rsidRDefault="00A13B1B" w:rsidP="00A95E97">
      <w:pPr>
        <w:rPr>
          <w:b/>
          <w:u w:val="single"/>
        </w:rPr>
      </w:pPr>
    </w:p>
    <w:p w14:paraId="49B7FC3E" w14:textId="77777777" w:rsidR="00A95E97" w:rsidRPr="00F31693" w:rsidRDefault="00A95E97" w:rsidP="00A95E97">
      <w:pPr>
        <w:rPr>
          <w:b/>
          <w:u w:val="single"/>
        </w:rPr>
      </w:pPr>
      <w:r w:rsidRPr="00F31693">
        <w:rPr>
          <w:b/>
          <w:u w:val="single"/>
        </w:rPr>
        <w:t>Compliance Risk</w:t>
      </w:r>
    </w:p>
    <w:p w14:paraId="3254AF51" w14:textId="77777777" w:rsidR="00A95E97" w:rsidRPr="00F31693" w:rsidRDefault="00A95E97" w:rsidP="00A95E97">
      <w:r w:rsidRPr="00F31693">
        <w:t>Compliance risk arises from violations of or nonconformance with those laws, regulations or prescribed practices that govern the Bank’s activities. There are two specific compliance concerns regarding brokered deposits- Capital Level Requirements and Bank Secrecy Act and Anti-Money Laundering compliance</w:t>
      </w:r>
      <w:r w:rsidR="008109EB" w:rsidRPr="00F31693">
        <w:t>.</w:t>
      </w:r>
      <w:r w:rsidRPr="00F31693">
        <w:t xml:space="preserve"> FDIC requires an institution to be well capitalized </w:t>
      </w:r>
      <w:proofErr w:type="gramStart"/>
      <w:r w:rsidRPr="00F31693">
        <w:t>in order to</w:t>
      </w:r>
      <w:proofErr w:type="gramEnd"/>
      <w:r w:rsidRPr="00F31693">
        <w:t xml:space="preserve"> accept brokered deposits. The Bank only does business with deposit brokers who are registered with the Securities Exchange Commission (SEC). Brokers registered with the SEC are required to follow the same general CIP requirements as banking institutions and are periodically examined by the SEC for compliance.</w:t>
      </w:r>
    </w:p>
    <w:p w14:paraId="75D67344" w14:textId="77777777" w:rsidR="00992E02" w:rsidRPr="00F31693" w:rsidRDefault="00D436F0" w:rsidP="00992E02">
      <w:r w:rsidRPr="00F31693">
        <w:t xml:space="preserve">As of </w:t>
      </w:r>
      <w:r w:rsidR="00F30301" w:rsidRPr="00F31693">
        <w:t>06/30/2016</w:t>
      </w:r>
      <w:r w:rsidRPr="00F31693">
        <w:t xml:space="preserve">, the bank has opened </w:t>
      </w:r>
      <w:r w:rsidR="0092761C" w:rsidRPr="00F31693">
        <w:t>4</w:t>
      </w:r>
      <w:r w:rsidR="00992E02" w:rsidRPr="00F31693">
        <w:t xml:space="preserve"> Brokered deposit accounts totaling $</w:t>
      </w:r>
      <w:r w:rsidR="0092761C" w:rsidRPr="00F31693">
        <w:t xml:space="preserve">12,269,656.11 </w:t>
      </w:r>
      <w:r w:rsidR="00992E02" w:rsidRPr="00F31693">
        <w:t>and it is planned to increase these deposits during FY</w:t>
      </w:r>
      <w:r w:rsidR="00AF044F">
        <w:t>E</w:t>
      </w:r>
      <w:r w:rsidR="00992E02" w:rsidRPr="00F31693">
        <w:t xml:space="preserve"> 201</w:t>
      </w:r>
      <w:r w:rsidR="00F30301" w:rsidRPr="00F31693">
        <w:t>7</w:t>
      </w:r>
      <w:r w:rsidR="00992E02" w:rsidRPr="00F31693">
        <w:t xml:space="preserve">. While these deposits are considered High Risk, this risk is mitigated by the fact that we are only accepting time deposits and a limited amount of money market accounts. There will be no </w:t>
      </w:r>
      <w:proofErr w:type="gramStart"/>
      <w:r w:rsidR="00992E02" w:rsidRPr="00F31693">
        <w:t>demand</w:t>
      </w:r>
      <w:proofErr w:type="gramEnd"/>
      <w:r w:rsidR="00992E02" w:rsidRPr="00F31693">
        <w:t xml:space="preserve"> deposit accounts accepted. Brokered money market accounts will be subject to Enhanced Due Diligence (EDD).</w:t>
      </w:r>
    </w:p>
    <w:p w14:paraId="3F10E46D" w14:textId="602C8816" w:rsidR="006C029D" w:rsidRPr="00F31693" w:rsidRDefault="006473DB" w:rsidP="00992E02">
      <w:pPr>
        <w:rPr>
          <w:b/>
          <w:u w:val="single"/>
        </w:rPr>
      </w:pPr>
      <w:r>
        <w:rPr>
          <w:b/>
          <w:u w:val="single"/>
        </w:rPr>
        <w:t xml:space="preserve">J. Wallace </w:t>
      </w:r>
      <w:r w:rsidR="00A82A8C" w:rsidRPr="00F31693">
        <w:rPr>
          <w:b/>
          <w:u w:val="single"/>
        </w:rPr>
        <w:t>Broker</w:t>
      </w:r>
      <w:r w:rsidR="00E35273" w:rsidRPr="00F31693">
        <w:rPr>
          <w:b/>
          <w:u w:val="single"/>
        </w:rPr>
        <w:t>ed Deposit Accounts:</w:t>
      </w:r>
    </w:p>
    <w:tbl>
      <w:tblPr>
        <w:tblW w:w="5193" w:type="dxa"/>
        <w:tblInd w:w="95" w:type="dxa"/>
        <w:tblLook w:val="04A0" w:firstRow="1" w:lastRow="0" w:firstColumn="1" w:lastColumn="0" w:noHBand="0" w:noVBand="1"/>
      </w:tblPr>
      <w:tblGrid>
        <w:gridCol w:w="2353"/>
        <w:gridCol w:w="1232"/>
        <w:gridCol w:w="1608"/>
      </w:tblGrid>
      <w:tr w:rsidR="00D436F0" w:rsidRPr="00F31693" w14:paraId="69DE9F5E" w14:textId="77777777" w:rsidTr="00720851">
        <w:trPr>
          <w:trHeight w:val="195"/>
        </w:trPr>
        <w:tc>
          <w:tcPr>
            <w:tcW w:w="23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7F2A8" w14:textId="77777777" w:rsidR="00D436F0" w:rsidRPr="00F31693" w:rsidRDefault="00D436F0" w:rsidP="00D77B5F">
            <w:pPr>
              <w:spacing w:after="0" w:line="240" w:lineRule="auto"/>
              <w:jc w:val="center"/>
              <w:rPr>
                <w:rFonts w:ascii="Calibri" w:eastAsia="Times New Roman" w:hAnsi="Calibri" w:cs="Arial"/>
                <w:b/>
                <w:bCs/>
              </w:rPr>
            </w:pPr>
            <w:r w:rsidRPr="00F31693">
              <w:rPr>
                <w:rFonts w:ascii="Calibri" w:eastAsia="Times New Roman" w:hAnsi="Calibri" w:cs="Arial"/>
                <w:b/>
                <w:bCs/>
              </w:rPr>
              <w:t>Account Type</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14:paraId="5FC4CE54" w14:textId="77777777" w:rsidR="00D436F0" w:rsidRPr="00F31693" w:rsidRDefault="00D436F0" w:rsidP="00D77B5F">
            <w:pPr>
              <w:spacing w:after="0" w:line="240" w:lineRule="auto"/>
              <w:jc w:val="center"/>
              <w:rPr>
                <w:rFonts w:ascii="Calibri" w:eastAsia="Times New Roman" w:hAnsi="Calibri" w:cs="Arial"/>
                <w:b/>
                <w:bCs/>
              </w:rPr>
            </w:pPr>
            <w:r w:rsidRPr="00F31693">
              <w:rPr>
                <w:rFonts w:ascii="Calibri" w:eastAsia="Times New Roman" w:hAnsi="Calibri" w:cs="Arial"/>
                <w:b/>
                <w:bCs/>
              </w:rPr>
              <w:t xml:space="preserve"> Number of Accounts </w:t>
            </w:r>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14:paraId="1C2C484E" w14:textId="77777777" w:rsidR="00D436F0" w:rsidRPr="00F31693" w:rsidRDefault="00D436F0" w:rsidP="00D77B5F">
            <w:pPr>
              <w:spacing w:after="0" w:line="240" w:lineRule="auto"/>
              <w:jc w:val="center"/>
              <w:rPr>
                <w:rFonts w:ascii="Calibri" w:eastAsia="Times New Roman" w:hAnsi="Calibri" w:cs="Arial"/>
                <w:b/>
                <w:bCs/>
              </w:rPr>
            </w:pPr>
            <w:r w:rsidRPr="00F31693">
              <w:rPr>
                <w:rFonts w:ascii="Calibri" w:eastAsia="Times New Roman" w:hAnsi="Calibri" w:cs="Arial"/>
                <w:b/>
                <w:bCs/>
              </w:rPr>
              <w:t>Current Balance</w:t>
            </w:r>
          </w:p>
        </w:tc>
      </w:tr>
      <w:tr w:rsidR="00D436F0" w:rsidRPr="00F31693" w14:paraId="3D40B6D2" w14:textId="77777777" w:rsidTr="00720851">
        <w:trPr>
          <w:trHeight w:val="195"/>
        </w:trPr>
        <w:tc>
          <w:tcPr>
            <w:tcW w:w="23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4BA7C" w14:textId="77777777" w:rsidR="00D436F0" w:rsidRPr="00F31693" w:rsidRDefault="00D436F0" w:rsidP="00720851">
            <w:pPr>
              <w:spacing w:after="0" w:line="240" w:lineRule="auto"/>
              <w:rPr>
                <w:rFonts w:ascii="Calibri" w:eastAsia="Times New Roman" w:hAnsi="Calibri" w:cs="Arial"/>
                <w:bCs/>
              </w:rPr>
            </w:pPr>
            <w:r w:rsidRPr="00F31693">
              <w:rPr>
                <w:rFonts w:ascii="Calibri" w:eastAsia="Times New Roman" w:hAnsi="Calibri" w:cs="Arial"/>
                <w:bCs/>
              </w:rPr>
              <w:t>Brokered MMA</w:t>
            </w:r>
          </w:p>
        </w:tc>
        <w:tc>
          <w:tcPr>
            <w:tcW w:w="1232" w:type="dxa"/>
            <w:tcBorders>
              <w:top w:val="nil"/>
              <w:left w:val="nil"/>
              <w:bottom w:val="single" w:sz="4" w:space="0" w:color="auto"/>
              <w:right w:val="single" w:sz="4" w:space="0" w:color="auto"/>
            </w:tcBorders>
            <w:shd w:val="clear" w:color="auto" w:fill="auto"/>
            <w:noWrap/>
            <w:vAlign w:val="bottom"/>
            <w:hideMark/>
          </w:tcPr>
          <w:p w14:paraId="10C2D8A7" w14:textId="77777777" w:rsidR="00D436F0" w:rsidRPr="00F31693" w:rsidRDefault="00D436F0" w:rsidP="00D77B5F">
            <w:pPr>
              <w:spacing w:after="0" w:line="240" w:lineRule="auto"/>
              <w:jc w:val="center"/>
              <w:rPr>
                <w:rFonts w:ascii="Calibri" w:eastAsia="Times New Roman" w:hAnsi="Calibri" w:cs="Arial"/>
              </w:rPr>
            </w:pPr>
            <w:r w:rsidRPr="00F31693">
              <w:rPr>
                <w:rFonts w:ascii="Calibri" w:eastAsia="Times New Roman" w:hAnsi="Calibri" w:cs="Arial"/>
              </w:rPr>
              <w:t xml:space="preserve">                                       1 </w:t>
            </w:r>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14:paraId="1DFE3B96" w14:textId="77777777" w:rsidR="00D436F0" w:rsidRPr="00F31693" w:rsidRDefault="009810D0" w:rsidP="00D77B5F">
            <w:pPr>
              <w:spacing w:after="0" w:line="240" w:lineRule="auto"/>
              <w:jc w:val="center"/>
              <w:rPr>
                <w:rFonts w:ascii="Calibri" w:eastAsia="Times New Roman" w:hAnsi="Calibri" w:cs="Arial"/>
              </w:rPr>
            </w:pPr>
            <w:r w:rsidRPr="00F31693">
              <w:rPr>
                <w:rFonts w:ascii="Calibri" w:eastAsia="Times New Roman" w:hAnsi="Calibri" w:cs="Arial"/>
              </w:rPr>
              <w:t>$4,422,656.11</w:t>
            </w:r>
          </w:p>
        </w:tc>
      </w:tr>
      <w:tr w:rsidR="00D436F0" w:rsidRPr="00F31693" w14:paraId="6B043B36" w14:textId="77777777" w:rsidTr="00720851">
        <w:trPr>
          <w:trHeight w:val="195"/>
        </w:trPr>
        <w:tc>
          <w:tcPr>
            <w:tcW w:w="23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25B25" w14:textId="77777777" w:rsidR="00D436F0" w:rsidRPr="00F31693" w:rsidRDefault="00D436F0" w:rsidP="00720851">
            <w:pPr>
              <w:spacing w:after="0" w:line="240" w:lineRule="auto"/>
              <w:rPr>
                <w:rFonts w:eastAsia="Times New Roman" w:cs="Arial"/>
                <w:bCs/>
              </w:rPr>
            </w:pPr>
            <w:r w:rsidRPr="00F31693">
              <w:rPr>
                <w:rFonts w:eastAsia="Times New Roman" w:cs="Arial"/>
                <w:bCs/>
              </w:rPr>
              <w:t>6YR Brokered CD PSB</w:t>
            </w:r>
          </w:p>
        </w:tc>
        <w:tc>
          <w:tcPr>
            <w:tcW w:w="1232" w:type="dxa"/>
            <w:tcBorders>
              <w:top w:val="nil"/>
              <w:left w:val="nil"/>
              <w:bottom w:val="single" w:sz="4" w:space="0" w:color="auto"/>
              <w:right w:val="single" w:sz="4" w:space="0" w:color="auto"/>
            </w:tcBorders>
            <w:shd w:val="clear" w:color="auto" w:fill="auto"/>
            <w:noWrap/>
            <w:vAlign w:val="bottom"/>
            <w:hideMark/>
          </w:tcPr>
          <w:p w14:paraId="335F97DF" w14:textId="77777777" w:rsidR="00D436F0" w:rsidRPr="00F31693" w:rsidRDefault="00D436F0" w:rsidP="00D77B5F">
            <w:pPr>
              <w:spacing w:after="0" w:line="240" w:lineRule="auto"/>
              <w:jc w:val="center"/>
              <w:rPr>
                <w:rFonts w:eastAsia="Times New Roman" w:cs="Arial"/>
              </w:rPr>
            </w:pPr>
            <w:r w:rsidRPr="00F31693">
              <w:rPr>
                <w:rFonts w:eastAsia="Times New Roman" w:cs="Arial"/>
              </w:rPr>
              <w:t xml:space="preserve">                                       1 </w:t>
            </w:r>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14:paraId="7552228C" w14:textId="77777777" w:rsidR="00D436F0" w:rsidRPr="00F31693" w:rsidRDefault="00D436F0" w:rsidP="00D77B5F">
            <w:pPr>
              <w:spacing w:after="0" w:line="240" w:lineRule="auto"/>
              <w:jc w:val="center"/>
              <w:rPr>
                <w:rFonts w:eastAsia="Times New Roman" w:cs="Arial"/>
              </w:rPr>
            </w:pPr>
            <w:r w:rsidRPr="00F31693">
              <w:rPr>
                <w:rFonts w:eastAsia="Times New Roman" w:cs="Arial"/>
              </w:rPr>
              <w:t>$2,888,000.00</w:t>
            </w:r>
          </w:p>
        </w:tc>
      </w:tr>
      <w:tr w:rsidR="00D436F0" w:rsidRPr="00F31693" w14:paraId="6D33FCC0" w14:textId="77777777" w:rsidTr="00720851">
        <w:trPr>
          <w:trHeight w:val="195"/>
        </w:trPr>
        <w:tc>
          <w:tcPr>
            <w:tcW w:w="23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06541" w14:textId="77777777" w:rsidR="00D436F0" w:rsidRPr="00F31693" w:rsidRDefault="00D436F0" w:rsidP="00720851">
            <w:pPr>
              <w:spacing w:after="0" w:line="240" w:lineRule="auto"/>
              <w:rPr>
                <w:rFonts w:eastAsia="Times New Roman" w:cs="Arial"/>
                <w:bCs/>
              </w:rPr>
            </w:pPr>
            <w:r w:rsidRPr="00F31693">
              <w:rPr>
                <w:rFonts w:eastAsia="Times New Roman" w:cs="Arial"/>
                <w:bCs/>
              </w:rPr>
              <w:t>7YR Brokered CD PSB</w:t>
            </w:r>
          </w:p>
        </w:tc>
        <w:tc>
          <w:tcPr>
            <w:tcW w:w="1232" w:type="dxa"/>
            <w:tcBorders>
              <w:top w:val="nil"/>
              <w:left w:val="nil"/>
              <w:bottom w:val="single" w:sz="4" w:space="0" w:color="auto"/>
              <w:right w:val="single" w:sz="4" w:space="0" w:color="auto"/>
            </w:tcBorders>
            <w:shd w:val="clear" w:color="auto" w:fill="auto"/>
            <w:noWrap/>
            <w:vAlign w:val="bottom"/>
            <w:hideMark/>
          </w:tcPr>
          <w:p w14:paraId="391931F9" w14:textId="77777777" w:rsidR="00D436F0" w:rsidRPr="00F31693" w:rsidRDefault="00D436F0" w:rsidP="00D77B5F">
            <w:pPr>
              <w:spacing w:after="0" w:line="240" w:lineRule="auto"/>
              <w:jc w:val="center"/>
              <w:rPr>
                <w:rFonts w:eastAsia="Times New Roman" w:cs="Arial"/>
              </w:rPr>
            </w:pPr>
            <w:r w:rsidRPr="00F31693">
              <w:rPr>
                <w:rFonts w:eastAsia="Times New Roman" w:cs="Arial"/>
              </w:rPr>
              <w:t xml:space="preserve">                                      2 </w:t>
            </w:r>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14:paraId="169F029D" w14:textId="77777777" w:rsidR="00D436F0" w:rsidRPr="00F31693" w:rsidRDefault="00D436F0" w:rsidP="00D77B5F">
            <w:pPr>
              <w:spacing w:after="0" w:line="240" w:lineRule="auto"/>
              <w:jc w:val="center"/>
              <w:rPr>
                <w:rFonts w:eastAsia="Times New Roman" w:cs="Arial"/>
              </w:rPr>
            </w:pPr>
            <w:r w:rsidRPr="00F31693">
              <w:rPr>
                <w:rFonts w:eastAsia="Times New Roman" w:cs="Arial"/>
              </w:rPr>
              <w:t>$4,959,000.00</w:t>
            </w:r>
          </w:p>
        </w:tc>
      </w:tr>
      <w:tr w:rsidR="00D436F0" w:rsidRPr="00F31693" w14:paraId="221F0D1C" w14:textId="77777777" w:rsidTr="00720851">
        <w:trPr>
          <w:trHeight w:val="195"/>
        </w:trPr>
        <w:tc>
          <w:tcPr>
            <w:tcW w:w="2353" w:type="dxa"/>
            <w:tcBorders>
              <w:top w:val="single" w:sz="4" w:space="0" w:color="auto"/>
              <w:left w:val="nil"/>
              <w:bottom w:val="nil"/>
              <w:right w:val="single" w:sz="4" w:space="0" w:color="000000"/>
            </w:tcBorders>
            <w:shd w:val="clear" w:color="auto" w:fill="auto"/>
            <w:noWrap/>
            <w:vAlign w:val="bottom"/>
            <w:hideMark/>
          </w:tcPr>
          <w:p w14:paraId="7E744908" w14:textId="77777777" w:rsidR="00D436F0" w:rsidRPr="00F31693" w:rsidRDefault="00D436F0" w:rsidP="00D77B5F">
            <w:pPr>
              <w:spacing w:after="0" w:line="240" w:lineRule="auto"/>
              <w:jc w:val="center"/>
              <w:rPr>
                <w:rFonts w:eastAsia="Times New Roman" w:cs="Arial"/>
              </w:rPr>
            </w:pPr>
            <w:r w:rsidRPr="00F31693">
              <w:rPr>
                <w:rFonts w:eastAsia="Times New Roman" w:cs="Arial"/>
              </w:rPr>
              <w:t> </w:t>
            </w:r>
          </w:p>
        </w:tc>
        <w:tc>
          <w:tcPr>
            <w:tcW w:w="1232" w:type="dxa"/>
            <w:tcBorders>
              <w:top w:val="nil"/>
              <w:left w:val="nil"/>
              <w:bottom w:val="single" w:sz="4" w:space="0" w:color="auto"/>
              <w:right w:val="single" w:sz="4" w:space="0" w:color="auto"/>
            </w:tcBorders>
            <w:shd w:val="clear" w:color="000000" w:fill="FFFF00"/>
            <w:noWrap/>
            <w:vAlign w:val="bottom"/>
            <w:hideMark/>
          </w:tcPr>
          <w:p w14:paraId="4E22BEB4" w14:textId="77777777" w:rsidR="00D436F0" w:rsidRPr="00F31693" w:rsidRDefault="00D436F0" w:rsidP="009810D0">
            <w:pPr>
              <w:spacing w:after="0" w:line="240" w:lineRule="auto"/>
              <w:jc w:val="center"/>
              <w:rPr>
                <w:rFonts w:eastAsia="Times New Roman" w:cs="Arial"/>
              </w:rPr>
            </w:pPr>
            <w:r w:rsidRPr="00F31693">
              <w:rPr>
                <w:rFonts w:eastAsia="Times New Roman" w:cs="Arial"/>
              </w:rPr>
              <w:t xml:space="preserve">                                      </w:t>
            </w:r>
            <w:r w:rsidR="009810D0" w:rsidRPr="00F31693">
              <w:rPr>
                <w:rFonts w:eastAsia="Times New Roman" w:cs="Arial"/>
              </w:rPr>
              <w:t>4</w:t>
            </w:r>
          </w:p>
        </w:tc>
        <w:tc>
          <w:tcPr>
            <w:tcW w:w="1608" w:type="dxa"/>
            <w:tcBorders>
              <w:top w:val="single" w:sz="4" w:space="0" w:color="auto"/>
              <w:left w:val="nil"/>
              <w:bottom w:val="single" w:sz="4" w:space="0" w:color="auto"/>
              <w:right w:val="single" w:sz="4" w:space="0" w:color="000000"/>
            </w:tcBorders>
            <w:shd w:val="clear" w:color="000000" w:fill="FFFF00"/>
            <w:noWrap/>
            <w:vAlign w:val="bottom"/>
            <w:hideMark/>
          </w:tcPr>
          <w:p w14:paraId="25FAD08A" w14:textId="77777777" w:rsidR="00D436F0" w:rsidRPr="00F31693" w:rsidRDefault="00D436F0" w:rsidP="001C5847">
            <w:pPr>
              <w:spacing w:after="0" w:line="240" w:lineRule="auto"/>
              <w:jc w:val="center"/>
              <w:rPr>
                <w:rFonts w:eastAsia="Times New Roman" w:cs="Arial"/>
              </w:rPr>
            </w:pPr>
            <w:r w:rsidRPr="00F31693">
              <w:rPr>
                <w:rFonts w:eastAsia="Times New Roman" w:cs="Arial"/>
              </w:rPr>
              <w:t>$</w:t>
            </w:r>
            <w:r w:rsidR="001C5847" w:rsidRPr="00F31693">
              <w:rPr>
                <w:rFonts w:eastAsia="Times New Roman" w:cs="Arial"/>
              </w:rPr>
              <w:t>12,269,656.11</w:t>
            </w:r>
          </w:p>
        </w:tc>
      </w:tr>
    </w:tbl>
    <w:p w14:paraId="1C46AFE2" w14:textId="77777777" w:rsidR="00A36C5B" w:rsidRPr="00F31693" w:rsidRDefault="00A36C5B" w:rsidP="00A95E97"/>
    <w:p w14:paraId="5ED63A3B" w14:textId="77777777" w:rsidR="00A95E97" w:rsidRPr="00F31693" w:rsidRDefault="00A95E97" w:rsidP="00A95E97">
      <w:r w:rsidRPr="00F31693">
        <w:t xml:space="preserve">For the coming fiscal year, it is anticipated such deposits will grow at a </w:t>
      </w:r>
      <w:r w:rsidR="00CC172D" w:rsidRPr="00F31693">
        <w:t xml:space="preserve">relatively </w:t>
      </w:r>
      <w:r w:rsidRPr="00F31693">
        <w:t xml:space="preserve">moderate pace. </w:t>
      </w:r>
    </w:p>
    <w:p w14:paraId="5B84CE10" w14:textId="77777777" w:rsidR="00B146EE" w:rsidRPr="00F31693" w:rsidRDefault="00B146EE" w:rsidP="00A95E97">
      <w:pPr>
        <w:rPr>
          <w:b/>
        </w:rPr>
      </w:pPr>
    </w:p>
    <w:p w14:paraId="10E2137B" w14:textId="77777777" w:rsidR="00B146EE" w:rsidRPr="00F31693" w:rsidRDefault="00B146EE" w:rsidP="00A95E97">
      <w:pPr>
        <w:rPr>
          <w:b/>
        </w:rPr>
      </w:pPr>
    </w:p>
    <w:p w14:paraId="4C121D17" w14:textId="77777777" w:rsidR="00B146EE" w:rsidRPr="00F31693" w:rsidRDefault="00B146EE" w:rsidP="00A95E97">
      <w:pPr>
        <w:rPr>
          <w:b/>
        </w:rPr>
      </w:pPr>
    </w:p>
    <w:p w14:paraId="6DF2D92A" w14:textId="77777777" w:rsidR="00B146EE" w:rsidRPr="00F31693" w:rsidRDefault="00B146EE" w:rsidP="00A95E97">
      <w:pPr>
        <w:rPr>
          <w:b/>
        </w:rPr>
      </w:pPr>
    </w:p>
    <w:p w14:paraId="188209FC" w14:textId="77777777" w:rsidR="00B146EE" w:rsidRPr="00F31693" w:rsidRDefault="00B146EE" w:rsidP="00A95E97">
      <w:pPr>
        <w:rPr>
          <w:b/>
        </w:rPr>
      </w:pPr>
    </w:p>
    <w:p w14:paraId="4FC5C769" w14:textId="77777777" w:rsidR="00A13B1B" w:rsidRPr="00F31693" w:rsidRDefault="00A13B1B" w:rsidP="00DB759E">
      <w:pPr>
        <w:rPr>
          <w:b/>
        </w:rPr>
      </w:pPr>
    </w:p>
    <w:p w14:paraId="717FF031" w14:textId="77777777" w:rsidR="00A13B1B" w:rsidRPr="00F31693" w:rsidRDefault="00A13B1B" w:rsidP="00DB759E">
      <w:pPr>
        <w:rPr>
          <w:b/>
        </w:rPr>
      </w:pPr>
    </w:p>
    <w:p w14:paraId="542E7AF7" w14:textId="77777777" w:rsidR="00DB759E" w:rsidRPr="00F31693" w:rsidRDefault="00DB759E" w:rsidP="00DB759E">
      <w:pPr>
        <w:rPr>
          <w:b/>
        </w:rPr>
      </w:pPr>
      <w:r w:rsidRPr="00F31693">
        <w:rPr>
          <w:b/>
        </w:rPr>
        <w:t>Loans</w:t>
      </w:r>
    </w:p>
    <w:p w14:paraId="1630369E" w14:textId="77777777" w:rsidR="00DB759E" w:rsidRPr="00F31693" w:rsidRDefault="00DB759E" w:rsidP="00DB759E">
      <w:pPr>
        <w:pStyle w:val="NoSpacing"/>
      </w:pPr>
      <w:r w:rsidRPr="00F31693">
        <w:t>During the assessment period, the Bank experienced a $139,439,725.64 or a 20.86% increase in total loans for FY</w:t>
      </w:r>
      <w:r w:rsidR="0059409A">
        <w:t>E</w:t>
      </w:r>
      <w:r w:rsidRPr="00F31693">
        <w:t xml:space="preserve"> 2016. The largest increase in terms of dollar value was in Commercial Loans totaling $52,724,523.26 or 9.37%. Commercial Loans </w:t>
      </w:r>
      <w:proofErr w:type="gramStart"/>
      <w:r w:rsidRPr="00F31693">
        <w:t>has</w:t>
      </w:r>
      <w:proofErr w:type="gramEnd"/>
      <w:r w:rsidRPr="00F31693">
        <w:t xml:space="preserve"> been an integral segment of the Bank’s lending focus. </w:t>
      </w:r>
    </w:p>
    <w:p w14:paraId="52ABF98E" w14:textId="77777777" w:rsidR="00DB759E" w:rsidRPr="00F31693" w:rsidRDefault="00DB759E" w:rsidP="00DB759E">
      <w:pPr>
        <w:pStyle w:val="NoSpacing"/>
      </w:pPr>
    </w:p>
    <w:tbl>
      <w:tblPr>
        <w:tblW w:w="8203" w:type="dxa"/>
        <w:tblCellMar>
          <w:left w:w="0" w:type="dxa"/>
          <w:right w:w="0" w:type="dxa"/>
        </w:tblCellMar>
        <w:tblLook w:val="04A0" w:firstRow="1" w:lastRow="0" w:firstColumn="1" w:lastColumn="0" w:noHBand="0" w:noVBand="1"/>
      </w:tblPr>
      <w:tblGrid>
        <w:gridCol w:w="1820"/>
        <w:gridCol w:w="1740"/>
        <w:gridCol w:w="1740"/>
        <w:gridCol w:w="1620"/>
        <w:gridCol w:w="1283"/>
      </w:tblGrid>
      <w:tr w:rsidR="00DB759E" w:rsidRPr="00F31693" w14:paraId="4553A127" w14:textId="77777777" w:rsidTr="009B071E">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bottom"/>
            <w:hideMark/>
          </w:tcPr>
          <w:p w14:paraId="2A91923B" w14:textId="77777777" w:rsidR="00DB759E" w:rsidRPr="00F31693" w:rsidRDefault="00DB759E" w:rsidP="009B071E">
            <w:pPr>
              <w:jc w:val="center"/>
              <w:rPr>
                <w:b/>
                <w:color w:val="000000"/>
              </w:rPr>
            </w:pPr>
            <w:r w:rsidRPr="00F31693">
              <w:rPr>
                <w:b/>
              </w:rPr>
              <w:t>Loan Type</w:t>
            </w:r>
          </w:p>
        </w:tc>
        <w:tc>
          <w:tcPr>
            <w:tcW w:w="1740"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14:paraId="2DA3AC83" w14:textId="77777777" w:rsidR="00DB759E" w:rsidRPr="00F31693" w:rsidRDefault="00DB759E" w:rsidP="009B071E">
            <w:pPr>
              <w:jc w:val="center"/>
              <w:rPr>
                <w:b/>
                <w:color w:val="000000"/>
              </w:rPr>
            </w:pPr>
            <w:r w:rsidRPr="00F31693">
              <w:rPr>
                <w:b/>
                <w:color w:val="000000"/>
              </w:rPr>
              <w:t>FY</w:t>
            </w:r>
            <w:r w:rsidR="0059409A">
              <w:rPr>
                <w:b/>
                <w:color w:val="000000"/>
              </w:rPr>
              <w:t>E</w:t>
            </w:r>
            <w:r w:rsidRPr="00F31693">
              <w:rPr>
                <w:b/>
                <w:color w:val="000000"/>
              </w:rPr>
              <w:t xml:space="preserve"> 2016</w:t>
            </w:r>
          </w:p>
        </w:tc>
        <w:tc>
          <w:tcPr>
            <w:tcW w:w="1740"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14:paraId="7B1DF793" w14:textId="77777777" w:rsidR="00DB759E" w:rsidRPr="00F31693" w:rsidRDefault="00DB759E" w:rsidP="009B071E">
            <w:pPr>
              <w:jc w:val="center"/>
              <w:rPr>
                <w:b/>
                <w:color w:val="000000"/>
              </w:rPr>
            </w:pPr>
            <w:r w:rsidRPr="00F31693">
              <w:rPr>
                <w:b/>
                <w:color w:val="000000"/>
              </w:rPr>
              <w:t>FY</w:t>
            </w:r>
            <w:r w:rsidR="0059409A">
              <w:rPr>
                <w:b/>
                <w:color w:val="000000"/>
              </w:rPr>
              <w:t>E</w:t>
            </w:r>
            <w:r w:rsidRPr="00F31693">
              <w:rPr>
                <w:b/>
                <w:color w:val="000000"/>
              </w:rPr>
              <w:t xml:space="preserve"> 2015</w:t>
            </w:r>
          </w:p>
        </w:tc>
        <w:tc>
          <w:tcPr>
            <w:tcW w:w="1620"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14:paraId="47AFC860" w14:textId="77777777" w:rsidR="00DB759E" w:rsidRPr="00F31693" w:rsidRDefault="00DB759E" w:rsidP="009B071E">
            <w:pPr>
              <w:jc w:val="center"/>
              <w:rPr>
                <w:b/>
                <w:color w:val="000000"/>
              </w:rPr>
            </w:pPr>
            <w:r w:rsidRPr="00F31693">
              <w:rPr>
                <w:b/>
                <w:color w:val="000000"/>
              </w:rPr>
              <w:t>Increase</w:t>
            </w:r>
          </w:p>
        </w:tc>
        <w:tc>
          <w:tcPr>
            <w:tcW w:w="1283"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14:paraId="3DA6DC06" w14:textId="77777777" w:rsidR="00DB759E" w:rsidRPr="00F31693" w:rsidRDefault="00DB759E" w:rsidP="009B071E">
            <w:pPr>
              <w:jc w:val="center"/>
              <w:rPr>
                <w:b/>
                <w:color w:val="000000"/>
              </w:rPr>
            </w:pPr>
            <w:r w:rsidRPr="00F31693">
              <w:rPr>
                <w:b/>
                <w:color w:val="000000"/>
              </w:rPr>
              <w:t>%</w:t>
            </w:r>
          </w:p>
        </w:tc>
      </w:tr>
      <w:tr w:rsidR="00DB759E" w:rsidRPr="00F31693" w14:paraId="109B0E57" w14:textId="77777777" w:rsidTr="009B071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hideMark/>
          </w:tcPr>
          <w:p w14:paraId="345A403E" w14:textId="77777777" w:rsidR="00DB759E" w:rsidRPr="00F31693" w:rsidRDefault="00DB759E" w:rsidP="009B071E">
            <w:pPr>
              <w:jc w:val="center"/>
              <w:rPr>
                <w:rFonts w:cs="Arial"/>
              </w:rPr>
            </w:pPr>
            <w:r w:rsidRPr="00F31693">
              <w:rPr>
                <w:rFonts w:cs="Arial"/>
              </w:rPr>
              <w:t>Residential</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hideMark/>
          </w:tcPr>
          <w:p w14:paraId="055F53A8" w14:textId="77777777" w:rsidR="00DB759E" w:rsidRPr="00F31693" w:rsidRDefault="00DB759E" w:rsidP="009B071E">
            <w:pPr>
              <w:jc w:val="center"/>
              <w:rPr>
                <w:rFonts w:cs="Arial"/>
              </w:rPr>
            </w:pPr>
            <w:r w:rsidRPr="00F31693">
              <w:rPr>
                <w:rFonts w:cs="Arial"/>
              </w:rPr>
              <w:t>$68,010,210.57</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hideMark/>
          </w:tcPr>
          <w:p w14:paraId="3519124C" w14:textId="77777777" w:rsidR="00DB759E" w:rsidRPr="00F31693" w:rsidRDefault="00DB759E" w:rsidP="009B071E">
            <w:pPr>
              <w:jc w:val="center"/>
              <w:rPr>
                <w:rFonts w:cs="Arial"/>
              </w:rPr>
            </w:pPr>
            <w:r w:rsidRPr="00F31693">
              <w:rPr>
                <w:rFonts w:cs="Arial"/>
              </w:rPr>
              <w:t>$36,926,622.01</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hideMark/>
          </w:tcPr>
          <w:p w14:paraId="1DDFC547" w14:textId="77777777" w:rsidR="00DB759E" w:rsidRPr="00F31693" w:rsidRDefault="00DB759E" w:rsidP="009B071E">
            <w:pPr>
              <w:jc w:val="center"/>
              <w:rPr>
                <w:rFonts w:cs="Arial"/>
              </w:rPr>
            </w:pPr>
            <w:r w:rsidRPr="00F31693">
              <w:rPr>
                <w:rFonts w:cs="Arial"/>
              </w:rPr>
              <w:t>$31,083,588.56</w:t>
            </w:r>
          </w:p>
        </w:tc>
        <w:tc>
          <w:tcPr>
            <w:tcW w:w="1283"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hideMark/>
          </w:tcPr>
          <w:p w14:paraId="2C9FFC33" w14:textId="77777777" w:rsidR="00DB759E" w:rsidRPr="00F31693" w:rsidRDefault="00DB759E" w:rsidP="009B071E">
            <w:pPr>
              <w:jc w:val="center"/>
              <w:rPr>
                <w:rFonts w:cs="Arial"/>
              </w:rPr>
            </w:pPr>
            <w:r w:rsidRPr="00F31693">
              <w:rPr>
                <w:rFonts w:cs="Arial"/>
              </w:rPr>
              <w:t>84.18%</w:t>
            </w:r>
          </w:p>
        </w:tc>
      </w:tr>
      <w:tr w:rsidR="00DB759E" w:rsidRPr="00F31693" w14:paraId="0985339D" w14:textId="77777777" w:rsidTr="009B071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hideMark/>
          </w:tcPr>
          <w:p w14:paraId="2781E2F8" w14:textId="77777777" w:rsidR="00DB759E" w:rsidRPr="00F31693" w:rsidRDefault="00DB759E" w:rsidP="009B071E">
            <w:pPr>
              <w:jc w:val="center"/>
              <w:rPr>
                <w:rFonts w:cs="Arial"/>
              </w:rPr>
            </w:pPr>
            <w:r w:rsidRPr="00F31693">
              <w:rPr>
                <w:rFonts w:cs="Arial"/>
              </w:rPr>
              <w:t>Commercial</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hideMark/>
          </w:tcPr>
          <w:p w14:paraId="3CED02E2" w14:textId="77777777" w:rsidR="00DB759E" w:rsidRPr="00F31693" w:rsidRDefault="00DB759E" w:rsidP="009B071E">
            <w:pPr>
              <w:jc w:val="center"/>
              <w:rPr>
                <w:rFonts w:cs="Arial"/>
              </w:rPr>
            </w:pPr>
            <w:r w:rsidRPr="00F31693">
              <w:rPr>
                <w:rFonts w:cs="Arial"/>
              </w:rPr>
              <w:t>$739,895,750.99</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hideMark/>
          </w:tcPr>
          <w:p w14:paraId="6B947A2E" w14:textId="77777777" w:rsidR="00DB759E" w:rsidRPr="00F31693" w:rsidRDefault="00DB759E" w:rsidP="009B071E">
            <w:pPr>
              <w:jc w:val="center"/>
              <w:rPr>
                <w:rFonts w:cs="Arial"/>
              </w:rPr>
            </w:pPr>
            <w:r w:rsidRPr="00F31693">
              <w:rPr>
                <w:rFonts w:cs="Arial"/>
              </w:rPr>
              <w:t>$615,085,719.17</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hideMark/>
          </w:tcPr>
          <w:p w14:paraId="3A202DFF" w14:textId="77777777" w:rsidR="00DB759E" w:rsidRPr="00F31693" w:rsidRDefault="00DB759E" w:rsidP="009B071E">
            <w:pPr>
              <w:jc w:val="center"/>
              <w:rPr>
                <w:rFonts w:cs="Arial"/>
              </w:rPr>
            </w:pPr>
            <w:r w:rsidRPr="00F31693">
              <w:rPr>
                <w:rFonts w:cs="Arial"/>
              </w:rPr>
              <w:t>$124,810,031.82</w:t>
            </w:r>
          </w:p>
        </w:tc>
        <w:tc>
          <w:tcPr>
            <w:tcW w:w="1283"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hideMark/>
          </w:tcPr>
          <w:p w14:paraId="7F917011" w14:textId="77777777" w:rsidR="00DB759E" w:rsidRPr="00F31693" w:rsidRDefault="00DB759E" w:rsidP="009B071E">
            <w:pPr>
              <w:jc w:val="center"/>
              <w:rPr>
                <w:rFonts w:cs="Arial"/>
              </w:rPr>
            </w:pPr>
            <w:r w:rsidRPr="00F31693">
              <w:rPr>
                <w:rFonts w:cs="Arial"/>
              </w:rPr>
              <w:t>20.29%</w:t>
            </w:r>
          </w:p>
        </w:tc>
      </w:tr>
      <w:tr w:rsidR="00DB759E" w:rsidRPr="00F31693" w14:paraId="559A7175" w14:textId="77777777" w:rsidTr="009B071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hideMark/>
          </w:tcPr>
          <w:p w14:paraId="5619D631" w14:textId="77777777" w:rsidR="00DB759E" w:rsidRPr="00F31693" w:rsidRDefault="00DB759E" w:rsidP="009B071E">
            <w:pPr>
              <w:jc w:val="center"/>
              <w:rPr>
                <w:rFonts w:cs="Arial"/>
              </w:rPr>
            </w:pPr>
            <w:r w:rsidRPr="00F31693">
              <w:rPr>
                <w:rFonts w:cs="Arial"/>
              </w:rPr>
              <w:t>Totals:</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14:paraId="383AEC92" w14:textId="77777777" w:rsidR="00DB759E" w:rsidRPr="00F31693" w:rsidRDefault="00DB759E" w:rsidP="009B071E">
            <w:pPr>
              <w:jc w:val="center"/>
              <w:rPr>
                <w:rFonts w:cs="Arial"/>
                <w:color w:val="000000"/>
              </w:rPr>
            </w:pPr>
            <w:r w:rsidRPr="00F31693">
              <w:rPr>
                <w:rFonts w:cs="Arial"/>
                <w:color w:val="000000"/>
              </w:rPr>
              <w:t>$807,905,961.56</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14:paraId="47925D8D" w14:textId="77777777" w:rsidR="00DB759E" w:rsidRPr="00F31693" w:rsidRDefault="00DB759E" w:rsidP="009B071E">
            <w:pPr>
              <w:jc w:val="center"/>
              <w:rPr>
                <w:rFonts w:cs="Arial"/>
                <w:color w:val="000000"/>
              </w:rPr>
            </w:pPr>
            <w:r w:rsidRPr="00F31693">
              <w:rPr>
                <w:rFonts w:cs="Arial"/>
                <w:color w:val="000000"/>
              </w:rPr>
              <w:t>$668,466,235.92</w:t>
            </w:r>
          </w:p>
        </w:tc>
        <w:tc>
          <w:tcPr>
            <w:tcW w:w="0" w:type="auto"/>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14:paraId="551BD31F" w14:textId="77777777" w:rsidR="00DB759E" w:rsidRPr="00F31693" w:rsidRDefault="00DB759E" w:rsidP="009B071E">
            <w:pPr>
              <w:jc w:val="center"/>
              <w:rPr>
                <w:rFonts w:cs="Arial"/>
                <w:color w:val="000000"/>
              </w:rPr>
            </w:pPr>
            <w:r w:rsidRPr="00F31693">
              <w:rPr>
                <w:rFonts w:cs="Arial"/>
                <w:color w:val="000000"/>
              </w:rPr>
              <w:t>$139,439,725.64</w:t>
            </w:r>
          </w:p>
        </w:tc>
        <w:tc>
          <w:tcPr>
            <w:tcW w:w="1283"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bottom"/>
            <w:hideMark/>
          </w:tcPr>
          <w:p w14:paraId="277F317E" w14:textId="77777777" w:rsidR="00DB759E" w:rsidRPr="00F31693" w:rsidRDefault="00DB759E" w:rsidP="009B071E">
            <w:pPr>
              <w:jc w:val="center"/>
              <w:rPr>
                <w:rFonts w:cs="Arial"/>
                <w:color w:val="000000"/>
              </w:rPr>
            </w:pPr>
            <w:r w:rsidRPr="00F31693">
              <w:rPr>
                <w:rFonts w:cs="Arial"/>
                <w:color w:val="000000"/>
              </w:rPr>
              <w:t>20.86%</w:t>
            </w:r>
          </w:p>
        </w:tc>
      </w:tr>
    </w:tbl>
    <w:p w14:paraId="20FF88AC" w14:textId="77777777" w:rsidR="00DB759E" w:rsidRPr="00F31693" w:rsidRDefault="00DB759E" w:rsidP="00DB759E">
      <w:pPr>
        <w:pStyle w:val="NoSpacing"/>
      </w:pPr>
    </w:p>
    <w:p w14:paraId="062AE8EF" w14:textId="77777777" w:rsidR="00DB759E" w:rsidRPr="00F31693" w:rsidRDefault="00DB759E" w:rsidP="00DB759E">
      <w:r w:rsidRPr="00F31693">
        <w:t xml:space="preserve">The Bank does not offer Letters of Credit or any other type of commercial or personal financing programs. </w:t>
      </w:r>
    </w:p>
    <w:p w14:paraId="3736C003" w14:textId="77777777" w:rsidR="00A95E97" w:rsidRPr="00F31693" w:rsidRDefault="00DB759E" w:rsidP="00DB759E">
      <w:r w:rsidRPr="00F31693">
        <w:t>There have not been any changes to the loan programs offered and there are none anticipated for FY 201</w:t>
      </w:r>
      <w:r w:rsidR="00115B2D" w:rsidRPr="00F31693">
        <w:t>7</w:t>
      </w:r>
      <w:r w:rsidRPr="00F31693">
        <w:t xml:space="preserve">. There has been one case of suspicious activity investigated related to loan activity in the past 3 </w:t>
      </w:r>
      <w:r w:rsidR="00A95E97" w:rsidRPr="00F31693">
        <w:t>years and that was for rejected loan application, possible straw buyer. The Risk rating for 201</w:t>
      </w:r>
      <w:r w:rsidR="00115B2D" w:rsidRPr="00F31693">
        <w:t>6</w:t>
      </w:r>
      <w:r w:rsidR="00A95E97" w:rsidRPr="00F31693">
        <w:t xml:space="preserve"> will remain as Moderate.</w:t>
      </w:r>
    </w:p>
    <w:p w14:paraId="4A710CDB" w14:textId="77777777" w:rsidR="00E35273" w:rsidRPr="00F31693" w:rsidRDefault="00A95E97" w:rsidP="00A95E97">
      <w:pPr>
        <w:rPr>
          <w:b/>
        </w:rPr>
      </w:pPr>
      <w:r w:rsidRPr="00F31693">
        <w:rPr>
          <w:b/>
        </w:rPr>
        <w:t>Deposits</w:t>
      </w:r>
    </w:p>
    <w:p w14:paraId="6E06F842" w14:textId="77777777" w:rsidR="00A95E97" w:rsidRPr="00F31693" w:rsidRDefault="00A95E97" w:rsidP="00A95E97">
      <w:r w:rsidRPr="00F31693">
        <w:t>During the assessment p</w:t>
      </w:r>
      <w:r w:rsidR="00C16DE3" w:rsidRPr="00F31693">
        <w:t xml:space="preserve">eriod, core deposits increased </w:t>
      </w:r>
      <w:r w:rsidR="00C16DE3" w:rsidRPr="00F31693">
        <w:rPr>
          <w:rFonts w:eastAsia="Times New Roman" w:cs="Arial"/>
          <w:bCs/>
        </w:rPr>
        <w:t xml:space="preserve">$518,409,485.63 </w:t>
      </w:r>
      <w:r w:rsidRPr="00F31693">
        <w:t xml:space="preserve">or </w:t>
      </w:r>
      <w:r w:rsidR="00C16DE3" w:rsidRPr="00F31693">
        <w:t>29.77</w:t>
      </w:r>
      <w:r w:rsidR="00881A71" w:rsidRPr="00F31693">
        <w:t>%</w:t>
      </w:r>
    </w:p>
    <w:tbl>
      <w:tblPr>
        <w:tblW w:w="9481" w:type="dxa"/>
        <w:tblInd w:w="95" w:type="dxa"/>
        <w:tblLook w:val="04A0" w:firstRow="1" w:lastRow="0" w:firstColumn="1" w:lastColumn="0" w:noHBand="0" w:noVBand="1"/>
      </w:tblPr>
      <w:tblGrid>
        <w:gridCol w:w="433"/>
        <w:gridCol w:w="1093"/>
        <w:gridCol w:w="1963"/>
        <w:gridCol w:w="449"/>
        <w:gridCol w:w="1474"/>
        <w:gridCol w:w="1809"/>
        <w:gridCol w:w="419"/>
        <w:gridCol w:w="1494"/>
        <w:gridCol w:w="368"/>
      </w:tblGrid>
      <w:tr w:rsidR="00EE6D4F" w:rsidRPr="00F31693" w14:paraId="5A6DD04E" w14:textId="77777777" w:rsidTr="004316C4">
        <w:trPr>
          <w:trHeight w:val="195"/>
        </w:trPr>
        <w:tc>
          <w:tcPr>
            <w:tcW w:w="152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C6EFFDA" w14:textId="77777777" w:rsidR="00CA48FD" w:rsidRPr="00F31693" w:rsidRDefault="00CA48FD" w:rsidP="00350746">
            <w:pPr>
              <w:spacing w:after="0" w:line="240" w:lineRule="auto"/>
              <w:jc w:val="center"/>
              <w:rPr>
                <w:rFonts w:eastAsia="Times New Roman" w:cs="Arial"/>
                <w:b/>
                <w:bCs/>
              </w:rPr>
            </w:pPr>
            <w:r w:rsidRPr="00F31693">
              <w:rPr>
                <w:rFonts w:eastAsia="Times New Roman" w:cs="Arial"/>
                <w:b/>
                <w:bCs/>
              </w:rPr>
              <w:t>Account Type</w:t>
            </w:r>
          </w:p>
        </w:tc>
        <w:tc>
          <w:tcPr>
            <w:tcW w:w="1963" w:type="dxa"/>
            <w:tcBorders>
              <w:top w:val="single" w:sz="4" w:space="0" w:color="auto"/>
              <w:left w:val="nil"/>
              <w:bottom w:val="single" w:sz="4" w:space="0" w:color="auto"/>
              <w:right w:val="single" w:sz="4" w:space="0" w:color="auto"/>
            </w:tcBorders>
            <w:shd w:val="clear" w:color="auto" w:fill="auto"/>
            <w:noWrap/>
            <w:vAlign w:val="bottom"/>
            <w:hideMark/>
          </w:tcPr>
          <w:p w14:paraId="695A1C0B" w14:textId="77777777" w:rsidR="00CA48FD" w:rsidRPr="00F31693" w:rsidRDefault="00CA48FD" w:rsidP="004316C4">
            <w:pPr>
              <w:spacing w:after="0" w:line="240" w:lineRule="auto"/>
              <w:jc w:val="center"/>
              <w:rPr>
                <w:rFonts w:eastAsia="Times New Roman" w:cs="Arial"/>
                <w:b/>
                <w:bCs/>
              </w:rPr>
            </w:pPr>
            <w:r w:rsidRPr="00F31693">
              <w:rPr>
                <w:rFonts w:eastAsia="Times New Roman" w:cs="Arial"/>
                <w:b/>
                <w:bCs/>
              </w:rPr>
              <w:t>FY</w:t>
            </w:r>
            <w:r w:rsidR="0059409A">
              <w:rPr>
                <w:rFonts w:eastAsia="Times New Roman" w:cs="Arial"/>
                <w:b/>
                <w:bCs/>
              </w:rPr>
              <w:t>E</w:t>
            </w:r>
            <w:r w:rsidRPr="00F31693">
              <w:rPr>
                <w:rFonts w:eastAsia="Times New Roman" w:cs="Arial"/>
                <w:b/>
                <w:bCs/>
              </w:rPr>
              <w:t xml:space="preserve"> 201</w:t>
            </w:r>
            <w:r w:rsidR="004316C4" w:rsidRPr="00F31693">
              <w:rPr>
                <w:rFonts w:eastAsia="Times New Roman" w:cs="Arial"/>
                <w:b/>
                <w:bCs/>
              </w:rPr>
              <w:t>6</w:t>
            </w:r>
          </w:p>
        </w:tc>
        <w:tc>
          <w:tcPr>
            <w:tcW w:w="1923" w:type="dxa"/>
            <w:gridSpan w:val="2"/>
            <w:tcBorders>
              <w:top w:val="single" w:sz="4" w:space="0" w:color="auto"/>
              <w:left w:val="nil"/>
              <w:bottom w:val="single" w:sz="4" w:space="0" w:color="auto"/>
              <w:right w:val="single" w:sz="4" w:space="0" w:color="auto"/>
            </w:tcBorders>
            <w:shd w:val="clear" w:color="auto" w:fill="auto"/>
            <w:noWrap/>
            <w:vAlign w:val="bottom"/>
            <w:hideMark/>
          </w:tcPr>
          <w:p w14:paraId="40F2C7A2" w14:textId="77777777" w:rsidR="00CA48FD" w:rsidRPr="00F31693" w:rsidRDefault="00CA48FD" w:rsidP="004316C4">
            <w:pPr>
              <w:spacing w:after="0" w:line="240" w:lineRule="auto"/>
              <w:jc w:val="center"/>
              <w:rPr>
                <w:rFonts w:eastAsia="Times New Roman" w:cs="Arial"/>
                <w:b/>
                <w:bCs/>
              </w:rPr>
            </w:pPr>
            <w:r w:rsidRPr="00F31693">
              <w:rPr>
                <w:rFonts w:eastAsia="Times New Roman" w:cs="Arial"/>
                <w:b/>
                <w:bCs/>
              </w:rPr>
              <w:t>FY</w:t>
            </w:r>
            <w:r w:rsidR="0059409A">
              <w:rPr>
                <w:rFonts w:eastAsia="Times New Roman" w:cs="Arial"/>
                <w:b/>
                <w:bCs/>
              </w:rPr>
              <w:t>E</w:t>
            </w:r>
            <w:r w:rsidRPr="00F31693">
              <w:rPr>
                <w:rFonts w:eastAsia="Times New Roman" w:cs="Arial"/>
                <w:b/>
                <w:bCs/>
              </w:rPr>
              <w:t xml:space="preserve"> 201</w:t>
            </w:r>
            <w:r w:rsidR="004316C4" w:rsidRPr="00F31693">
              <w:rPr>
                <w:rFonts w:eastAsia="Times New Roman" w:cs="Arial"/>
                <w:b/>
                <w:bCs/>
              </w:rPr>
              <w:t>5</w:t>
            </w:r>
          </w:p>
        </w:tc>
        <w:tc>
          <w:tcPr>
            <w:tcW w:w="1809" w:type="dxa"/>
            <w:tcBorders>
              <w:top w:val="single" w:sz="4" w:space="0" w:color="auto"/>
              <w:left w:val="nil"/>
              <w:bottom w:val="single" w:sz="4" w:space="0" w:color="auto"/>
              <w:right w:val="single" w:sz="4" w:space="0" w:color="auto"/>
            </w:tcBorders>
            <w:shd w:val="clear" w:color="auto" w:fill="auto"/>
            <w:noWrap/>
            <w:vAlign w:val="bottom"/>
            <w:hideMark/>
          </w:tcPr>
          <w:p w14:paraId="3CE1726F" w14:textId="77777777" w:rsidR="00CA48FD" w:rsidRPr="00F31693" w:rsidRDefault="00CA48FD" w:rsidP="00350746">
            <w:pPr>
              <w:spacing w:after="0" w:line="240" w:lineRule="auto"/>
              <w:jc w:val="center"/>
              <w:rPr>
                <w:rFonts w:eastAsia="Times New Roman" w:cs="Arial"/>
                <w:b/>
                <w:bCs/>
              </w:rPr>
            </w:pPr>
            <w:r w:rsidRPr="00F31693">
              <w:rPr>
                <w:rFonts w:eastAsia="Times New Roman" w:cs="Arial"/>
                <w:b/>
                <w:bCs/>
              </w:rPr>
              <w:t>Difference</w:t>
            </w:r>
          </w:p>
        </w:tc>
        <w:tc>
          <w:tcPr>
            <w:tcW w:w="18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FEFEB56" w14:textId="77777777" w:rsidR="00CA48FD" w:rsidRPr="00F31693" w:rsidRDefault="00CA48FD" w:rsidP="00350746">
            <w:pPr>
              <w:spacing w:after="0" w:line="240" w:lineRule="auto"/>
              <w:jc w:val="center"/>
              <w:rPr>
                <w:rFonts w:eastAsia="Times New Roman" w:cs="Arial"/>
                <w:b/>
                <w:bCs/>
              </w:rPr>
            </w:pPr>
            <w:r w:rsidRPr="00F31693">
              <w:rPr>
                <w:rFonts w:eastAsia="Times New Roman" w:cs="Arial"/>
                <w:b/>
                <w:bCs/>
              </w:rPr>
              <w:t>% Increase/Decrease</w:t>
            </w:r>
          </w:p>
        </w:tc>
        <w:tc>
          <w:tcPr>
            <w:tcW w:w="368" w:type="dxa"/>
            <w:tcBorders>
              <w:top w:val="nil"/>
              <w:left w:val="nil"/>
              <w:bottom w:val="nil"/>
              <w:right w:val="nil"/>
            </w:tcBorders>
            <w:shd w:val="clear" w:color="auto" w:fill="auto"/>
            <w:noWrap/>
            <w:vAlign w:val="bottom"/>
            <w:hideMark/>
          </w:tcPr>
          <w:p w14:paraId="22240202" w14:textId="77777777" w:rsidR="00CA48FD" w:rsidRPr="00F31693" w:rsidRDefault="00CA48FD" w:rsidP="00CA48FD">
            <w:pPr>
              <w:spacing w:after="0" w:line="240" w:lineRule="auto"/>
              <w:jc w:val="center"/>
              <w:rPr>
                <w:rFonts w:eastAsia="Times New Roman" w:cs="Arial"/>
              </w:rPr>
            </w:pPr>
          </w:p>
        </w:tc>
      </w:tr>
      <w:tr w:rsidR="00EE6D4F" w:rsidRPr="00F31693" w14:paraId="0E79A3DC" w14:textId="77777777" w:rsidTr="004316C4">
        <w:trPr>
          <w:trHeight w:val="195"/>
        </w:trPr>
        <w:tc>
          <w:tcPr>
            <w:tcW w:w="15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D2869" w14:textId="77777777" w:rsidR="00CA48FD" w:rsidRPr="00F31693" w:rsidRDefault="00CA48FD" w:rsidP="00350746">
            <w:pPr>
              <w:spacing w:after="0" w:line="240" w:lineRule="auto"/>
              <w:jc w:val="center"/>
              <w:rPr>
                <w:rFonts w:eastAsia="Times New Roman" w:cs="Arial"/>
                <w:bCs/>
              </w:rPr>
            </w:pPr>
            <w:r w:rsidRPr="00F31693">
              <w:rPr>
                <w:rFonts w:eastAsia="Times New Roman" w:cs="Arial"/>
                <w:bCs/>
              </w:rPr>
              <w:t>Savings</w:t>
            </w:r>
          </w:p>
        </w:tc>
        <w:tc>
          <w:tcPr>
            <w:tcW w:w="1963" w:type="dxa"/>
            <w:tcBorders>
              <w:top w:val="nil"/>
              <w:left w:val="nil"/>
              <w:bottom w:val="single" w:sz="4" w:space="0" w:color="auto"/>
              <w:right w:val="single" w:sz="4" w:space="0" w:color="auto"/>
            </w:tcBorders>
            <w:shd w:val="clear" w:color="auto" w:fill="auto"/>
            <w:noWrap/>
            <w:vAlign w:val="bottom"/>
            <w:hideMark/>
          </w:tcPr>
          <w:p w14:paraId="5C642972" w14:textId="77777777" w:rsidR="00CA48FD" w:rsidRPr="00F31693" w:rsidRDefault="004316C4" w:rsidP="00350746">
            <w:pPr>
              <w:spacing w:after="0" w:line="240" w:lineRule="auto"/>
              <w:jc w:val="center"/>
              <w:rPr>
                <w:rFonts w:eastAsia="Times New Roman" w:cs="Arial"/>
              </w:rPr>
            </w:pPr>
            <w:r w:rsidRPr="00F31693">
              <w:rPr>
                <w:rFonts w:eastAsia="Times New Roman" w:cs="Arial"/>
              </w:rPr>
              <w:t>$165,623,337.00</w:t>
            </w:r>
          </w:p>
        </w:tc>
        <w:tc>
          <w:tcPr>
            <w:tcW w:w="1923" w:type="dxa"/>
            <w:gridSpan w:val="2"/>
            <w:tcBorders>
              <w:top w:val="single" w:sz="4" w:space="0" w:color="auto"/>
              <w:left w:val="nil"/>
              <w:bottom w:val="single" w:sz="4" w:space="0" w:color="auto"/>
              <w:right w:val="single" w:sz="4" w:space="0" w:color="auto"/>
            </w:tcBorders>
            <w:shd w:val="clear" w:color="auto" w:fill="auto"/>
            <w:noWrap/>
            <w:vAlign w:val="bottom"/>
            <w:hideMark/>
          </w:tcPr>
          <w:p w14:paraId="0996EA6F" w14:textId="77777777" w:rsidR="00CA48FD" w:rsidRPr="00F31693" w:rsidRDefault="004316C4" w:rsidP="00350746">
            <w:pPr>
              <w:spacing w:after="0" w:line="240" w:lineRule="auto"/>
              <w:jc w:val="center"/>
              <w:rPr>
                <w:rFonts w:eastAsia="Times New Roman" w:cs="Arial"/>
              </w:rPr>
            </w:pPr>
            <w:r w:rsidRPr="00F31693">
              <w:rPr>
                <w:rFonts w:eastAsia="Times New Roman" w:cs="Arial"/>
              </w:rPr>
              <w:t>$160,020,589.13</w:t>
            </w:r>
          </w:p>
        </w:tc>
        <w:tc>
          <w:tcPr>
            <w:tcW w:w="1809" w:type="dxa"/>
            <w:tcBorders>
              <w:top w:val="nil"/>
              <w:left w:val="nil"/>
              <w:bottom w:val="single" w:sz="4" w:space="0" w:color="auto"/>
              <w:right w:val="single" w:sz="4" w:space="0" w:color="auto"/>
            </w:tcBorders>
            <w:shd w:val="clear" w:color="auto" w:fill="auto"/>
            <w:noWrap/>
            <w:vAlign w:val="bottom"/>
            <w:hideMark/>
          </w:tcPr>
          <w:p w14:paraId="7DAC6D00" w14:textId="77777777" w:rsidR="00CA48FD" w:rsidRPr="00F31693" w:rsidRDefault="004316C4" w:rsidP="00350746">
            <w:pPr>
              <w:spacing w:after="0" w:line="240" w:lineRule="auto"/>
              <w:jc w:val="center"/>
              <w:rPr>
                <w:rFonts w:eastAsia="Times New Roman" w:cs="Arial"/>
              </w:rPr>
            </w:pPr>
            <w:r w:rsidRPr="00F31693">
              <w:rPr>
                <w:rFonts w:eastAsia="Times New Roman" w:cs="Arial"/>
              </w:rPr>
              <w:t>$5,602,747.87</w:t>
            </w:r>
          </w:p>
        </w:tc>
        <w:tc>
          <w:tcPr>
            <w:tcW w:w="18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DEA08B" w14:textId="77777777" w:rsidR="00CA48FD" w:rsidRPr="00F31693" w:rsidRDefault="004316C4" w:rsidP="00350746">
            <w:pPr>
              <w:spacing w:after="0" w:line="240" w:lineRule="auto"/>
              <w:jc w:val="center"/>
              <w:rPr>
                <w:rFonts w:eastAsia="Times New Roman" w:cs="Arial"/>
              </w:rPr>
            </w:pPr>
            <w:r w:rsidRPr="00F31693">
              <w:rPr>
                <w:rFonts w:eastAsia="Times New Roman" w:cs="Arial"/>
              </w:rPr>
              <w:t>3.5%</w:t>
            </w:r>
          </w:p>
        </w:tc>
        <w:tc>
          <w:tcPr>
            <w:tcW w:w="368" w:type="dxa"/>
            <w:tcBorders>
              <w:top w:val="nil"/>
              <w:left w:val="nil"/>
              <w:bottom w:val="nil"/>
              <w:right w:val="nil"/>
            </w:tcBorders>
            <w:shd w:val="clear" w:color="auto" w:fill="auto"/>
            <w:noWrap/>
            <w:vAlign w:val="bottom"/>
            <w:hideMark/>
          </w:tcPr>
          <w:p w14:paraId="29C1E4F7" w14:textId="77777777" w:rsidR="00CA48FD" w:rsidRPr="00F31693" w:rsidRDefault="00CA48FD" w:rsidP="00CA48FD">
            <w:pPr>
              <w:spacing w:after="0" w:line="240" w:lineRule="auto"/>
              <w:jc w:val="center"/>
              <w:rPr>
                <w:rFonts w:eastAsia="Times New Roman" w:cs="Arial"/>
              </w:rPr>
            </w:pPr>
          </w:p>
        </w:tc>
      </w:tr>
      <w:tr w:rsidR="00EE6D4F" w:rsidRPr="00F31693" w14:paraId="27C4DE32" w14:textId="77777777" w:rsidTr="004316C4">
        <w:trPr>
          <w:trHeight w:val="195"/>
        </w:trPr>
        <w:tc>
          <w:tcPr>
            <w:tcW w:w="15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FF760" w14:textId="77777777" w:rsidR="00CA48FD" w:rsidRPr="00F31693" w:rsidRDefault="00CA48FD" w:rsidP="00350746">
            <w:pPr>
              <w:spacing w:after="0" w:line="240" w:lineRule="auto"/>
              <w:jc w:val="center"/>
              <w:rPr>
                <w:rFonts w:eastAsia="Times New Roman" w:cs="Arial"/>
                <w:bCs/>
              </w:rPr>
            </w:pPr>
            <w:r w:rsidRPr="00F31693">
              <w:rPr>
                <w:rFonts w:eastAsia="Times New Roman" w:cs="Arial"/>
                <w:bCs/>
              </w:rPr>
              <w:t>CDs and IRAs</w:t>
            </w:r>
          </w:p>
        </w:tc>
        <w:tc>
          <w:tcPr>
            <w:tcW w:w="1963" w:type="dxa"/>
            <w:tcBorders>
              <w:top w:val="nil"/>
              <w:left w:val="nil"/>
              <w:bottom w:val="single" w:sz="4" w:space="0" w:color="auto"/>
              <w:right w:val="single" w:sz="4" w:space="0" w:color="auto"/>
            </w:tcBorders>
            <w:shd w:val="clear" w:color="auto" w:fill="auto"/>
            <w:noWrap/>
            <w:vAlign w:val="bottom"/>
            <w:hideMark/>
          </w:tcPr>
          <w:p w14:paraId="0D121085" w14:textId="77777777" w:rsidR="00CA48FD" w:rsidRPr="00F31693" w:rsidRDefault="004316C4" w:rsidP="00350746">
            <w:pPr>
              <w:spacing w:after="0" w:line="240" w:lineRule="auto"/>
              <w:jc w:val="center"/>
              <w:rPr>
                <w:rFonts w:eastAsia="Times New Roman" w:cs="Arial"/>
              </w:rPr>
            </w:pPr>
            <w:r w:rsidRPr="00F31693">
              <w:rPr>
                <w:rFonts w:eastAsia="Times New Roman" w:cs="Arial"/>
              </w:rPr>
              <w:t>$959,534,062.00</w:t>
            </w:r>
          </w:p>
        </w:tc>
        <w:tc>
          <w:tcPr>
            <w:tcW w:w="1923" w:type="dxa"/>
            <w:gridSpan w:val="2"/>
            <w:tcBorders>
              <w:top w:val="single" w:sz="4" w:space="0" w:color="auto"/>
              <w:left w:val="nil"/>
              <w:bottom w:val="single" w:sz="4" w:space="0" w:color="auto"/>
              <w:right w:val="single" w:sz="4" w:space="0" w:color="auto"/>
            </w:tcBorders>
            <w:shd w:val="clear" w:color="auto" w:fill="auto"/>
            <w:noWrap/>
            <w:vAlign w:val="bottom"/>
            <w:hideMark/>
          </w:tcPr>
          <w:p w14:paraId="09106E80" w14:textId="77777777" w:rsidR="00CA48FD" w:rsidRPr="00F31693" w:rsidRDefault="004316C4" w:rsidP="00350746">
            <w:pPr>
              <w:spacing w:after="0" w:line="240" w:lineRule="auto"/>
              <w:jc w:val="center"/>
              <w:rPr>
                <w:rFonts w:eastAsia="Times New Roman" w:cs="Arial"/>
              </w:rPr>
            </w:pPr>
            <w:r w:rsidRPr="00F31693">
              <w:rPr>
                <w:rFonts w:eastAsia="Times New Roman" w:cs="Arial"/>
              </w:rPr>
              <w:t>$761,566,721.75</w:t>
            </w:r>
          </w:p>
        </w:tc>
        <w:tc>
          <w:tcPr>
            <w:tcW w:w="1809" w:type="dxa"/>
            <w:tcBorders>
              <w:top w:val="nil"/>
              <w:left w:val="nil"/>
              <w:bottom w:val="single" w:sz="4" w:space="0" w:color="auto"/>
              <w:right w:val="single" w:sz="4" w:space="0" w:color="auto"/>
            </w:tcBorders>
            <w:shd w:val="clear" w:color="auto" w:fill="auto"/>
            <w:noWrap/>
            <w:vAlign w:val="bottom"/>
            <w:hideMark/>
          </w:tcPr>
          <w:p w14:paraId="566BD01B" w14:textId="77777777" w:rsidR="00CA48FD" w:rsidRPr="00F31693" w:rsidRDefault="004316C4" w:rsidP="00350746">
            <w:pPr>
              <w:spacing w:after="0" w:line="240" w:lineRule="auto"/>
              <w:jc w:val="center"/>
              <w:rPr>
                <w:rFonts w:eastAsia="Times New Roman" w:cs="Arial"/>
              </w:rPr>
            </w:pPr>
            <w:r w:rsidRPr="00F31693">
              <w:rPr>
                <w:rFonts w:eastAsia="Times New Roman" w:cs="Arial"/>
              </w:rPr>
              <w:t>$197,967,340.25</w:t>
            </w:r>
          </w:p>
        </w:tc>
        <w:tc>
          <w:tcPr>
            <w:tcW w:w="18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011B9113" w14:textId="77777777" w:rsidR="00CA48FD" w:rsidRPr="00F31693" w:rsidRDefault="004316C4" w:rsidP="004316C4">
            <w:pPr>
              <w:spacing w:after="0" w:line="240" w:lineRule="auto"/>
              <w:jc w:val="center"/>
              <w:rPr>
                <w:rFonts w:eastAsia="Times New Roman" w:cs="Arial"/>
              </w:rPr>
            </w:pPr>
            <w:r w:rsidRPr="00F31693">
              <w:rPr>
                <w:rFonts w:eastAsia="Times New Roman" w:cs="Arial"/>
              </w:rPr>
              <w:t>25.99%</w:t>
            </w:r>
          </w:p>
        </w:tc>
        <w:tc>
          <w:tcPr>
            <w:tcW w:w="368" w:type="dxa"/>
            <w:tcBorders>
              <w:top w:val="nil"/>
              <w:left w:val="nil"/>
              <w:bottom w:val="nil"/>
              <w:right w:val="nil"/>
            </w:tcBorders>
            <w:shd w:val="clear" w:color="auto" w:fill="auto"/>
            <w:noWrap/>
            <w:vAlign w:val="bottom"/>
            <w:hideMark/>
          </w:tcPr>
          <w:p w14:paraId="199943A5" w14:textId="77777777" w:rsidR="00CA48FD" w:rsidRPr="00F31693" w:rsidRDefault="00CA48FD" w:rsidP="00CA48FD">
            <w:pPr>
              <w:spacing w:after="0" w:line="240" w:lineRule="auto"/>
              <w:jc w:val="center"/>
              <w:rPr>
                <w:rFonts w:eastAsia="Times New Roman" w:cs="Arial"/>
              </w:rPr>
            </w:pPr>
          </w:p>
        </w:tc>
      </w:tr>
      <w:tr w:rsidR="00EE6D4F" w:rsidRPr="00F31693" w14:paraId="5B83501F" w14:textId="77777777" w:rsidTr="004316C4">
        <w:trPr>
          <w:trHeight w:val="195"/>
        </w:trPr>
        <w:tc>
          <w:tcPr>
            <w:tcW w:w="15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CED8E" w14:textId="77777777" w:rsidR="00CA48FD" w:rsidRPr="00F31693" w:rsidRDefault="00CA48FD" w:rsidP="00350746">
            <w:pPr>
              <w:spacing w:after="0" w:line="240" w:lineRule="auto"/>
              <w:jc w:val="center"/>
              <w:rPr>
                <w:rFonts w:eastAsia="Times New Roman" w:cs="Arial"/>
                <w:bCs/>
              </w:rPr>
            </w:pPr>
            <w:r w:rsidRPr="00F31693">
              <w:rPr>
                <w:rFonts w:eastAsia="Times New Roman" w:cs="Arial"/>
                <w:bCs/>
              </w:rPr>
              <w:t>Personal DDA</w:t>
            </w:r>
          </w:p>
        </w:tc>
        <w:tc>
          <w:tcPr>
            <w:tcW w:w="1963" w:type="dxa"/>
            <w:tcBorders>
              <w:top w:val="nil"/>
              <w:left w:val="nil"/>
              <w:bottom w:val="single" w:sz="4" w:space="0" w:color="auto"/>
              <w:right w:val="single" w:sz="4" w:space="0" w:color="auto"/>
            </w:tcBorders>
            <w:shd w:val="clear" w:color="auto" w:fill="auto"/>
            <w:noWrap/>
            <w:vAlign w:val="bottom"/>
            <w:hideMark/>
          </w:tcPr>
          <w:p w14:paraId="27824A6D" w14:textId="77777777" w:rsidR="00CA48FD" w:rsidRPr="00F31693" w:rsidRDefault="004316C4" w:rsidP="00350746">
            <w:pPr>
              <w:spacing w:after="0" w:line="240" w:lineRule="auto"/>
              <w:jc w:val="center"/>
              <w:rPr>
                <w:rFonts w:eastAsia="Times New Roman" w:cs="Arial"/>
              </w:rPr>
            </w:pPr>
            <w:r w:rsidRPr="00F31693">
              <w:rPr>
                <w:rFonts w:eastAsia="Times New Roman" w:cs="Arial"/>
              </w:rPr>
              <w:t>$167,412,615.00</w:t>
            </w:r>
          </w:p>
        </w:tc>
        <w:tc>
          <w:tcPr>
            <w:tcW w:w="1923" w:type="dxa"/>
            <w:gridSpan w:val="2"/>
            <w:tcBorders>
              <w:top w:val="single" w:sz="4" w:space="0" w:color="auto"/>
              <w:left w:val="nil"/>
              <w:bottom w:val="single" w:sz="4" w:space="0" w:color="auto"/>
              <w:right w:val="single" w:sz="4" w:space="0" w:color="auto"/>
            </w:tcBorders>
            <w:shd w:val="clear" w:color="auto" w:fill="auto"/>
            <w:noWrap/>
            <w:vAlign w:val="bottom"/>
            <w:hideMark/>
          </w:tcPr>
          <w:p w14:paraId="4C6DEDB2" w14:textId="77777777" w:rsidR="00CA48FD" w:rsidRPr="00F31693" w:rsidRDefault="004316C4" w:rsidP="00350746">
            <w:pPr>
              <w:spacing w:after="0" w:line="240" w:lineRule="auto"/>
              <w:jc w:val="center"/>
              <w:rPr>
                <w:rFonts w:eastAsia="Times New Roman" w:cs="Arial"/>
              </w:rPr>
            </w:pPr>
            <w:r w:rsidRPr="00F31693">
              <w:rPr>
                <w:rFonts w:eastAsia="Times New Roman" w:cs="Arial"/>
              </w:rPr>
              <w:t>$179,096,031.12</w:t>
            </w:r>
          </w:p>
        </w:tc>
        <w:tc>
          <w:tcPr>
            <w:tcW w:w="1809" w:type="dxa"/>
            <w:tcBorders>
              <w:top w:val="nil"/>
              <w:left w:val="nil"/>
              <w:bottom w:val="single" w:sz="4" w:space="0" w:color="auto"/>
              <w:right w:val="single" w:sz="4" w:space="0" w:color="auto"/>
            </w:tcBorders>
            <w:shd w:val="clear" w:color="auto" w:fill="auto"/>
            <w:noWrap/>
            <w:vAlign w:val="bottom"/>
            <w:hideMark/>
          </w:tcPr>
          <w:p w14:paraId="3044A50D" w14:textId="77777777" w:rsidR="00CA48FD" w:rsidRPr="00F31693" w:rsidRDefault="004316C4" w:rsidP="00350746">
            <w:pPr>
              <w:spacing w:after="0" w:line="240" w:lineRule="auto"/>
              <w:jc w:val="center"/>
              <w:rPr>
                <w:rFonts w:eastAsia="Times New Roman" w:cs="Arial"/>
              </w:rPr>
            </w:pPr>
            <w:r w:rsidRPr="00F31693">
              <w:rPr>
                <w:rFonts w:eastAsia="Times New Roman" w:cs="Arial"/>
              </w:rPr>
              <w:t>-$11,683,416.12</w:t>
            </w:r>
          </w:p>
        </w:tc>
        <w:tc>
          <w:tcPr>
            <w:tcW w:w="18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47C9FF7" w14:textId="77777777" w:rsidR="00CA48FD" w:rsidRPr="00F31693" w:rsidRDefault="004316C4" w:rsidP="00350746">
            <w:pPr>
              <w:spacing w:after="0" w:line="240" w:lineRule="auto"/>
              <w:jc w:val="center"/>
              <w:rPr>
                <w:rFonts w:eastAsia="Times New Roman" w:cs="Arial"/>
              </w:rPr>
            </w:pPr>
            <w:r w:rsidRPr="00F31693">
              <w:rPr>
                <w:rFonts w:eastAsia="Times New Roman" w:cs="Arial"/>
              </w:rPr>
              <w:t>-6.52%</w:t>
            </w:r>
          </w:p>
        </w:tc>
        <w:tc>
          <w:tcPr>
            <w:tcW w:w="368" w:type="dxa"/>
            <w:tcBorders>
              <w:top w:val="nil"/>
              <w:left w:val="nil"/>
              <w:bottom w:val="nil"/>
              <w:right w:val="nil"/>
            </w:tcBorders>
            <w:shd w:val="clear" w:color="auto" w:fill="auto"/>
            <w:noWrap/>
            <w:vAlign w:val="bottom"/>
            <w:hideMark/>
          </w:tcPr>
          <w:p w14:paraId="4C11A211" w14:textId="77777777" w:rsidR="00CA48FD" w:rsidRPr="00F31693" w:rsidRDefault="00CA48FD" w:rsidP="00CA48FD">
            <w:pPr>
              <w:spacing w:after="0" w:line="240" w:lineRule="auto"/>
              <w:jc w:val="center"/>
              <w:rPr>
                <w:rFonts w:eastAsia="Times New Roman" w:cs="Arial"/>
              </w:rPr>
            </w:pPr>
          </w:p>
        </w:tc>
      </w:tr>
      <w:tr w:rsidR="00EE6D4F" w:rsidRPr="00F31693" w14:paraId="0C9FE434" w14:textId="77777777" w:rsidTr="004316C4">
        <w:trPr>
          <w:trHeight w:val="195"/>
        </w:trPr>
        <w:tc>
          <w:tcPr>
            <w:tcW w:w="15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5AF52" w14:textId="77777777" w:rsidR="00CA48FD" w:rsidRPr="00F31693" w:rsidRDefault="00CA48FD" w:rsidP="00350746">
            <w:pPr>
              <w:spacing w:after="0" w:line="240" w:lineRule="auto"/>
              <w:jc w:val="center"/>
              <w:rPr>
                <w:rFonts w:eastAsia="Times New Roman" w:cs="Arial"/>
                <w:bCs/>
              </w:rPr>
            </w:pPr>
            <w:r w:rsidRPr="00F31693">
              <w:rPr>
                <w:rFonts w:eastAsia="Times New Roman" w:cs="Arial"/>
                <w:bCs/>
              </w:rPr>
              <w:t>Personal MMDA</w:t>
            </w:r>
          </w:p>
        </w:tc>
        <w:tc>
          <w:tcPr>
            <w:tcW w:w="1963" w:type="dxa"/>
            <w:tcBorders>
              <w:top w:val="nil"/>
              <w:left w:val="nil"/>
              <w:bottom w:val="single" w:sz="4" w:space="0" w:color="auto"/>
              <w:right w:val="single" w:sz="4" w:space="0" w:color="auto"/>
            </w:tcBorders>
            <w:shd w:val="clear" w:color="auto" w:fill="auto"/>
            <w:noWrap/>
            <w:vAlign w:val="bottom"/>
            <w:hideMark/>
          </w:tcPr>
          <w:p w14:paraId="0A43B283" w14:textId="77777777" w:rsidR="00CA48FD" w:rsidRPr="00F31693" w:rsidRDefault="004316C4" w:rsidP="00350746">
            <w:pPr>
              <w:spacing w:after="0" w:line="240" w:lineRule="auto"/>
              <w:jc w:val="center"/>
              <w:rPr>
                <w:rFonts w:eastAsia="Times New Roman" w:cs="Arial"/>
              </w:rPr>
            </w:pPr>
            <w:r w:rsidRPr="00F31693">
              <w:rPr>
                <w:rFonts w:eastAsia="Times New Roman" w:cs="Arial"/>
              </w:rPr>
              <w:t>$332,912,175.00</w:t>
            </w:r>
          </w:p>
        </w:tc>
        <w:tc>
          <w:tcPr>
            <w:tcW w:w="1923" w:type="dxa"/>
            <w:gridSpan w:val="2"/>
            <w:tcBorders>
              <w:top w:val="single" w:sz="4" w:space="0" w:color="auto"/>
              <w:left w:val="nil"/>
              <w:bottom w:val="single" w:sz="4" w:space="0" w:color="auto"/>
              <w:right w:val="single" w:sz="4" w:space="0" w:color="auto"/>
            </w:tcBorders>
            <w:shd w:val="clear" w:color="auto" w:fill="auto"/>
            <w:noWrap/>
            <w:vAlign w:val="bottom"/>
            <w:hideMark/>
          </w:tcPr>
          <w:p w14:paraId="6223F745" w14:textId="77777777" w:rsidR="00CA48FD" w:rsidRPr="00F31693" w:rsidRDefault="004316C4" w:rsidP="00350746">
            <w:pPr>
              <w:spacing w:after="0" w:line="240" w:lineRule="auto"/>
              <w:jc w:val="center"/>
              <w:rPr>
                <w:rFonts w:eastAsia="Times New Roman" w:cs="Arial"/>
              </w:rPr>
            </w:pPr>
            <w:r w:rsidRPr="00F31693">
              <w:rPr>
                <w:rFonts w:eastAsia="Times New Roman" w:cs="Arial"/>
              </w:rPr>
              <w:t>$288,950,192.20</w:t>
            </w:r>
          </w:p>
        </w:tc>
        <w:tc>
          <w:tcPr>
            <w:tcW w:w="1809" w:type="dxa"/>
            <w:tcBorders>
              <w:top w:val="nil"/>
              <w:left w:val="nil"/>
              <w:bottom w:val="single" w:sz="4" w:space="0" w:color="auto"/>
              <w:right w:val="single" w:sz="4" w:space="0" w:color="auto"/>
            </w:tcBorders>
            <w:shd w:val="clear" w:color="auto" w:fill="auto"/>
            <w:noWrap/>
            <w:vAlign w:val="bottom"/>
            <w:hideMark/>
          </w:tcPr>
          <w:p w14:paraId="18D20E4D" w14:textId="77777777" w:rsidR="00CA48FD" w:rsidRPr="00F31693" w:rsidRDefault="004316C4" w:rsidP="00350746">
            <w:pPr>
              <w:spacing w:after="0" w:line="240" w:lineRule="auto"/>
              <w:jc w:val="center"/>
              <w:rPr>
                <w:rFonts w:eastAsia="Times New Roman" w:cs="Arial"/>
              </w:rPr>
            </w:pPr>
            <w:r w:rsidRPr="00F31693">
              <w:rPr>
                <w:rFonts w:eastAsia="Times New Roman" w:cs="Arial"/>
              </w:rPr>
              <w:t>$43,961,982.80</w:t>
            </w:r>
          </w:p>
        </w:tc>
        <w:tc>
          <w:tcPr>
            <w:tcW w:w="18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D7B5998" w14:textId="77777777" w:rsidR="00CA48FD" w:rsidRPr="00F31693" w:rsidRDefault="004316C4" w:rsidP="00350746">
            <w:pPr>
              <w:spacing w:after="0" w:line="240" w:lineRule="auto"/>
              <w:jc w:val="center"/>
              <w:rPr>
                <w:rFonts w:eastAsia="Times New Roman" w:cs="Arial"/>
              </w:rPr>
            </w:pPr>
            <w:r w:rsidRPr="00F31693">
              <w:rPr>
                <w:rFonts w:eastAsia="Times New Roman" w:cs="Arial"/>
              </w:rPr>
              <w:t>15.21%</w:t>
            </w:r>
          </w:p>
        </w:tc>
        <w:tc>
          <w:tcPr>
            <w:tcW w:w="368" w:type="dxa"/>
            <w:tcBorders>
              <w:top w:val="nil"/>
              <w:left w:val="nil"/>
              <w:bottom w:val="nil"/>
              <w:right w:val="nil"/>
            </w:tcBorders>
            <w:shd w:val="clear" w:color="auto" w:fill="auto"/>
            <w:noWrap/>
            <w:vAlign w:val="bottom"/>
            <w:hideMark/>
          </w:tcPr>
          <w:p w14:paraId="1028E9D9" w14:textId="77777777" w:rsidR="00CA48FD" w:rsidRPr="00F31693" w:rsidRDefault="00CA48FD" w:rsidP="00CA48FD">
            <w:pPr>
              <w:spacing w:after="0" w:line="240" w:lineRule="auto"/>
              <w:jc w:val="center"/>
              <w:rPr>
                <w:rFonts w:eastAsia="Times New Roman" w:cs="Arial"/>
              </w:rPr>
            </w:pPr>
          </w:p>
        </w:tc>
      </w:tr>
      <w:tr w:rsidR="00EE6D4F" w:rsidRPr="00F31693" w14:paraId="071BB22F" w14:textId="77777777" w:rsidTr="004316C4">
        <w:trPr>
          <w:trHeight w:val="195"/>
        </w:trPr>
        <w:tc>
          <w:tcPr>
            <w:tcW w:w="15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26578" w14:textId="77777777" w:rsidR="00CA48FD" w:rsidRPr="00F31693" w:rsidRDefault="00CA48FD" w:rsidP="00350746">
            <w:pPr>
              <w:spacing w:after="0" w:line="240" w:lineRule="auto"/>
              <w:jc w:val="center"/>
              <w:rPr>
                <w:rFonts w:eastAsia="Times New Roman" w:cs="Arial"/>
                <w:bCs/>
              </w:rPr>
            </w:pPr>
            <w:r w:rsidRPr="00F31693">
              <w:rPr>
                <w:rFonts w:eastAsia="Times New Roman" w:cs="Arial"/>
                <w:bCs/>
              </w:rPr>
              <w:t>Business DDA</w:t>
            </w:r>
          </w:p>
        </w:tc>
        <w:tc>
          <w:tcPr>
            <w:tcW w:w="1963" w:type="dxa"/>
            <w:tcBorders>
              <w:top w:val="nil"/>
              <w:left w:val="nil"/>
              <w:bottom w:val="single" w:sz="4" w:space="0" w:color="auto"/>
              <w:right w:val="single" w:sz="4" w:space="0" w:color="auto"/>
            </w:tcBorders>
            <w:shd w:val="clear" w:color="auto" w:fill="auto"/>
            <w:noWrap/>
            <w:vAlign w:val="bottom"/>
            <w:hideMark/>
          </w:tcPr>
          <w:p w14:paraId="0FFBB0D8" w14:textId="77777777" w:rsidR="00CA48FD" w:rsidRPr="00F31693" w:rsidRDefault="004316C4" w:rsidP="00350746">
            <w:pPr>
              <w:spacing w:after="0" w:line="240" w:lineRule="auto"/>
              <w:jc w:val="center"/>
              <w:rPr>
                <w:rFonts w:eastAsia="Times New Roman" w:cs="Arial"/>
              </w:rPr>
            </w:pPr>
            <w:r w:rsidRPr="00F31693">
              <w:rPr>
                <w:rFonts w:eastAsia="Times New Roman" w:cs="Arial"/>
              </w:rPr>
              <w:t>$285,719,693.00</w:t>
            </w:r>
          </w:p>
        </w:tc>
        <w:tc>
          <w:tcPr>
            <w:tcW w:w="1923" w:type="dxa"/>
            <w:gridSpan w:val="2"/>
            <w:tcBorders>
              <w:top w:val="single" w:sz="4" w:space="0" w:color="auto"/>
              <w:left w:val="nil"/>
              <w:bottom w:val="single" w:sz="4" w:space="0" w:color="auto"/>
              <w:right w:val="single" w:sz="4" w:space="0" w:color="auto"/>
            </w:tcBorders>
            <w:shd w:val="clear" w:color="auto" w:fill="auto"/>
            <w:noWrap/>
            <w:vAlign w:val="bottom"/>
            <w:hideMark/>
          </w:tcPr>
          <w:p w14:paraId="45BC18DF" w14:textId="77777777" w:rsidR="00CA48FD" w:rsidRPr="00F31693" w:rsidRDefault="004316C4" w:rsidP="00350746">
            <w:pPr>
              <w:spacing w:after="0" w:line="240" w:lineRule="auto"/>
              <w:jc w:val="center"/>
              <w:rPr>
                <w:rFonts w:eastAsia="Times New Roman" w:cs="Arial"/>
              </w:rPr>
            </w:pPr>
            <w:r w:rsidRPr="00F31693">
              <w:rPr>
                <w:rFonts w:eastAsia="Times New Roman" w:cs="Arial"/>
              </w:rPr>
              <w:t>$243,808,181.95</w:t>
            </w:r>
          </w:p>
        </w:tc>
        <w:tc>
          <w:tcPr>
            <w:tcW w:w="1809" w:type="dxa"/>
            <w:tcBorders>
              <w:top w:val="nil"/>
              <w:left w:val="nil"/>
              <w:bottom w:val="single" w:sz="4" w:space="0" w:color="auto"/>
              <w:right w:val="single" w:sz="4" w:space="0" w:color="auto"/>
            </w:tcBorders>
            <w:shd w:val="clear" w:color="auto" w:fill="auto"/>
            <w:noWrap/>
            <w:vAlign w:val="bottom"/>
            <w:hideMark/>
          </w:tcPr>
          <w:p w14:paraId="5C130B03" w14:textId="77777777" w:rsidR="00CA48FD" w:rsidRPr="00F31693" w:rsidRDefault="004316C4" w:rsidP="004316C4">
            <w:pPr>
              <w:spacing w:after="0" w:line="240" w:lineRule="auto"/>
              <w:jc w:val="center"/>
              <w:rPr>
                <w:rFonts w:eastAsia="Times New Roman" w:cs="Arial"/>
              </w:rPr>
            </w:pPr>
            <w:r w:rsidRPr="00F31693">
              <w:rPr>
                <w:rFonts w:eastAsia="Times New Roman" w:cs="Arial"/>
              </w:rPr>
              <w:t>$41,911,511.05</w:t>
            </w:r>
          </w:p>
        </w:tc>
        <w:tc>
          <w:tcPr>
            <w:tcW w:w="18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9A506C" w14:textId="77777777" w:rsidR="00CA48FD" w:rsidRPr="00F31693" w:rsidRDefault="004316C4" w:rsidP="00350746">
            <w:pPr>
              <w:spacing w:after="0" w:line="240" w:lineRule="auto"/>
              <w:jc w:val="center"/>
              <w:rPr>
                <w:rFonts w:eastAsia="Times New Roman" w:cs="Arial"/>
              </w:rPr>
            </w:pPr>
            <w:r w:rsidRPr="00F31693">
              <w:rPr>
                <w:rFonts w:eastAsia="Times New Roman" w:cs="Arial"/>
              </w:rPr>
              <w:t>17.19%</w:t>
            </w:r>
          </w:p>
        </w:tc>
        <w:tc>
          <w:tcPr>
            <w:tcW w:w="368" w:type="dxa"/>
            <w:tcBorders>
              <w:top w:val="nil"/>
              <w:left w:val="nil"/>
              <w:bottom w:val="nil"/>
              <w:right w:val="nil"/>
            </w:tcBorders>
            <w:shd w:val="clear" w:color="auto" w:fill="auto"/>
            <w:noWrap/>
            <w:vAlign w:val="bottom"/>
            <w:hideMark/>
          </w:tcPr>
          <w:p w14:paraId="780C335F" w14:textId="77777777" w:rsidR="00CA48FD" w:rsidRPr="00F31693" w:rsidRDefault="00CA48FD" w:rsidP="00CA48FD">
            <w:pPr>
              <w:spacing w:after="0" w:line="240" w:lineRule="auto"/>
              <w:jc w:val="center"/>
              <w:rPr>
                <w:rFonts w:eastAsia="Times New Roman" w:cs="Arial"/>
              </w:rPr>
            </w:pPr>
          </w:p>
        </w:tc>
      </w:tr>
      <w:tr w:rsidR="00EE6D4F" w:rsidRPr="00F31693" w14:paraId="666A3858" w14:textId="77777777" w:rsidTr="004316C4">
        <w:trPr>
          <w:trHeight w:val="195"/>
        </w:trPr>
        <w:tc>
          <w:tcPr>
            <w:tcW w:w="15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F737D" w14:textId="77777777" w:rsidR="00CA48FD" w:rsidRPr="00F31693" w:rsidRDefault="00CA48FD" w:rsidP="00350746">
            <w:pPr>
              <w:spacing w:after="0" w:line="240" w:lineRule="auto"/>
              <w:jc w:val="center"/>
              <w:rPr>
                <w:rFonts w:eastAsia="Times New Roman" w:cs="Arial"/>
                <w:bCs/>
              </w:rPr>
            </w:pPr>
            <w:r w:rsidRPr="00F31693">
              <w:rPr>
                <w:rFonts w:eastAsia="Times New Roman" w:cs="Arial"/>
                <w:bCs/>
              </w:rPr>
              <w:t>Business MMDA</w:t>
            </w:r>
          </w:p>
        </w:tc>
        <w:tc>
          <w:tcPr>
            <w:tcW w:w="1963" w:type="dxa"/>
            <w:tcBorders>
              <w:top w:val="nil"/>
              <w:left w:val="nil"/>
              <w:bottom w:val="single" w:sz="4" w:space="0" w:color="auto"/>
              <w:right w:val="single" w:sz="4" w:space="0" w:color="auto"/>
            </w:tcBorders>
            <w:shd w:val="clear" w:color="auto" w:fill="auto"/>
            <w:noWrap/>
            <w:vAlign w:val="bottom"/>
            <w:hideMark/>
          </w:tcPr>
          <w:p w14:paraId="364E6804" w14:textId="77777777" w:rsidR="00CA48FD" w:rsidRPr="00F31693" w:rsidRDefault="004316C4" w:rsidP="00350746">
            <w:pPr>
              <w:spacing w:after="0" w:line="240" w:lineRule="auto"/>
              <w:jc w:val="center"/>
              <w:rPr>
                <w:rFonts w:eastAsia="Times New Roman" w:cs="Arial"/>
              </w:rPr>
            </w:pPr>
            <w:r w:rsidRPr="00F31693">
              <w:rPr>
                <w:rFonts w:eastAsia="Times New Roman" w:cs="Arial"/>
              </w:rPr>
              <w:t>$348,797,415.00</w:t>
            </w:r>
          </w:p>
        </w:tc>
        <w:tc>
          <w:tcPr>
            <w:tcW w:w="192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8F9209D" w14:textId="77777777" w:rsidR="00CA48FD" w:rsidRPr="00F31693" w:rsidRDefault="004316C4" w:rsidP="00350746">
            <w:pPr>
              <w:spacing w:after="0" w:line="240" w:lineRule="auto"/>
              <w:jc w:val="center"/>
              <w:rPr>
                <w:rFonts w:eastAsia="Times New Roman" w:cs="Arial"/>
              </w:rPr>
            </w:pPr>
            <w:r w:rsidRPr="00F31693">
              <w:rPr>
                <w:rFonts w:eastAsia="Times New Roman" w:cs="Arial"/>
              </w:rPr>
              <w:t>$108,148,095.22</w:t>
            </w:r>
          </w:p>
        </w:tc>
        <w:tc>
          <w:tcPr>
            <w:tcW w:w="1809" w:type="dxa"/>
            <w:tcBorders>
              <w:top w:val="nil"/>
              <w:left w:val="nil"/>
              <w:bottom w:val="single" w:sz="4" w:space="0" w:color="auto"/>
              <w:right w:val="single" w:sz="4" w:space="0" w:color="auto"/>
            </w:tcBorders>
            <w:shd w:val="clear" w:color="auto" w:fill="auto"/>
            <w:noWrap/>
            <w:vAlign w:val="bottom"/>
            <w:hideMark/>
          </w:tcPr>
          <w:p w14:paraId="08652BF6" w14:textId="77777777" w:rsidR="00CA48FD" w:rsidRPr="00F31693" w:rsidRDefault="004316C4" w:rsidP="00350746">
            <w:pPr>
              <w:spacing w:after="0" w:line="240" w:lineRule="auto"/>
              <w:jc w:val="center"/>
              <w:rPr>
                <w:rFonts w:eastAsia="Times New Roman" w:cs="Arial"/>
              </w:rPr>
            </w:pPr>
            <w:r w:rsidRPr="00F31693">
              <w:rPr>
                <w:rFonts w:eastAsia="Times New Roman" w:cs="Arial"/>
              </w:rPr>
              <w:t>$240,649,319</w:t>
            </w:r>
          </w:p>
        </w:tc>
        <w:tc>
          <w:tcPr>
            <w:tcW w:w="18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5438D6" w14:textId="77777777" w:rsidR="00CA48FD" w:rsidRPr="00F31693" w:rsidRDefault="004316C4" w:rsidP="00350746">
            <w:pPr>
              <w:spacing w:after="0" w:line="240" w:lineRule="auto"/>
              <w:jc w:val="center"/>
              <w:rPr>
                <w:rFonts w:eastAsia="Times New Roman" w:cs="Arial"/>
              </w:rPr>
            </w:pPr>
            <w:r w:rsidRPr="00F31693">
              <w:rPr>
                <w:rFonts w:eastAsia="Times New Roman" w:cs="Arial"/>
              </w:rPr>
              <w:t>222.52%</w:t>
            </w:r>
          </w:p>
        </w:tc>
        <w:tc>
          <w:tcPr>
            <w:tcW w:w="368" w:type="dxa"/>
            <w:tcBorders>
              <w:top w:val="nil"/>
              <w:left w:val="nil"/>
              <w:bottom w:val="nil"/>
              <w:right w:val="nil"/>
            </w:tcBorders>
            <w:shd w:val="clear" w:color="auto" w:fill="auto"/>
            <w:noWrap/>
            <w:vAlign w:val="bottom"/>
            <w:hideMark/>
          </w:tcPr>
          <w:p w14:paraId="3615339F" w14:textId="77777777" w:rsidR="00CA48FD" w:rsidRPr="00F31693" w:rsidRDefault="00CA48FD" w:rsidP="00CA48FD">
            <w:pPr>
              <w:spacing w:after="0" w:line="240" w:lineRule="auto"/>
              <w:jc w:val="center"/>
              <w:rPr>
                <w:rFonts w:eastAsia="Times New Roman" w:cs="Arial"/>
              </w:rPr>
            </w:pPr>
          </w:p>
        </w:tc>
      </w:tr>
      <w:tr w:rsidR="00EE6D4F" w:rsidRPr="00F31693" w14:paraId="2D8A6A9A" w14:textId="77777777" w:rsidTr="004316C4">
        <w:trPr>
          <w:trHeight w:val="195"/>
        </w:trPr>
        <w:tc>
          <w:tcPr>
            <w:tcW w:w="1526" w:type="dxa"/>
            <w:gridSpan w:val="2"/>
            <w:tcBorders>
              <w:top w:val="single" w:sz="4" w:space="0" w:color="auto"/>
              <w:left w:val="nil"/>
              <w:bottom w:val="nil"/>
              <w:right w:val="single" w:sz="4" w:space="0" w:color="000000"/>
            </w:tcBorders>
            <w:shd w:val="clear" w:color="auto" w:fill="auto"/>
            <w:noWrap/>
            <w:vAlign w:val="bottom"/>
            <w:hideMark/>
          </w:tcPr>
          <w:p w14:paraId="14008327" w14:textId="77777777" w:rsidR="00CA48FD" w:rsidRPr="00F31693" w:rsidRDefault="00CA48FD" w:rsidP="00350746">
            <w:pPr>
              <w:spacing w:after="0" w:line="240" w:lineRule="auto"/>
              <w:jc w:val="center"/>
              <w:rPr>
                <w:rFonts w:eastAsia="Times New Roman" w:cs="Arial"/>
              </w:rPr>
            </w:pPr>
          </w:p>
        </w:tc>
        <w:tc>
          <w:tcPr>
            <w:tcW w:w="1963" w:type="dxa"/>
            <w:tcBorders>
              <w:top w:val="nil"/>
              <w:left w:val="nil"/>
              <w:bottom w:val="single" w:sz="4" w:space="0" w:color="auto"/>
              <w:right w:val="single" w:sz="4" w:space="0" w:color="auto"/>
            </w:tcBorders>
            <w:shd w:val="clear" w:color="auto" w:fill="auto"/>
            <w:noWrap/>
            <w:vAlign w:val="bottom"/>
            <w:hideMark/>
          </w:tcPr>
          <w:p w14:paraId="72B43A51" w14:textId="77777777" w:rsidR="00CA48FD" w:rsidRPr="00F31693" w:rsidRDefault="00C16DE3" w:rsidP="00350746">
            <w:pPr>
              <w:spacing w:after="0" w:line="240" w:lineRule="auto"/>
              <w:jc w:val="center"/>
              <w:rPr>
                <w:rFonts w:eastAsia="Times New Roman" w:cs="Arial"/>
              </w:rPr>
            </w:pPr>
            <w:r w:rsidRPr="00F31693">
              <w:rPr>
                <w:rFonts w:eastAsia="Times New Roman" w:cs="Arial"/>
              </w:rPr>
              <w:t>$2,259,999,297.00</w:t>
            </w:r>
          </w:p>
        </w:tc>
        <w:tc>
          <w:tcPr>
            <w:tcW w:w="1923"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2E3CC0" w14:textId="77777777" w:rsidR="00CA48FD" w:rsidRPr="00F31693" w:rsidRDefault="004316C4" w:rsidP="00350746">
            <w:pPr>
              <w:spacing w:after="0" w:line="240" w:lineRule="auto"/>
              <w:jc w:val="center"/>
              <w:rPr>
                <w:rFonts w:eastAsia="Times New Roman" w:cs="Arial"/>
              </w:rPr>
            </w:pPr>
            <w:r w:rsidRPr="00F31693">
              <w:rPr>
                <w:rFonts w:eastAsia="Times New Roman" w:cs="Arial"/>
              </w:rPr>
              <w:t>$1,741,589,811.37</w:t>
            </w:r>
          </w:p>
        </w:tc>
        <w:tc>
          <w:tcPr>
            <w:tcW w:w="1809" w:type="dxa"/>
            <w:tcBorders>
              <w:top w:val="nil"/>
              <w:left w:val="nil"/>
              <w:bottom w:val="single" w:sz="4" w:space="0" w:color="auto"/>
              <w:right w:val="single" w:sz="4" w:space="0" w:color="auto"/>
            </w:tcBorders>
            <w:shd w:val="clear" w:color="000000" w:fill="FFFF00"/>
            <w:noWrap/>
            <w:vAlign w:val="bottom"/>
            <w:hideMark/>
          </w:tcPr>
          <w:p w14:paraId="13DD4707" w14:textId="77777777" w:rsidR="00CA48FD" w:rsidRPr="00F31693" w:rsidRDefault="00C16DE3" w:rsidP="00350746">
            <w:pPr>
              <w:spacing w:after="0" w:line="240" w:lineRule="auto"/>
              <w:jc w:val="center"/>
              <w:rPr>
                <w:rFonts w:eastAsia="Times New Roman" w:cs="Arial"/>
                <w:bCs/>
              </w:rPr>
            </w:pPr>
            <w:r w:rsidRPr="00F31693">
              <w:rPr>
                <w:rFonts w:eastAsia="Times New Roman" w:cs="Arial"/>
                <w:bCs/>
              </w:rPr>
              <w:t>$518,409,485.63</w:t>
            </w:r>
          </w:p>
        </w:tc>
        <w:tc>
          <w:tcPr>
            <w:tcW w:w="1892"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AFA90A4" w14:textId="77777777" w:rsidR="00CA48FD" w:rsidRPr="00F31693" w:rsidRDefault="00C16DE3" w:rsidP="00350746">
            <w:pPr>
              <w:spacing w:after="0" w:line="240" w:lineRule="auto"/>
              <w:jc w:val="center"/>
              <w:rPr>
                <w:rFonts w:eastAsia="Times New Roman" w:cs="Arial"/>
              </w:rPr>
            </w:pPr>
            <w:r w:rsidRPr="00F31693">
              <w:rPr>
                <w:rFonts w:eastAsia="Times New Roman" w:cs="Arial"/>
              </w:rPr>
              <w:t>29.77%</w:t>
            </w:r>
          </w:p>
        </w:tc>
        <w:tc>
          <w:tcPr>
            <w:tcW w:w="368" w:type="dxa"/>
            <w:tcBorders>
              <w:top w:val="nil"/>
              <w:left w:val="nil"/>
              <w:bottom w:val="nil"/>
              <w:right w:val="nil"/>
            </w:tcBorders>
            <w:shd w:val="clear" w:color="auto" w:fill="auto"/>
            <w:noWrap/>
            <w:vAlign w:val="bottom"/>
            <w:hideMark/>
          </w:tcPr>
          <w:p w14:paraId="698BA6C9" w14:textId="77777777" w:rsidR="00CA48FD" w:rsidRPr="00F31693" w:rsidRDefault="00CA48FD" w:rsidP="00CA48FD">
            <w:pPr>
              <w:spacing w:after="0" w:line="240" w:lineRule="auto"/>
              <w:jc w:val="center"/>
              <w:rPr>
                <w:rFonts w:eastAsia="Times New Roman" w:cs="Arial"/>
              </w:rPr>
            </w:pPr>
          </w:p>
        </w:tc>
      </w:tr>
      <w:tr w:rsidR="00EE6D4F" w:rsidRPr="00F31693" w14:paraId="21C9114D" w14:textId="77777777" w:rsidTr="004316C4">
        <w:trPr>
          <w:trHeight w:val="195"/>
        </w:trPr>
        <w:tc>
          <w:tcPr>
            <w:tcW w:w="433" w:type="dxa"/>
            <w:tcBorders>
              <w:top w:val="nil"/>
              <w:left w:val="nil"/>
              <w:bottom w:val="nil"/>
              <w:right w:val="nil"/>
            </w:tcBorders>
            <w:shd w:val="clear" w:color="auto" w:fill="auto"/>
            <w:noWrap/>
            <w:vAlign w:val="bottom"/>
            <w:hideMark/>
          </w:tcPr>
          <w:p w14:paraId="322859E8" w14:textId="77777777" w:rsidR="00CA48FD" w:rsidRPr="00F31693" w:rsidRDefault="00CA48FD" w:rsidP="00CA48FD">
            <w:pPr>
              <w:spacing w:after="0" w:line="240" w:lineRule="auto"/>
              <w:jc w:val="center"/>
              <w:rPr>
                <w:rFonts w:eastAsia="Times New Roman" w:cs="Arial"/>
              </w:rPr>
            </w:pPr>
          </w:p>
        </w:tc>
        <w:tc>
          <w:tcPr>
            <w:tcW w:w="1093" w:type="dxa"/>
            <w:tcBorders>
              <w:top w:val="nil"/>
              <w:left w:val="nil"/>
              <w:bottom w:val="nil"/>
              <w:right w:val="nil"/>
            </w:tcBorders>
            <w:shd w:val="clear" w:color="auto" w:fill="auto"/>
            <w:noWrap/>
            <w:vAlign w:val="bottom"/>
            <w:hideMark/>
          </w:tcPr>
          <w:p w14:paraId="510DE974" w14:textId="77777777" w:rsidR="00CA48FD" w:rsidRPr="00F31693" w:rsidRDefault="00CA48FD" w:rsidP="00CA48FD">
            <w:pPr>
              <w:spacing w:after="0" w:line="240" w:lineRule="auto"/>
              <w:jc w:val="center"/>
              <w:rPr>
                <w:rFonts w:eastAsia="Times New Roman" w:cs="Arial"/>
              </w:rPr>
            </w:pPr>
          </w:p>
        </w:tc>
        <w:tc>
          <w:tcPr>
            <w:tcW w:w="1963" w:type="dxa"/>
            <w:tcBorders>
              <w:top w:val="nil"/>
              <w:left w:val="nil"/>
              <w:bottom w:val="nil"/>
              <w:right w:val="nil"/>
            </w:tcBorders>
            <w:shd w:val="clear" w:color="auto" w:fill="auto"/>
            <w:noWrap/>
            <w:vAlign w:val="bottom"/>
            <w:hideMark/>
          </w:tcPr>
          <w:p w14:paraId="1DC1EE9E" w14:textId="77777777" w:rsidR="00CA48FD" w:rsidRPr="00F31693" w:rsidRDefault="00CA48FD" w:rsidP="00CA48FD">
            <w:pPr>
              <w:spacing w:after="0" w:line="240" w:lineRule="auto"/>
              <w:jc w:val="center"/>
              <w:rPr>
                <w:rFonts w:eastAsia="Times New Roman" w:cs="Arial"/>
              </w:rPr>
            </w:pPr>
          </w:p>
        </w:tc>
        <w:tc>
          <w:tcPr>
            <w:tcW w:w="449" w:type="dxa"/>
            <w:tcBorders>
              <w:top w:val="nil"/>
              <w:left w:val="nil"/>
              <w:bottom w:val="nil"/>
              <w:right w:val="nil"/>
            </w:tcBorders>
            <w:shd w:val="clear" w:color="auto" w:fill="auto"/>
            <w:noWrap/>
            <w:vAlign w:val="bottom"/>
            <w:hideMark/>
          </w:tcPr>
          <w:p w14:paraId="33EBF752" w14:textId="77777777" w:rsidR="00CA48FD" w:rsidRPr="00F31693" w:rsidRDefault="00CA48FD" w:rsidP="00CA48FD">
            <w:pPr>
              <w:spacing w:after="0" w:line="240" w:lineRule="auto"/>
              <w:jc w:val="center"/>
              <w:rPr>
                <w:rFonts w:eastAsia="Times New Roman" w:cs="Arial"/>
              </w:rPr>
            </w:pPr>
          </w:p>
        </w:tc>
        <w:tc>
          <w:tcPr>
            <w:tcW w:w="1474" w:type="dxa"/>
            <w:tcBorders>
              <w:top w:val="nil"/>
              <w:left w:val="nil"/>
              <w:bottom w:val="nil"/>
              <w:right w:val="nil"/>
            </w:tcBorders>
            <w:shd w:val="clear" w:color="auto" w:fill="auto"/>
            <w:noWrap/>
            <w:vAlign w:val="bottom"/>
            <w:hideMark/>
          </w:tcPr>
          <w:p w14:paraId="7E7BC90C" w14:textId="77777777" w:rsidR="00CA48FD" w:rsidRPr="00F31693" w:rsidRDefault="00CA48FD" w:rsidP="00CA48FD">
            <w:pPr>
              <w:spacing w:after="0" w:line="240" w:lineRule="auto"/>
              <w:jc w:val="center"/>
              <w:rPr>
                <w:rFonts w:eastAsia="Times New Roman" w:cs="Arial"/>
              </w:rPr>
            </w:pPr>
          </w:p>
        </w:tc>
        <w:tc>
          <w:tcPr>
            <w:tcW w:w="1809" w:type="dxa"/>
            <w:tcBorders>
              <w:top w:val="nil"/>
              <w:left w:val="nil"/>
              <w:bottom w:val="nil"/>
              <w:right w:val="nil"/>
            </w:tcBorders>
            <w:shd w:val="clear" w:color="auto" w:fill="auto"/>
            <w:noWrap/>
            <w:vAlign w:val="bottom"/>
            <w:hideMark/>
          </w:tcPr>
          <w:p w14:paraId="6DDCBD67" w14:textId="77777777" w:rsidR="00CA48FD" w:rsidRPr="00F31693" w:rsidRDefault="00CA48FD" w:rsidP="00CA48FD">
            <w:pPr>
              <w:spacing w:after="0" w:line="240" w:lineRule="auto"/>
              <w:jc w:val="center"/>
              <w:rPr>
                <w:rFonts w:eastAsia="Times New Roman" w:cs="Arial"/>
              </w:rPr>
            </w:pPr>
          </w:p>
        </w:tc>
        <w:tc>
          <w:tcPr>
            <w:tcW w:w="414" w:type="dxa"/>
            <w:tcBorders>
              <w:top w:val="nil"/>
              <w:left w:val="nil"/>
              <w:bottom w:val="nil"/>
              <w:right w:val="nil"/>
            </w:tcBorders>
            <w:shd w:val="clear" w:color="auto" w:fill="auto"/>
            <w:noWrap/>
            <w:vAlign w:val="bottom"/>
            <w:hideMark/>
          </w:tcPr>
          <w:p w14:paraId="485B15EC" w14:textId="77777777" w:rsidR="00CA48FD" w:rsidRPr="00F31693" w:rsidRDefault="00CA48FD" w:rsidP="00CA48FD">
            <w:pPr>
              <w:spacing w:after="0" w:line="240" w:lineRule="auto"/>
              <w:jc w:val="center"/>
              <w:rPr>
                <w:rFonts w:eastAsia="Times New Roman" w:cs="Arial"/>
              </w:rPr>
            </w:pPr>
          </w:p>
        </w:tc>
        <w:tc>
          <w:tcPr>
            <w:tcW w:w="1478" w:type="dxa"/>
            <w:tcBorders>
              <w:top w:val="nil"/>
              <w:left w:val="nil"/>
              <w:bottom w:val="nil"/>
              <w:right w:val="nil"/>
            </w:tcBorders>
            <w:shd w:val="clear" w:color="auto" w:fill="auto"/>
            <w:noWrap/>
            <w:vAlign w:val="bottom"/>
            <w:hideMark/>
          </w:tcPr>
          <w:p w14:paraId="6964E229" w14:textId="77777777" w:rsidR="00CA48FD" w:rsidRPr="00F31693" w:rsidRDefault="00CA48FD" w:rsidP="00CA48FD">
            <w:pPr>
              <w:spacing w:after="0" w:line="240" w:lineRule="auto"/>
              <w:jc w:val="center"/>
              <w:rPr>
                <w:rFonts w:eastAsia="Times New Roman" w:cs="Arial"/>
              </w:rPr>
            </w:pPr>
          </w:p>
        </w:tc>
        <w:tc>
          <w:tcPr>
            <w:tcW w:w="368" w:type="dxa"/>
            <w:tcBorders>
              <w:top w:val="nil"/>
              <w:left w:val="nil"/>
              <w:bottom w:val="nil"/>
              <w:right w:val="nil"/>
            </w:tcBorders>
            <w:shd w:val="clear" w:color="auto" w:fill="auto"/>
            <w:noWrap/>
            <w:vAlign w:val="bottom"/>
            <w:hideMark/>
          </w:tcPr>
          <w:p w14:paraId="5E454085" w14:textId="77777777" w:rsidR="00CA48FD" w:rsidRPr="00F31693" w:rsidRDefault="00CA48FD" w:rsidP="00CA48FD">
            <w:pPr>
              <w:spacing w:after="0" w:line="240" w:lineRule="auto"/>
              <w:jc w:val="center"/>
              <w:rPr>
                <w:rFonts w:eastAsia="Times New Roman" w:cs="Arial"/>
              </w:rPr>
            </w:pPr>
          </w:p>
        </w:tc>
      </w:tr>
    </w:tbl>
    <w:p w14:paraId="39A9686D" w14:textId="77777777" w:rsidR="009A50FF" w:rsidRPr="00F31693" w:rsidRDefault="009A50FF" w:rsidP="004900A7">
      <w:pPr>
        <w:pStyle w:val="NoSpacing"/>
      </w:pPr>
    </w:p>
    <w:p w14:paraId="3317F2F1" w14:textId="77777777" w:rsidR="00A13B1B" w:rsidRPr="00F31693" w:rsidRDefault="00A13B1B" w:rsidP="00C8526E">
      <w:pPr>
        <w:pStyle w:val="NoSpacing"/>
      </w:pPr>
    </w:p>
    <w:p w14:paraId="38CFDD1F" w14:textId="77777777" w:rsidR="00A13B1B" w:rsidRPr="00F31693" w:rsidRDefault="00A13B1B" w:rsidP="00C8526E">
      <w:pPr>
        <w:pStyle w:val="NoSpacing"/>
      </w:pPr>
    </w:p>
    <w:p w14:paraId="1962B260" w14:textId="77777777" w:rsidR="00A13B1B" w:rsidRPr="00F31693" w:rsidRDefault="00A13B1B" w:rsidP="00C8526E">
      <w:pPr>
        <w:pStyle w:val="NoSpacing"/>
      </w:pPr>
    </w:p>
    <w:p w14:paraId="7A61C49E" w14:textId="77777777" w:rsidR="00A13B1B" w:rsidRPr="00F31693" w:rsidRDefault="00A13B1B" w:rsidP="00C8526E">
      <w:pPr>
        <w:pStyle w:val="NoSpacing"/>
      </w:pPr>
    </w:p>
    <w:p w14:paraId="13C0E700" w14:textId="77777777" w:rsidR="00A13B1B" w:rsidRPr="00F31693" w:rsidRDefault="00A13B1B" w:rsidP="00C8526E">
      <w:pPr>
        <w:pStyle w:val="NoSpacing"/>
      </w:pPr>
    </w:p>
    <w:p w14:paraId="6A6A9961" w14:textId="77777777" w:rsidR="00A13B1B" w:rsidRPr="00F31693" w:rsidRDefault="00A13B1B" w:rsidP="00C8526E">
      <w:pPr>
        <w:pStyle w:val="NoSpacing"/>
      </w:pPr>
    </w:p>
    <w:p w14:paraId="168B08CA" w14:textId="77777777" w:rsidR="00C8526E" w:rsidRPr="00F31693" w:rsidRDefault="00C8526E" w:rsidP="00C8526E">
      <w:pPr>
        <w:pStyle w:val="NoSpacing"/>
      </w:pPr>
      <w:r w:rsidRPr="00F31693">
        <w:t>The Bank does not rent Safe Deposit Boxes to non-customers. The current customer safe deposit data is as follows:</w:t>
      </w:r>
    </w:p>
    <w:p w14:paraId="6EDCEC18" w14:textId="77777777" w:rsidR="00A13B1B" w:rsidRPr="00F31693" w:rsidRDefault="00A13B1B" w:rsidP="00C8526E">
      <w:pPr>
        <w:pStyle w:val="NoSpacing"/>
      </w:pPr>
    </w:p>
    <w:p w14:paraId="2C5A5632" w14:textId="77777777" w:rsidR="00C8526E" w:rsidRPr="00F31693" w:rsidRDefault="00C8526E" w:rsidP="00C8526E">
      <w:pPr>
        <w:pStyle w:val="NoSpacing"/>
      </w:pPr>
      <w:r w:rsidRPr="00F31693">
        <w:rPr>
          <w:noProof/>
        </w:rPr>
        <w:drawing>
          <wp:inline distT="0" distB="0" distL="0" distR="0" wp14:anchorId="3682B40B" wp14:editId="4F41DBE4">
            <wp:extent cx="3252675" cy="1908313"/>
            <wp:effectExtent l="19050" t="0" r="48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52932" cy="1908464"/>
                    </a:xfrm>
                    <a:prstGeom prst="rect">
                      <a:avLst/>
                    </a:prstGeom>
                    <a:noFill/>
                    <a:ln w="9525">
                      <a:noFill/>
                      <a:miter lim="800000"/>
                      <a:headEnd/>
                      <a:tailEnd/>
                    </a:ln>
                  </pic:spPr>
                </pic:pic>
              </a:graphicData>
            </a:graphic>
          </wp:inline>
        </w:drawing>
      </w:r>
      <w:r w:rsidRPr="00F31693">
        <w:t xml:space="preserve">   </w:t>
      </w:r>
      <w:r w:rsidRPr="00F31693">
        <w:rPr>
          <w:noProof/>
        </w:rPr>
        <w:drawing>
          <wp:inline distT="0" distB="0" distL="0" distR="0" wp14:anchorId="2C9DA820" wp14:editId="3747957D">
            <wp:extent cx="1876425" cy="85090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879738" cy="850790"/>
                    </a:xfrm>
                    <a:prstGeom prst="rect">
                      <a:avLst/>
                    </a:prstGeom>
                    <a:noFill/>
                    <a:ln w="9525">
                      <a:noFill/>
                      <a:miter lim="800000"/>
                      <a:headEnd/>
                      <a:tailEnd/>
                    </a:ln>
                  </pic:spPr>
                </pic:pic>
              </a:graphicData>
            </a:graphic>
          </wp:inline>
        </w:drawing>
      </w:r>
    </w:p>
    <w:p w14:paraId="20A99136" w14:textId="77777777" w:rsidR="00C8526E" w:rsidRPr="00F31693" w:rsidRDefault="00C8526E" w:rsidP="00C8526E">
      <w:pPr>
        <w:pStyle w:val="NoSpacing"/>
      </w:pPr>
    </w:p>
    <w:p w14:paraId="24347E50" w14:textId="77777777" w:rsidR="00A95E97" w:rsidRPr="00F31693" w:rsidRDefault="00A95E97" w:rsidP="00A95E97">
      <w:pPr>
        <w:rPr>
          <w:b/>
        </w:rPr>
      </w:pPr>
      <w:r w:rsidRPr="00F31693">
        <w:rPr>
          <w:b/>
        </w:rPr>
        <w:t>CDARs</w:t>
      </w:r>
    </w:p>
    <w:p w14:paraId="0CDE97A9" w14:textId="1E6820B5" w:rsidR="00A95E97" w:rsidRPr="00F31693" w:rsidRDefault="006473DB" w:rsidP="00A95E97">
      <w:r>
        <w:t xml:space="preserve">J. Wallace </w:t>
      </w:r>
      <w:r w:rsidR="00A95E97" w:rsidRPr="00F31693">
        <w:t>does not</w:t>
      </w:r>
      <w:r w:rsidR="009E2D03" w:rsidRPr="00F31693">
        <w:t xml:space="preserve"> presently</w:t>
      </w:r>
      <w:r w:rsidR="00A95E97" w:rsidRPr="00F31693">
        <w:t xml:space="preserve"> participate in The Certificate of Deposit Account Registry Service (“CDARS”) Reciprocal Program offered by Promontory </w:t>
      </w:r>
      <w:proofErr w:type="spellStart"/>
      <w:r w:rsidR="00A95E97" w:rsidRPr="00F31693">
        <w:t>Inter</w:t>
      </w:r>
      <w:r w:rsidR="00B23CB5" w:rsidRPr="00F31693">
        <w:t>f</w:t>
      </w:r>
      <w:r w:rsidR="00A95E97" w:rsidRPr="00F31693">
        <w:t>inancial</w:t>
      </w:r>
      <w:proofErr w:type="spellEnd"/>
      <w:r w:rsidR="00A95E97" w:rsidRPr="00F31693">
        <w:t xml:space="preserve"> Network, LLC.</w:t>
      </w:r>
      <w:r w:rsidR="009E2D03" w:rsidRPr="00F31693">
        <w:t xml:space="preserve"> </w:t>
      </w:r>
      <w:r w:rsidR="00A053A2" w:rsidRPr="00F31693">
        <w:t xml:space="preserve">In the future, </w:t>
      </w:r>
      <w:r>
        <w:t xml:space="preserve">J. Wallace </w:t>
      </w:r>
      <w:r w:rsidR="009E2D03" w:rsidRPr="00F31693">
        <w:t xml:space="preserve">will take </w:t>
      </w:r>
      <w:r w:rsidR="00A053A2" w:rsidRPr="00F31693">
        <w:t>this program into consideration if there is sufficient demand and neutral costs.</w:t>
      </w:r>
      <w:r w:rsidR="00A95E97" w:rsidRPr="00F31693">
        <w:t xml:space="preserve"> CDARS is a service that enables financial institutions to provide access to FDIC insurance on certificates of deposit investments of $50 million and above. All participants are regulated financial institutions. Should </w:t>
      </w:r>
      <w:r>
        <w:t xml:space="preserve">J. Wallace </w:t>
      </w:r>
      <w:r w:rsidR="00A95E97" w:rsidRPr="00F31693">
        <w:t xml:space="preserve">participate </w:t>
      </w:r>
      <w:proofErr w:type="gramStart"/>
      <w:r w:rsidR="00A95E97" w:rsidRPr="00F31693">
        <w:t>at a later date</w:t>
      </w:r>
      <w:proofErr w:type="gramEnd"/>
      <w:r w:rsidR="00A95E97" w:rsidRPr="00F31693">
        <w:t xml:space="preserve">, the Bank places its own customer’s funds that are over the FDIC deposit insurance limit with CDARS and gets the matching funds back from CDARS. </w:t>
      </w:r>
      <w:r>
        <w:t xml:space="preserve">J. WALLACE </w:t>
      </w:r>
      <w:r w:rsidR="00A95E97" w:rsidRPr="00F31693">
        <w:t xml:space="preserve">would perform CIP/CDD on all customers and verify the source of funds on all deposits. </w:t>
      </w:r>
    </w:p>
    <w:p w14:paraId="526CE4A4" w14:textId="77777777" w:rsidR="00A95E97" w:rsidRPr="00F31693" w:rsidRDefault="00A95E97" w:rsidP="00A95E97">
      <w:pPr>
        <w:rPr>
          <w:b/>
        </w:rPr>
      </w:pPr>
      <w:r w:rsidRPr="00F31693">
        <w:rPr>
          <w:b/>
        </w:rPr>
        <w:t>New Products and Services</w:t>
      </w:r>
    </w:p>
    <w:p w14:paraId="368C54E6" w14:textId="77777777" w:rsidR="00A95E97" w:rsidRDefault="00A95E97" w:rsidP="00A95E97">
      <w:r w:rsidRPr="00F31693">
        <w:t xml:space="preserve">In addition to </w:t>
      </w:r>
      <w:r w:rsidR="003F04BD" w:rsidRPr="00F31693">
        <w:t>senior</w:t>
      </w:r>
      <w:r w:rsidR="007D51C7" w:rsidRPr="00F31693">
        <w:t xml:space="preserve"> </w:t>
      </w:r>
      <w:r w:rsidRPr="00F31693">
        <w:t xml:space="preserve">management and </w:t>
      </w:r>
      <w:r w:rsidR="00B23CB5" w:rsidRPr="00F31693">
        <w:t xml:space="preserve">the </w:t>
      </w:r>
      <w:r w:rsidRPr="00F31693">
        <w:t xml:space="preserve">Board of </w:t>
      </w:r>
      <w:proofErr w:type="gramStart"/>
      <w:r w:rsidRPr="00F31693">
        <w:t>Directors</w:t>
      </w:r>
      <w:proofErr w:type="gramEnd"/>
      <w:r w:rsidRPr="00F31693">
        <w:t xml:space="preserve"> approval, new products must be approved by the new product committee and </w:t>
      </w:r>
      <w:r w:rsidR="001E43DA" w:rsidRPr="00F31693">
        <w:t xml:space="preserve">BSA Officer dependent </w:t>
      </w:r>
      <w:r w:rsidR="00A6209A" w:rsidRPr="00F31693">
        <w:t>on apparent</w:t>
      </w:r>
      <w:r w:rsidR="001E43DA" w:rsidRPr="00F31693">
        <w:t xml:space="preserve"> risk</w:t>
      </w:r>
      <w:r w:rsidRPr="00F31693">
        <w:t>.</w:t>
      </w:r>
      <w:r w:rsidR="00B66912">
        <w:t xml:space="preserve"> During FYE 16 the following Retail products were introduced:</w:t>
      </w:r>
    </w:p>
    <w:p w14:paraId="40A1D5EB" w14:textId="77777777" w:rsidR="00B66912" w:rsidRDefault="00571B04" w:rsidP="00B66912">
      <w:pPr>
        <w:pStyle w:val="ListParagraph"/>
        <w:numPr>
          <w:ilvl w:val="0"/>
          <w:numId w:val="27"/>
        </w:numPr>
      </w:pPr>
      <w:r>
        <w:t>Diamond Money Market – September 2015</w:t>
      </w:r>
    </w:p>
    <w:p w14:paraId="1B987476" w14:textId="77777777" w:rsidR="00571B04" w:rsidRDefault="00571B04" w:rsidP="00B66912">
      <w:pPr>
        <w:pStyle w:val="ListParagraph"/>
        <w:numPr>
          <w:ilvl w:val="0"/>
          <w:numId w:val="27"/>
        </w:numPr>
      </w:pPr>
      <w:r>
        <w:t>Westwood Business Money Markey Account</w:t>
      </w:r>
    </w:p>
    <w:p w14:paraId="42B88F69" w14:textId="04682BC5" w:rsidR="00136ACF" w:rsidRDefault="00136ACF" w:rsidP="00136ACF">
      <w:r>
        <w:t xml:space="preserve">As of May 4, </w:t>
      </w:r>
      <w:proofErr w:type="gramStart"/>
      <w:r>
        <w:t>2016</w:t>
      </w:r>
      <w:proofErr w:type="gramEnd"/>
      <w:r>
        <w:t xml:space="preserve"> </w:t>
      </w:r>
      <w:r w:rsidR="006473DB">
        <w:t xml:space="preserve">J. Wallace Bank </w:t>
      </w:r>
      <w:r>
        <w:t xml:space="preserve">has joined </w:t>
      </w:r>
      <w:proofErr w:type="spellStart"/>
      <w:r>
        <w:t>Allpoint</w:t>
      </w:r>
      <w:proofErr w:type="spellEnd"/>
      <w:r>
        <w:t xml:space="preserve"> Network, which means </w:t>
      </w:r>
      <w:r w:rsidR="006473DB">
        <w:t xml:space="preserve">J. Wallace Bank </w:t>
      </w:r>
      <w:r>
        <w:t>customers now have access to America’s largest surcharge-free ATM network, with some 55,000 surcharge-free ATMs worldwide.</w:t>
      </w:r>
    </w:p>
    <w:p w14:paraId="3D627FFE" w14:textId="0326858F" w:rsidR="00136ACF" w:rsidRDefault="00136ACF" w:rsidP="00136ACF">
      <w:r>
        <w:t xml:space="preserve">In addition to </w:t>
      </w:r>
      <w:r w:rsidR="006473DB">
        <w:t xml:space="preserve">J. Wallace </w:t>
      </w:r>
      <w:r>
        <w:t xml:space="preserve">Bank’s branch locations and ATMs, with </w:t>
      </w:r>
      <w:proofErr w:type="spellStart"/>
      <w:r>
        <w:t>Allpoint</w:t>
      </w:r>
      <w:proofErr w:type="spellEnd"/>
      <w:r>
        <w:t xml:space="preserve"> Network, </w:t>
      </w:r>
      <w:r w:rsidR="006473DB">
        <w:t xml:space="preserve">J. Wallace Bank </w:t>
      </w:r>
      <w:r>
        <w:t xml:space="preserve">customers will never be far away from surcharge-free ATM access to their cash, especially in the United States where </w:t>
      </w:r>
      <w:proofErr w:type="spellStart"/>
      <w:r>
        <w:t>Allpoint</w:t>
      </w:r>
      <w:proofErr w:type="spellEnd"/>
      <w:r>
        <w:t xml:space="preserve"> offers 43,000 cash machines in places they're already visiting as part of their daily </w:t>
      </w:r>
      <w:r>
        <w:lastRenderedPageBreak/>
        <w:t xml:space="preserve">routine. Conveniently located in destination retail outlets including major discount retailers, convenience, grocery and pharmacy stores, </w:t>
      </w:r>
      <w:proofErr w:type="spellStart"/>
      <w:r>
        <w:t>Allpoint</w:t>
      </w:r>
      <w:proofErr w:type="spellEnd"/>
      <w:r>
        <w:t xml:space="preserve"> Network ATMs save customers of </w:t>
      </w:r>
      <w:r w:rsidR="006473DB">
        <w:t xml:space="preserve">J. Wallace Bank </w:t>
      </w:r>
      <w:r>
        <w:t xml:space="preserve">time </w:t>
      </w:r>
      <w:r w:rsidR="00011643">
        <w:t>in addition to</w:t>
      </w:r>
      <w:r>
        <w:t xml:space="preserve"> ATM fees. </w:t>
      </w:r>
    </w:p>
    <w:p w14:paraId="06D50CBE" w14:textId="77777777" w:rsidR="00AD5ECB" w:rsidRPr="00F31693" w:rsidRDefault="00AD5ECB" w:rsidP="00AD5ECB">
      <w:pPr>
        <w:rPr>
          <w:b/>
        </w:rPr>
      </w:pPr>
      <w:r w:rsidRPr="00F31693">
        <w:rPr>
          <w:b/>
        </w:rPr>
        <w:t>Currency Transaction Reporting</w:t>
      </w:r>
    </w:p>
    <w:p w14:paraId="365683DB" w14:textId="77DE6755" w:rsidR="00AD5ECB" w:rsidRPr="00F31693" w:rsidRDefault="006473DB" w:rsidP="00AD5ECB">
      <w:r>
        <w:t xml:space="preserve">J. WALLACE </w:t>
      </w:r>
      <w:r w:rsidR="00AD5ECB" w:rsidRPr="00F31693">
        <w:t>has established CTR recordkeeping and reporting policy and procedures. There have been</w:t>
      </w:r>
      <w:r w:rsidR="003F1337" w:rsidRPr="00F31693">
        <w:t xml:space="preserve"> some </w:t>
      </w:r>
      <w:r w:rsidR="002A06C8" w:rsidRPr="00F31693">
        <w:t xml:space="preserve">removals </w:t>
      </w:r>
      <w:r w:rsidR="002A06C8">
        <w:t>from</w:t>
      </w:r>
      <w:r w:rsidR="00AD5ECB" w:rsidRPr="00F31693">
        <w:t xml:space="preserve"> the CTR Exemption List since </w:t>
      </w:r>
      <w:r w:rsidR="003F1337" w:rsidRPr="00F31693">
        <w:t>FYE 2015</w:t>
      </w:r>
      <w:r w:rsidR="00AD5ECB" w:rsidRPr="00F31693">
        <w:t xml:space="preserve"> and sta</w:t>
      </w:r>
      <w:r w:rsidR="002F65AC" w:rsidRPr="00F31693">
        <w:t xml:space="preserve">nds at </w:t>
      </w:r>
      <w:r w:rsidR="003F1337" w:rsidRPr="00F31693">
        <w:t>6</w:t>
      </w:r>
      <w:r w:rsidR="002F65AC" w:rsidRPr="00F31693">
        <w:t xml:space="preserve"> customers. For FY</w:t>
      </w:r>
      <w:r w:rsidR="002A06C8">
        <w:t>E</w:t>
      </w:r>
      <w:r w:rsidR="002F65AC" w:rsidRPr="00F31693">
        <w:t xml:space="preserve"> 2016</w:t>
      </w:r>
      <w:r w:rsidR="00AD5ECB" w:rsidRPr="00F31693">
        <w:t xml:space="preserve"> there were </w:t>
      </w:r>
      <w:r w:rsidR="002F65AC" w:rsidRPr="00F31693">
        <w:rPr>
          <w:rFonts w:ascii="Calibri" w:eastAsia="Times New Roman" w:hAnsi="Calibri" w:cs="Times New Roman"/>
          <w:color w:val="000000"/>
        </w:rPr>
        <w:t xml:space="preserve">2,529 </w:t>
      </w:r>
      <w:r w:rsidR="00AD5ECB" w:rsidRPr="00F31693">
        <w:t xml:space="preserve">Currency Transaction Reports (CTRs) filed through FinCEN’s BSA E-Filing System. This is an increase of </w:t>
      </w:r>
      <w:r w:rsidR="002F65AC" w:rsidRPr="00F31693">
        <w:t>151</w:t>
      </w:r>
      <w:r w:rsidR="00AD5ECB" w:rsidRPr="00F31693">
        <w:t xml:space="preserve"> or </w:t>
      </w:r>
      <w:r w:rsidR="002F65AC" w:rsidRPr="00F31693">
        <w:t>6.35</w:t>
      </w:r>
      <w:r w:rsidR="00AD5ECB" w:rsidRPr="00F31693">
        <w:t xml:space="preserve">% over the </w:t>
      </w:r>
      <w:r w:rsidR="002F65AC" w:rsidRPr="00F31693">
        <w:t xml:space="preserve">2,378 </w:t>
      </w:r>
      <w:r w:rsidR="00AD5ECB" w:rsidRPr="00F31693">
        <w:t>fi</w:t>
      </w:r>
      <w:r w:rsidR="002F65AC" w:rsidRPr="00F31693">
        <w:t>led for FY</w:t>
      </w:r>
      <w:r w:rsidR="0059409A">
        <w:t>E</w:t>
      </w:r>
      <w:r w:rsidR="002F65AC" w:rsidRPr="00F31693">
        <w:t xml:space="preserve"> 2015</w:t>
      </w:r>
      <w:r w:rsidR="00AD5ECB" w:rsidRPr="00F31693">
        <w:t>. These reports are system prepared by Patriot Officer, reviewed by the branches where the transactions took place and then reviewed again and approved by the BSA Department before filing. The majority of these CTRs are for customers who do not qualify for exemptions because of the type of services they provide their customers, e.g. sell money orders or transfer funds for Western Union.</w:t>
      </w:r>
    </w:p>
    <w:tbl>
      <w:tblPr>
        <w:tblW w:w="2880" w:type="dxa"/>
        <w:tblInd w:w="95" w:type="dxa"/>
        <w:tblLook w:val="04A0" w:firstRow="1" w:lastRow="0" w:firstColumn="1" w:lastColumn="0" w:noHBand="0" w:noVBand="1"/>
      </w:tblPr>
      <w:tblGrid>
        <w:gridCol w:w="1120"/>
        <w:gridCol w:w="800"/>
        <w:gridCol w:w="960"/>
      </w:tblGrid>
      <w:tr w:rsidR="00AD5ECB" w:rsidRPr="00F31693" w14:paraId="02F11653" w14:textId="77777777" w:rsidTr="00455FCE">
        <w:trPr>
          <w:trHeight w:val="300"/>
        </w:trPr>
        <w:tc>
          <w:tcPr>
            <w:tcW w:w="1920" w:type="dxa"/>
            <w:gridSpan w:val="2"/>
            <w:tcBorders>
              <w:top w:val="nil"/>
              <w:left w:val="nil"/>
              <w:bottom w:val="nil"/>
              <w:right w:val="nil"/>
            </w:tcBorders>
            <w:shd w:val="clear" w:color="auto" w:fill="auto"/>
            <w:noWrap/>
            <w:vAlign w:val="bottom"/>
            <w:hideMark/>
          </w:tcPr>
          <w:p w14:paraId="300D3031" w14:textId="77777777" w:rsidR="009826D0" w:rsidRPr="00F31693" w:rsidRDefault="00AD5ECB" w:rsidP="009826D0">
            <w:pPr>
              <w:spacing w:after="0" w:line="240" w:lineRule="auto"/>
              <w:jc w:val="center"/>
              <w:rPr>
                <w:rFonts w:ascii="Calibri" w:eastAsia="Times New Roman" w:hAnsi="Calibri" w:cs="Times New Roman"/>
                <w:b/>
                <w:bCs/>
                <w:color w:val="000000"/>
                <w:u w:val="single"/>
              </w:rPr>
            </w:pPr>
            <w:r w:rsidRPr="00F31693">
              <w:rPr>
                <w:rFonts w:ascii="Calibri" w:eastAsia="Times New Roman" w:hAnsi="Calibri" w:cs="Times New Roman"/>
                <w:b/>
                <w:bCs/>
                <w:color w:val="000000"/>
                <w:u w:val="single"/>
              </w:rPr>
              <w:t xml:space="preserve">CTRs Filed </w:t>
            </w:r>
          </w:p>
          <w:p w14:paraId="04FE9428" w14:textId="77777777" w:rsidR="000B0C23" w:rsidRPr="00F31693" w:rsidRDefault="000B0C23" w:rsidP="00455FCE">
            <w:pPr>
              <w:spacing w:after="0" w:line="240" w:lineRule="auto"/>
              <w:jc w:val="center"/>
              <w:rPr>
                <w:rFonts w:ascii="Calibri" w:eastAsia="Times New Roman" w:hAnsi="Calibri" w:cs="Times New Roman"/>
                <w:b/>
                <w:bCs/>
                <w:color w:val="000000"/>
                <w:u w:val="single"/>
              </w:rPr>
            </w:pPr>
          </w:p>
        </w:tc>
        <w:tc>
          <w:tcPr>
            <w:tcW w:w="960" w:type="dxa"/>
            <w:tcBorders>
              <w:top w:val="nil"/>
              <w:left w:val="nil"/>
              <w:bottom w:val="nil"/>
              <w:right w:val="nil"/>
            </w:tcBorders>
            <w:shd w:val="clear" w:color="auto" w:fill="auto"/>
            <w:noWrap/>
            <w:vAlign w:val="bottom"/>
            <w:hideMark/>
          </w:tcPr>
          <w:p w14:paraId="35867988" w14:textId="77777777" w:rsidR="00AD5ECB" w:rsidRPr="00F31693" w:rsidRDefault="00AD5ECB" w:rsidP="00455FCE">
            <w:pPr>
              <w:spacing w:after="0" w:line="240" w:lineRule="auto"/>
              <w:rPr>
                <w:rFonts w:ascii="Calibri" w:eastAsia="Times New Roman" w:hAnsi="Calibri" w:cs="Times New Roman"/>
                <w:color w:val="000000"/>
              </w:rPr>
            </w:pPr>
          </w:p>
        </w:tc>
      </w:tr>
      <w:tr w:rsidR="00AD5ECB" w:rsidRPr="00F31693" w14:paraId="2F156DC2" w14:textId="77777777" w:rsidTr="00455FCE">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21F4D" w14:textId="77777777" w:rsidR="00AD5ECB" w:rsidRPr="00F31693" w:rsidRDefault="00AD5ECB" w:rsidP="002F65AC">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FY</w:t>
            </w:r>
            <w:r w:rsidR="0059409A">
              <w:rPr>
                <w:rFonts w:ascii="Calibri" w:eastAsia="Times New Roman" w:hAnsi="Calibri" w:cs="Times New Roman"/>
                <w:b/>
                <w:bCs/>
                <w:color w:val="000000"/>
              </w:rPr>
              <w:t>E</w:t>
            </w:r>
            <w:r w:rsidRPr="00F31693">
              <w:rPr>
                <w:rFonts w:ascii="Calibri" w:eastAsia="Times New Roman" w:hAnsi="Calibri" w:cs="Times New Roman"/>
                <w:b/>
                <w:bCs/>
                <w:color w:val="000000"/>
              </w:rPr>
              <w:t xml:space="preserve"> 201</w:t>
            </w:r>
            <w:r w:rsidR="002F65AC" w:rsidRPr="00F31693">
              <w:rPr>
                <w:rFonts w:ascii="Calibri" w:eastAsia="Times New Roman" w:hAnsi="Calibri" w:cs="Times New Roman"/>
                <w:b/>
                <w:bCs/>
                <w:color w:val="000000"/>
              </w:rPr>
              <w:t>6</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64A7D32B" w14:textId="77777777" w:rsidR="00AD5ECB" w:rsidRPr="00F31693" w:rsidRDefault="002F65AC" w:rsidP="00455FC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2,529</w:t>
            </w:r>
          </w:p>
        </w:tc>
        <w:tc>
          <w:tcPr>
            <w:tcW w:w="960" w:type="dxa"/>
            <w:tcBorders>
              <w:top w:val="nil"/>
              <w:left w:val="nil"/>
              <w:bottom w:val="nil"/>
              <w:right w:val="nil"/>
            </w:tcBorders>
            <w:shd w:val="clear" w:color="auto" w:fill="auto"/>
            <w:noWrap/>
            <w:vAlign w:val="bottom"/>
            <w:hideMark/>
          </w:tcPr>
          <w:p w14:paraId="155D15AE" w14:textId="77777777" w:rsidR="00AD5ECB" w:rsidRPr="00F31693" w:rsidRDefault="00AD5ECB" w:rsidP="00455FCE">
            <w:pPr>
              <w:spacing w:after="0" w:line="240" w:lineRule="auto"/>
              <w:jc w:val="center"/>
              <w:rPr>
                <w:rFonts w:ascii="Calibri" w:eastAsia="Times New Roman" w:hAnsi="Calibri" w:cs="Times New Roman"/>
                <w:color w:val="000000"/>
              </w:rPr>
            </w:pPr>
          </w:p>
        </w:tc>
      </w:tr>
      <w:tr w:rsidR="00AD5ECB" w:rsidRPr="00F31693" w14:paraId="1469EA47" w14:textId="77777777" w:rsidTr="00455FCE">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4207222" w14:textId="77777777" w:rsidR="00AD5ECB" w:rsidRPr="00F31693" w:rsidRDefault="00AD5ECB" w:rsidP="00455FC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FY</w:t>
            </w:r>
            <w:r w:rsidR="0059409A">
              <w:rPr>
                <w:rFonts w:ascii="Calibri" w:eastAsia="Times New Roman" w:hAnsi="Calibri" w:cs="Times New Roman"/>
                <w:b/>
                <w:bCs/>
                <w:color w:val="000000"/>
              </w:rPr>
              <w:t>E</w:t>
            </w:r>
            <w:r w:rsidRPr="00F31693">
              <w:rPr>
                <w:rFonts w:ascii="Calibri" w:eastAsia="Times New Roman" w:hAnsi="Calibri" w:cs="Times New Roman"/>
                <w:b/>
                <w:bCs/>
                <w:color w:val="000000"/>
              </w:rPr>
              <w:t xml:space="preserve"> 201</w:t>
            </w:r>
            <w:r w:rsidR="002F65AC" w:rsidRPr="00F31693">
              <w:rPr>
                <w:rFonts w:ascii="Calibri" w:eastAsia="Times New Roman" w:hAnsi="Calibri" w:cs="Times New Roman"/>
                <w:b/>
                <w:bCs/>
                <w:color w:val="000000"/>
              </w:rPr>
              <w:t>5</w:t>
            </w:r>
          </w:p>
        </w:tc>
        <w:tc>
          <w:tcPr>
            <w:tcW w:w="800" w:type="dxa"/>
            <w:tcBorders>
              <w:top w:val="nil"/>
              <w:left w:val="nil"/>
              <w:bottom w:val="single" w:sz="4" w:space="0" w:color="auto"/>
              <w:right w:val="single" w:sz="4" w:space="0" w:color="auto"/>
            </w:tcBorders>
            <w:shd w:val="clear" w:color="auto" w:fill="auto"/>
            <w:noWrap/>
            <w:vAlign w:val="bottom"/>
            <w:hideMark/>
          </w:tcPr>
          <w:p w14:paraId="4BC76734" w14:textId="77777777" w:rsidR="00AD5ECB" w:rsidRPr="00F31693" w:rsidRDefault="002F65AC" w:rsidP="00455FC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2,378</w:t>
            </w:r>
          </w:p>
        </w:tc>
        <w:tc>
          <w:tcPr>
            <w:tcW w:w="960" w:type="dxa"/>
            <w:tcBorders>
              <w:top w:val="nil"/>
              <w:left w:val="nil"/>
              <w:bottom w:val="nil"/>
              <w:right w:val="nil"/>
            </w:tcBorders>
            <w:shd w:val="clear" w:color="auto" w:fill="auto"/>
            <w:noWrap/>
            <w:vAlign w:val="bottom"/>
            <w:hideMark/>
          </w:tcPr>
          <w:p w14:paraId="3BCF2276" w14:textId="77777777" w:rsidR="00AD5ECB" w:rsidRPr="00F31693" w:rsidRDefault="00AD5ECB" w:rsidP="00455FCE">
            <w:pPr>
              <w:spacing w:after="0" w:line="240" w:lineRule="auto"/>
              <w:jc w:val="center"/>
              <w:rPr>
                <w:rFonts w:ascii="Calibri" w:eastAsia="Times New Roman" w:hAnsi="Calibri" w:cs="Times New Roman"/>
                <w:color w:val="000000"/>
              </w:rPr>
            </w:pPr>
          </w:p>
        </w:tc>
      </w:tr>
      <w:tr w:rsidR="00AD5ECB" w:rsidRPr="00F31693" w14:paraId="2B922FBD" w14:textId="77777777" w:rsidTr="00455FCE">
        <w:trPr>
          <w:trHeight w:val="300"/>
        </w:trPr>
        <w:tc>
          <w:tcPr>
            <w:tcW w:w="1120" w:type="dxa"/>
            <w:tcBorders>
              <w:top w:val="nil"/>
              <w:left w:val="nil"/>
              <w:bottom w:val="nil"/>
              <w:right w:val="single" w:sz="4" w:space="0" w:color="auto"/>
            </w:tcBorders>
            <w:shd w:val="clear" w:color="auto" w:fill="auto"/>
            <w:noWrap/>
            <w:vAlign w:val="bottom"/>
            <w:hideMark/>
          </w:tcPr>
          <w:p w14:paraId="3E4D5E5D" w14:textId="77777777" w:rsidR="00AD5ECB" w:rsidRPr="00F31693" w:rsidRDefault="00AD5ECB" w:rsidP="00455FCE">
            <w:pPr>
              <w:spacing w:after="0" w:line="240" w:lineRule="auto"/>
              <w:rPr>
                <w:rFonts w:ascii="Calibri" w:eastAsia="Times New Roman" w:hAnsi="Calibri" w:cs="Times New Roman"/>
                <w:color w:val="000000"/>
              </w:rPr>
            </w:pPr>
            <w:r w:rsidRPr="00F31693">
              <w:rPr>
                <w:rFonts w:ascii="Calibri" w:eastAsia="Times New Roman" w:hAnsi="Calibri" w:cs="Times New Roman"/>
                <w:color w:val="000000"/>
              </w:rPr>
              <w:t> </w:t>
            </w:r>
          </w:p>
        </w:tc>
        <w:tc>
          <w:tcPr>
            <w:tcW w:w="800" w:type="dxa"/>
            <w:tcBorders>
              <w:top w:val="nil"/>
              <w:left w:val="nil"/>
              <w:bottom w:val="single" w:sz="4" w:space="0" w:color="auto"/>
              <w:right w:val="single" w:sz="4" w:space="0" w:color="auto"/>
            </w:tcBorders>
            <w:shd w:val="clear" w:color="000000" w:fill="FFFF00"/>
            <w:noWrap/>
            <w:vAlign w:val="bottom"/>
            <w:hideMark/>
          </w:tcPr>
          <w:p w14:paraId="3929F4F2" w14:textId="77777777" w:rsidR="00AD5ECB" w:rsidRPr="00F31693" w:rsidRDefault="002F65AC" w:rsidP="00455FC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151</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9A6B59E" w14:textId="77777777" w:rsidR="00AD5ECB" w:rsidRPr="00F31693" w:rsidRDefault="002F65AC" w:rsidP="00455FC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6.35%</w:t>
            </w:r>
          </w:p>
        </w:tc>
      </w:tr>
    </w:tbl>
    <w:p w14:paraId="223E2820" w14:textId="77777777" w:rsidR="00AD5ECB" w:rsidRPr="00F31693" w:rsidRDefault="00AD5ECB" w:rsidP="00AD5ECB">
      <w:pPr>
        <w:pStyle w:val="NoSpacing"/>
      </w:pPr>
    </w:p>
    <w:p w14:paraId="45960B86" w14:textId="77777777" w:rsidR="00AD5ECB" w:rsidRPr="00F31693" w:rsidRDefault="00AD5ECB" w:rsidP="00AD5ECB">
      <w:pPr>
        <w:rPr>
          <w:b/>
        </w:rPr>
      </w:pPr>
      <w:r w:rsidRPr="00F31693">
        <w:rPr>
          <w:b/>
        </w:rPr>
        <w:t xml:space="preserve">Suspicious Activity Transaction Monitoring </w:t>
      </w:r>
    </w:p>
    <w:p w14:paraId="2844DA7D" w14:textId="77777777" w:rsidR="00AD5ECB" w:rsidRPr="00F31693" w:rsidRDefault="00AD5ECB" w:rsidP="00AD5ECB">
      <w:pPr>
        <w:rPr>
          <w:b/>
          <w:u w:val="single"/>
        </w:rPr>
      </w:pPr>
      <w:r w:rsidRPr="00F31693">
        <w:rPr>
          <w:b/>
          <w:u w:val="single"/>
        </w:rPr>
        <w:t>Transaction Monitoring Software</w:t>
      </w:r>
    </w:p>
    <w:p w14:paraId="747EB9D6" w14:textId="77777777" w:rsidR="00AD5ECB" w:rsidRPr="00F31693" w:rsidRDefault="00AD5ECB" w:rsidP="00AD5ECB">
      <w:r w:rsidRPr="00F31693">
        <w:t>Senior Management has determined that Global Vision System’s Patriot Officer (anti-money laundering solution) provides the most suitable solution for the bank. Based upon an established timeline, the new AML transaction monitoring system went live in the 2Q of 2014. The new AML transaction monitoring system strengthens the bank’s transaction monitoring capabilities, creates a more efficient and effective department and over time will reduce the department’s workload</w:t>
      </w:r>
      <w:r w:rsidR="00270B0D" w:rsidRPr="00F31693">
        <w:t>.</w:t>
      </w:r>
    </w:p>
    <w:p w14:paraId="3CAC2B12" w14:textId="2A2F246A" w:rsidR="00AD5ECB" w:rsidRPr="00F31693" w:rsidRDefault="00AD5ECB" w:rsidP="00AD5ECB">
      <w:r w:rsidRPr="00F31693">
        <w:t xml:space="preserve">Patriot Officer Automated Anti-Money Laundering System is used to detect suspicious activity that is occurring at, through or against the Bank. During the assessment period BSA placed more emphasis on determining customer high risk transactional activity from account opening on. This process requires an initial </w:t>
      </w:r>
      <w:proofErr w:type="gramStart"/>
      <w:r w:rsidRPr="00F31693">
        <w:t>90 day</w:t>
      </w:r>
      <w:proofErr w:type="gramEnd"/>
      <w:r w:rsidRPr="00F31693">
        <w:t xml:space="preserve"> review of anticipated activity documented at account opening versus the actual activity. There is currently no automated system in place to perform the </w:t>
      </w:r>
      <w:proofErr w:type="gramStart"/>
      <w:r w:rsidRPr="00F31693">
        <w:t>90 day</w:t>
      </w:r>
      <w:proofErr w:type="gramEnd"/>
      <w:r w:rsidRPr="00F31693">
        <w:t xml:space="preserve"> reviews and the manual process is </w:t>
      </w:r>
      <w:proofErr w:type="gramStart"/>
      <w:r w:rsidRPr="00F31693">
        <w:t>time consuming</w:t>
      </w:r>
      <w:proofErr w:type="gramEnd"/>
      <w:r w:rsidRPr="00F31693">
        <w:t xml:space="preserve"> and not adequate. Patriot Officer does have a module, Dynamic Risk Module, which will assist with this process at no additional cost for its use, however the Bank has not received training in how to best utilize it. It has been recommended the Bank investigate the implementation of this module with the proper setup and training directly from Global Vision or another </w:t>
      </w:r>
      <w:proofErr w:type="gramStart"/>
      <w:r w:rsidRPr="00F31693">
        <w:t>third party</w:t>
      </w:r>
      <w:proofErr w:type="gramEnd"/>
      <w:r w:rsidRPr="00F31693">
        <w:t xml:space="preserve"> consultant.</w:t>
      </w:r>
      <w:r w:rsidR="003650A5">
        <w:t xml:space="preserve"> </w:t>
      </w:r>
      <w:r w:rsidR="006473DB">
        <w:t xml:space="preserve">J. Wallace </w:t>
      </w:r>
      <w:r w:rsidR="003650A5">
        <w:t xml:space="preserve">will be migrated to a new transaction monitoring system, PRIME, effective 11/11/16. The new system will create increased efficiency in the </w:t>
      </w:r>
      <w:r w:rsidR="009F004F">
        <w:t xml:space="preserve">daily operations as PRIME interfaces directly with the bank’s operating system </w:t>
      </w:r>
      <w:proofErr w:type="spellStart"/>
      <w:r w:rsidR="009F004F">
        <w:t>Bankway</w:t>
      </w:r>
      <w:proofErr w:type="spellEnd"/>
      <w:r w:rsidR="009F004F">
        <w:t xml:space="preserve">. Patriot Officer and </w:t>
      </w:r>
      <w:proofErr w:type="spellStart"/>
      <w:r w:rsidR="009F004F">
        <w:t>Bankway</w:t>
      </w:r>
      <w:proofErr w:type="spellEnd"/>
      <w:r w:rsidR="009F004F">
        <w:t xml:space="preserve"> do not currently have an</w:t>
      </w:r>
      <w:r w:rsidR="00C9191D">
        <w:t xml:space="preserve"> effective interface.</w:t>
      </w:r>
    </w:p>
    <w:p w14:paraId="33FD33C5" w14:textId="77777777" w:rsidR="00011643" w:rsidRDefault="00011643" w:rsidP="00AD5ECB">
      <w:pPr>
        <w:rPr>
          <w:b/>
          <w:u w:val="single"/>
        </w:rPr>
      </w:pPr>
    </w:p>
    <w:p w14:paraId="13B7EB6E" w14:textId="77777777" w:rsidR="00011643" w:rsidRDefault="00011643" w:rsidP="00AD5ECB">
      <w:pPr>
        <w:rPr>
          <w:b/>
          <w:u w:val="single"/>
        </w:rPr>
      </w:pPr>
    </w:p>
    <w:p w14:paraId="11CF8CCB" w14:textId="77777777" w:rsidR="00AD5ECB" w:rsidRPr="00F31693" w:rsidRDefault="00AD5ECB" w:rsidP="00AD5ECB">
      <w:pPr>
        <w:rPr>
          <w:b/>
          <w:u w:val="single"/>
        </w:rPr>
      </w:pPr>
      <w:r w:rsidRPr="00F31693">
        <w:rPr>
          <w:b/>
          <w:u w:val="single"/>
        </w:rPr>
        <w:t>Transaction Monitoring Results</w:t>
      </w:r>
    </w:p>
    <w:tbl>
      <w:tblPr>
        <w:tblW w:w="9376" w:type="dxa"/>
        <w:tblInd w:w="95" w:type="dxa"/>
        <w:tblLook w:val="04A0" w:firstRow="1" w:lastRow="0" w:firstColumn="1" w:lastColumn="0" w:noHBand="0" w:noVBand="1"/>
      </w:tblPr>
      <w:tblGrid>
        <w:gridCol w:w="1289"/>
        <w:gridCol w:w="631"/>
        <w:gridCol w:w="960"/>
        <w:gridCol w:w="960"/>
        <w:gridCol w:w="960"/>
        <w:gridCol w:w="3473"/>
        <w:gridCol w:w="470"/>
        <w:gridCol w:w="411"/>
        <w:gridCol w:w="222"/>
      </w:tblGrid>
      <w:tr w:rsidR="00AD5ECB" w:rsidRPr="00F31693" w14:paraId="393A6DC9" w14:textId="77777777" w:rsidTr="003626DC">
        <w:trPr>
          <w:trHeight w:val="300"/>
        </w:trPr>
        <w:tc>
          <w:tcPr>
            <w:tcW w:w="1920" w:type="dxa"/>
            <w:gridSpan w:val="2"/>
            <w:tcBorders>
              <w:top w:val="nil"/>
              <w:left w:val="nil"/>
              <w:bottom w:val="single" w:sz="4" w:space="0" w:color="auto"/>
              <w:right w:val="nil"/>
            </w:tcBorders>
            <w:shd w:val="clear" w:color="auto" w:fill="auto"/>
            <w:noWrap/>
            <w:vAlign w:val="bottom"/>
            <w:hideMark/>
          </w:tcPr>
          <w:p w14:paraId="6258F334" w14:textId="77777777" w:rsidR="00AD5ECB" w:rsidRPr="00F31693" w:rsidRDefault="00AD5ECB" w:rsidP="00455FCE">
            <w:pPr>
              <w:spacing w:after="0" w:line="240" w:lineRule="auto"/>
              <w:jc w:val="center"/>
              <w:rPr>
                <w:rFonts w:ascii="Calibri" w:eastAsia="Times New Roman" w:hAnsi="Calibri" w:cs="Times New Roman"/>
                <w:b/>
                <w:bCs/>
                <w:color w:val="000000"/>
                <w:u w:val="single"/>
              </w:rPr>
            </w:pPr>
            <w:r w:rsidRPr="00F31693">
              <w:rPr>
                <w:rFonts w:ascii="Calibri" w:eastAsia="Times New Roman" w:hAnsi="Calibri" w:cs="Times New Roman"/>
                <w:b/>
                <w:bCs/>
                <w:color w:val="000000"/>
                <w:u w:val="single"/>
              </w:rPr>
              <w:t>SARs filed</w:t>
            </w:r>
          </w:p>
        </w:tc>
        <w:tc>
          <w:tcPr>
            <w:tcW w:w="960" w:type="dxa"/>
            <w:tcBorders>
              <w:top w:val="nil"/>
              <w:left w:val="nil"/>
              <w:bottom w:val="nil"/>
              <w:right w:val="nil"/>
            </w:tcBorders>
            <w:shd w:val="clear" w:color="auto" w:fill="auto"/>
            <w:noWrap/>
            <w:vAlign w:val="bottom"/>
            <w:hideMark/>
          </w:tcPr>
          <w:p w14:paraId="0976F938" w14:textId="77777777" w:rsidR="00AD5ECB" w:rsidRPr="00F31693" w:rsidRDefault="00AD5ECB" w:rsidP="00455FC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4439F54" w14:textId="77777777" w:rsidR="00AD5ECB" w:rsidRPr="00F31693" w:rsidRDefault="00AD5ECB" w:rsidP="00455FC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1442605" w14:textId="77777777" w:rsidR="00AD5ECB" w:rsidRPr="00F31693" w:rsidRDefault="00AD5ECB" w:rsidP="00455FCE">
            <w:pPr>
              <w:spacing w:after="0" w:line="240" w:lineRule="auto"/>
              <w:rPr>
                <w:rFonts w:ascii="Calibri" w:eastAsia="Times New Roman" w:hAnsi="Calibri" w:cs="Times New Roman"/>
                <w:color w:val="000000"/>
              </w:rPr>
            </w:pPr>
          </w:p>
        </w:tc>
        <w:tc>
          <w:tcPr>
            <w:tcW w:w="4576" w:type="dxa"/>
            <w:gridSpan w:val="4"/>
            <w:tcBorders>
              <w:top w:val="nil"/>
              <w:left w:val="nil"/>
              <w:bottom w:val="nil"/>
              <w:right w:val="nil"/>
            </w:tcBorders>
            <w:shd w:val="clear" w:color="auto" w:fill="auto"/>
            <w:noWrap/>
            <w:vAlign w:val="bottom"/>
            <w:hideMark/>
          </w:tcPr>
          <w:p w14:paraId="4E7352C0" w14:textId="77777777" w:rsidR="00AD5ECB" w:rsidRPr="00F31693" w:rsidRDefault="00AD5ECB" w:rsidP="00455FCE">
            <w:pPr>
              <w:spacing w:after="0" w:line="240" w:lineRule="auto"/>
              <w:jc w:val="center"/>
              <w:rPr>
                <w:rFonts w:ascii="Calibri" w:eastAsia="Times New Roman" w:hAnsi="Calibri" w:cs="Times New Roman"/>
                <w:b/>
                <w:bCs/>
                <w:color w:val="000000"/>
                <w:u w:val="single"/>
              </w:rPr>
            </w:pPr>
            <w:r w:rsidRPr="00F31693">
              <w:rPr>
                <w:rFonts w:ascii="Calibri" w:eastAsia="Times New Roman" w:hAnsi="Calibri" w:cs="Times New Roman"/>
                <w:b/>
                <w:bCs/>
                <w:color w:val="000000"/>
                <w:u w:val="single"/>
              </w:rPr>
              <w:t>Breakdown of Alerts by Department</w:t>
            </w:r>
          </w:p>
        </w:tc>
      </w:tr>
      <w:tr w:rsidR="00AD5ECB" w:rsidRPr="00F31693" w14:paraId="4CBD8164" w14:textId="77777777" w:rsidTr="003626DC">
        <w:trPr>
          <w:trHeight w:val="300"/>
        </w:trPr>
        <w:tc>
          <w:tcPr>
            <w:tcW w:w="12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2904A" w14:textId="77777777" w:rsidR="00AD5ECB" w:rsidRPr="00F31693" w:rsidRDefault="00AD5ECB" w:rsidP="009D03B2">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FY</w:t>
            </w:r>
            <w:r w:rsidR="0059409A">
              <w:rPr>
                <w:rFonts w:ascii="Calibri" w:eastAsia="Times New Roman" w:hAnsi="Calibri" w:cs="Times New Roman"/>
                <w:b/>
                <w:bCs/>
                <w:color w:val="000000"/>
              </w:rPr>
              <w:t>E</w:t>
            </w:r>
            <w:r w:rsidRPr="00F31693">
              <w:rPr>
                <w:rFonts w:ascii="Calibri" w:eastAsia="Times New Roman" w:hAnsi="Calibri" w:cs="Times New Roman"/>
                <w:b/>
                <w:bCs/>
                <w:color w:val="000000"/>
              </w:rPr>
              <w:t xml:space="preserve"> 201</w:t>
            </w:r>
            <w:r w:rsidR="009D03B2" w:rsidRPr="00F31693">
              <w:rPr>
                <w:rFonts w:ascii="Calibri" w:eastAsia="Times New Roman" w:hAnsi="Calibri" w:cs="Times New Roman"/>
                <w:b/>
                <w:bCs/>
                <w:color w:val="000000"/>
              </w:rPr>
              <w:t>6</w:t>
            </w:r>
          </w:p>
        </w:tc>
        <w:tc>
          <w:tcPr>
            <w:tcW w:w="631" w:type="dxa"/>
            <w:tcBorders>
              <w:top w:val="single" w:sz="4" w:space="0" w:color="auto"/>
              <w:left w:val="nil"/>
              <w:bottom w:val="single" w:sz="4" w:space="0" w:color="auto"/>
              <w:right w:val="single" w:sz="4" w:space="0" w:color="auto"/>
            </w:tcBorders>
            <w:shd w:val="clear" w:color="auto" w:fill="auto"/>
            <w:noWrap/>
            <w:vAlign w:val="bottom"/>
            <w:hideMark/>
          </w:tcPr>
          <w:p w14:paraId="3EB6194F" w14:textId="77777777" w:rsidR="00AD5ECB" w:rsidRPr="00F31693" w:rsidRDefault="00AD5ECB" w:rsidP="00F25A6C">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11</w:t>
            </w:r>
            <w:r w:rsidR="00F25A6C" w:rsidRPr="00F31693">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14:paraId="6AF5CEE7" w14:textId="77777777" w:rsidR="00AD5ECB" w:rsidRPr="00F31693" w:rsidRDefault="00AD5ECB" w:rsidP="00455FCE">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730F60A3" w14:textId="77777777" w:rsidR="00AD5ECB" w:rsidRPr="00F31693" w:rsidRDefault="00AD5ECB" w:rsidP="00455FC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FFB3CA2" w14:textId="77777777" w:rsidR="00AD5ECB" w:rsidRPr="00F31693" w:rsidRDefault="00AD5ECB" w:rsidP="00455FCE">
            <w:pPr>
              <w:spacing w:after="0" w:line="240" w:lineRule="auto"/>
              <w:rPr>
                <w:rFonts w:ascii="Calibri" w:eastAsia="Times New Roman" w:hAnsi="Calibri" w:cs="Times New Roman"/>
                <w:color w:val="000000"/>
              </w:rPr>
            </w:pPr>
          </w:p>
        </w:tc>
        <w:tc>
          <w:tcPr>
            <w:tcW w:w="3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1F096" w14:textId="77777777" w:rsidR="00AD5ECB" w:rsidRPr="00F31693" w:rsidRDefault="00AD5ECB" w:rsidP="00B1294C">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BSA Dep</w:t>
            </w:r>
            <w:r w:rsidR="00B1294C" w:rsidRPr="00F31693">
              <w:rPr>
                <w:rFonts w:ascii="Calibri" w:eastAsia="Times New Roman" w:hAnsi="Calibri" w:cs="Times New Roman"/>
                <w:b/>
                <w:bCs/>
                <w:color w:val="000000"/>
              </w:rPr>
              <w:t>artment</w:t>
            </w:r>
          </w:p>
        </w:tc>
        <w:tc>
          <w:tcPr>
            <w:tcW w:w="470" w:type="dxa"/>
            <w:tcBorders>
              <w:top w:val="single" w:sz="4" w:space="0" w:color="auto"/>
              <w:left w:val="nil"/>
              <w:bottom w:val="single" w:sz="4" w:space="0" w:color="auto"/>
              <w:right w:val="single" w:sz="4" w:space="0" w:color="auto"/>
            </w:tcBorders>
            <w:shd w:val="clear" w:color="auto" w:fill="auto"/>
            <w:noWrap/>
            <w:vAlign w:val="bottom"/>
            <w:hideMark/>
          </w:tcPr>
          <w:p w14:paraId="66878D3F" w14:textId="77777777" w:rsidR="00AD5ECB" w:rsidRPr="00F31693" w:rsidRDefault="003626DC" w:rsidP="00455FCE">
            <w:pPr>
              <w:spacing w:after="0" w:line="240" w:lineRule="auto"/>
              <w:jc w:val="right"/>
              <w:rPr>
                <w:rFonts w:ascii="Calibri" w:eastAsia="Times New Roman" w:hAnsi="Calibri" w:cs="Times New Roman"/>
                <w:color w:val="000000"/>
              </w:rPr>
            </w:pPr>
            <w:r w:rsidRPr="00F31693">
              <w:rPr>
                <w:rFonts w:ascii="Calibri" w:eastAsia="Times New Roman" w:hAnsi="Calibri" w:cs="Times New Roman"/>
                <w:color w:val="000000"/>
              </w:rPr>
              <w:t>73</w:t>
            </w:r>
          </w:p>
        </w:tc>
        <w:tc>
          <w:tcPr>
            <w:tcW w:w="411" w:type="dxa"/>
            <w:tcBorders>
              <w:top w:val="nil"/>
              <w:left w:val="nil"/>
              <w:bottom w:val="nil"/>
              <w:right w:val="nil"/>
            </w:tcBorders>
            <w:shd w:val="clear" w:color="auto" w:fill="auto"/>
            <w:noWrap/>
            <w:vAlign w:val="bottom"/>
            <w:hideMark/>
          </w:tcPr>
          <w:p w14:paraId="79429328" w14:textId="77777777" w:rsidR="00AD5ECB" w:rsidRPr="00F31693" w:rsidRDefault="00AD5ECB" w:rsidP="00455FCE">
            <w:pPr>
              <w:spacing w:after="0" w:line="240" w:lineRule="auto"/>
              <w:rPr>
                <w:rFonts w:ascii="Calibri" w:eastAsia="Times New Roman" w:hAnsi="Calibri" w:cs="Times New Roman"/>
                <w:color w:val="000000"/>
              </w:rPr>
            </w:pPr>
          </w:p>
        </w:tc>
        <w:tc>
          <w:tcPr>
            <w:tcW w:w="222" w:type="dxa"/>
            <w:tcBorders>
              <w:top w:val="nil"/>
              <w:left w:val="nil"/>
              <w:bottom w:val="nil"/>
              <w:right w:val="nil"/>
            </w:tcBorders>
            <w:shd w:val="clear" w:color="auto" w:fill="auto"/>
            <w:noWrap/>
            <w:vAlign w:val="bottom"/>
            <w:hideMark/>
          </w:tcPr>
          <w:p w14:paraId="0A146D9B" w14:textId="77777777" w:rsidR="00AD5ECB" w:rsidRPr="00F31693" w:rsidRDefault="00AD5ECB" w:rsidP="00455FCE">
            <w:pPr>
              <w:spacing w:after="0" w:line="240" w:lineRule="auto"/>
              <w:rPr>
                <w:rFonts w:ascii="Calibri" w:eastAsia="Times New Roman" w:hAnsi="Calibri" w:cs="Times New Roman"/>
                <w:color w:val="000000"/>
              </w:rPr>
            </w:pPr>
          </w:p>
        </w:tc>
      </w:tr>
      <w:tr w:rsidR="00AD5ECB" w:rsidRPr="00F31693" w14:paraId="359D98D1" w14:textId="77777777" w:rsidTr="003626DC">
        <w:trPr>
          <w:trHeight w:val="300"/>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1D19A801" w14:textId="77777777" w:rsidR="00AD5ECB" w:rsidRPr="00F31693" w:rsidRDefault="00AD5ECB" w:rsidP="00F25A6C">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FY</w:t>
            </w:r>
            <w:r w:rsidR="0059409A">
              <w:rPr>
                <w:rFonts w:ascii="Calibri" w:eastAsia="Times New Roman" w:hAnsi="Calibri" w:cs="Times New Roman"/>
                <w:b/>
                <w:bCs/>
                <w:color w:val="000000"/>
              </w:rPr>
              <w:t>E</w:t>
            </w:r>
            <w:r w:rsidRPr="00F31693">
              <w:rPr>
                <w:rFonts w:ascii="Calibri" w:eastAsia="Times New Roman" w:hAnsi="Calibri" w:cs="Times New Roman"/>
                <w:b/>
                <w:bCs/>
                <w:color w:val="000000"/>
              </w:rPr>
              <w:t xml:space="preserve"> 201</w:t>
            </w:r>
            <w:r w:rsidR="00F25A6C" w:rsidRPr="00F31693">
              <w:rPr>
                <w:rFonts w:ascii="Calibri" w:eastAsia="Times New Roman" w:hAnsi="Calibri" w:cs="Times New Roman"/>
                <w:b/>
                <w:bCs/>
                <w:color w:val="000000"/>
              </w:rPr>
              <w:t>5</w:t>
            </w:r>
          </w:p>
        </w:tc>
        <w:tc>
          <w:tcPr>
            <w:tcW w:w="631" w:type="dxa"/>
            <w:tcBorders>
              <w:top w:val="nil"/>
              <w:left w:val="nil"/>
              <w:bottom w:val="single" w:sz="4" w:space="0" w:color="auto"/>
              <w:right w:val="single" w:sz="4" w:space="0" w:color="auto"/>
            </w:tcBorders>
            <w:shd w:val="clear" w:color="auto" w:fill="auto"/>
            <w:noWrap/>
            <w:vAlign w:val="bottom"/>
            <w:hideMark/>
          </w:tcPr>
          <w:p w14:paraId="7C4EFD8F" w14:textId="77777777" w:rsidR="00AD5ECB" w:rsidRPr="00F31693" w:rsidRDefault="00F25A6C" w:rsidP="00455FC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115</w:t>
            </w:r>
          </w:p>
        </w:tc>
        <w:tc>
          <w:tcPr>
            <w:tcW w:w="960" w:type="dxa"/>
            <w:tcBorders>
              <w:top w:val="nil"/>
              <w:left w:val="nil"/>
              <w:bottom w:val="nil"/>
              <w:right w:val="nil"/>
            </w:tcBorders>
            <w:shd w:val="clear" w:color="auto" w:fill="auto"/>
            <w:noWrap/>
            <w:vAlign w:val="bottom"/>
            <w:hideMark/>
          </w:tcPr>
          <w:p w14:paraId="7D6256EC" w14:textId="77777777" w:rsidR="00AD5ECB" w:rsidRPr="00F31693" w:rsidRDefault="00AD5ECB" w:rsidP="00455FCE">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40ADA53A" w14:textId="77777777" w:rsidR="00AD5ECB" w:rsidRPr="00F31693" w:rsidRDefault="00AD5ECB" w:rsidP="00455FC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60A887E5" w14:textId="77777777" w:rsidR="00AD5ECB" w:rsidRPr="00F31693" w:rsidRDefault="00AD5ECB" w:rsidP="00455FCE">
            <w:pPr>
              <w:spacing w:after="0" w:line="240" w:lineRule="auto"/>
              <w:rPr>
                <w:rFonts w:ascii="Calibri" w:eastAsia="Times New Roman" w:hAnsi="Calibri" w:cs="Times New Roman"/>
                <w:color w:val="000000"/>
              </w:rPr>
            </w:pPr>
          </w:p>
        </w:tc>
        <w:tc>
          <w:tcPr>
            <w:tcW w:w="3473" w:type="dxa"/>
            <w:tcBorders>
              <w:top w:val="nil"/>
              <w:left w:val="single" w:sz="4" w:space="0" w:color="auto"/>
              <w:bottom w:val="single" w:sz="4" w:space="0" w:color="auto"/>
              <w:right w:val="single" w:sz="4" w:space="0" w:color="auto"/>
            </w:tcBorders>
            <w:shd w:val="clear" w:color="auto" w:fill="auto"/>
            <w:noWrap/>
            <w:vAlign w:val="bottom"/>
            <w:hideMark/>
          </w:tcPr>
          <w:p w14:paraId="3C7256A0" w14:textId="77777777" w:rsidR="00AD5ECB" w:rsidRPr="00F31693" w:rsidRDefault="00AD5ECB" w:rsidP="00455FC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Branch Admin</w:t>
            </w:r>
            <w:r w:rsidR="00B1294C" w:rsidRPr="00F31693">
              <w:rPr>
                <w:rFonts w:ascii="Calibri" w:eastAsia="Times New Roman" w:hAnsi="Calibri" w:cs="Times New Roman"/>
                <w:b/>
                <w:bCs/>
                <w:color w:val="000000"/>
              </w:rPr>
              <w:t>istration</w:t>
            </w:r>
          </w:p>
        </w:tc>
        <w:tc>
          <w:tcPr>
            <w:tcW w:w="470" w:type="dxa"/>
            <w:tcBorders>
              <w:top w:val="nil"/>
              <w:left w:val="nil"/>
              <w:bottom w:val="single" w:sz="4" w:space="0" w:color="auto"/>
              <w:right w:val="single" w:sz="4" w:space="0" w:color="auto"/>
            </w:tcBorders>
            <w:shd w:val="clear" w:color="auto" w:fill="auto"/>
            <w:noWrap/>
            <w:vAlign w:val="bottom"/>
            <w:hideMark/>
          </w:tcPr>
          <w:p w14:paraId="09720A53" w14:textId="77777777" w:rsidR="00AD5ECB" w:rsidRPr="00F31693" w:rsidRDefault="003626DC" w:rsidP="00455FCE">
            <w:pPr>
              <w:spacing w:after="0" w:line="240" w:lineRule="auto"/>
              <w:jc w:val="right"/>
              <w:rPr>
                <w:rFonts w:ascii="Calibri" w:eastAsia="Times New Roman" w:hAnsi="Calibri" w:cs="Times New Roman"/>
                <w:color w:val="000000"/>
              </w:rPr>
            </w:pPr>
            <w:r w:rsidRPr="00F31693">
              <w:rPr>
                <w:rFonts w:ascii="Calibri" w:eastAsia="Times New Roman" w:hAnsi="Calibri" w:cs="Times New Roman"/>
                <w:color w:val="000000"/>
              </w:rPr>
              <w:t>3</w:t>
            </w:r>
          </w:p>
        </w:tc>
        <w:tc>
          <w:tcPr>
            <w:tcW w:w="411" w:type="dxa"/>
            <w:tcBorders>
              <w:top w:val="nil"/>
              <w:left w:val="nil"/>
              <w:bottom w:val="nil"/>
              <w:right w:val="nil"/>
            </w:tcBorders>
            <w:shd w:val="clear" w:color="auto" w:fill="auto"/>
            <w:noWrap/>
            <w:vAlign w:val="bottom"/>
            <w:hideMark/>
          </w:tcPr>
          <w:p w14:paraId="7702CF97" w14:textId="77777777" w:rsidR="00AD5ECB" w:rsidRPr="00F31693" w:rsidRDefault="00AD5ECB" w:rsidP="00455FCE">
            <w:pPr>
              <w:spacing w:after="0" w:line="240" w:lineRule="auto"/>
              <w:rPr>
                <w:rFonts w:ascii="Calibri" w:eastAsia="Times New Roman" w:hAnsi="Calibri" w:cs="Times New Roman"/>
                <w:color w:val="000000"/>
              </w:rPr>
            </w:pPr>
          </w:p>
        </w:tc>
        <w:tc>
          <w:tcPr>
            <w:tcW w:w="222" w:type="dxa"/>
            <w:tcBorders>
              <w:top w:val="nil"/>
              <w:left w:val="nil"/>
              <w:bottom w:val="nil"/>
              <w:right w:val="nil"/>
            </w:tcBorders>
            <w:shd w:val="clear" w:color="auto" w:fill="auto"/>
            <w:noWrap/>
            <w:vAlign w:val="bottom"/>
            <w:hideMark/>
          </w:tcPr>
          <w:p w14:paraId="41E2D1F6" w14:textId="77777777" w:rsidR="00AD5ECB" w:rsidRPr="00F31693" w:rsidRDefault="00AD5ECB" w:rsidP="00455FCE">
            <w:pPr>
              <w:spacing w:after="0" w:line="240" w:lineRule="auto"/>
              <w:rPr>
                <w:rFonts w:ascii="Calibri" w:eastAsia="Times New Roman" w:hAnsi="Calibri" w:cs="Times New Roman"/>
                <w:color w:val="000000"/>
              </w:rPr>
            </w:pPr>
          </w:p>
        </w:tc>
      </w:tr>
      <w:tr w:rsidR="00AD5ECB" w:rsidRPr="00F31693" w14:paraId="47655296" w14:textId="77777777" w:rsidTr="003626DC">
        <w:trPr>
          <w:trHeight w:val="300"/>
        </w:trPr>
        <w:tc>
          <w:tcPr>
            <w:tcW w:w="1289" w:type="dxa"/>
            <w:tcBorders>
              <w:top w:val="nil"/>
              <w:left w:val="nil"/>
              <w:bottom w:val="nil"/>
              <w:right w:val="single" w:sz="4" w:space="0" w:color="auto"/>
            </w:tcBorders>
            <w:shd w:val="clear" w:color="auto" w:fill="auto"/>
            <w:noWrap/>
            <w:vAlign w:val="bottom"/>
            <w:hideMark/>
          </w:tcPr>
          <w:p w14:paraId="79FC6A94" w14:textId="77777777" w:rsidR="00AD5ECB" w:rsidRPr="00F31693" w:rsidRDefault="00AD5ECB" w:rsidP="00455FCE">
            <w:pPr>
              <w:spacing w:after="0" w:line="240" w:lineRule="auto"/>
              <w:rPr>
                <w:rFonts w:ascii="Calibri" w:eastAsia="Times New Roman" w:hAnsi="Calibri" w:cs="Times New Roman"/>
                <w:color w:val="000000"/>
              </w:rPr>
            </w:pPr>
            <w:r w:rsidRPr="00F31693">
              <w:rPr>
                <w:rFonts w:ascii="Calibri" w:eastAsia="Times New Roman" w:hAnsi="Calibri" w:cs="Times New Roman"/>
                <w:color w:val="000000"/>
              </w:rPr>
              <w:t> </w:t>
            </w:r>
          </w:p>
        </w:tc>
        <w:tc>
          <w:tcPr>
            <w:tcW w:w="631" w:type="dxa"/>
            <w:tcBorders>
              <w:top w:val="nil"/>
              <w:left w:val="nil"/>
              <w:bottom w:val="single" w:sz="4" w:space="0" w:color="auto"/>
              <w:right w:val="single" w:sz="4" w:space="0" w:color="auto"/>
            </w:tcBorders>
            <w:shd w:val="clear" w:color="000000" w:fill="FFFF00"/>
            <w:noWrap/>
            <w:vAlign w:val="bottom"/>
            <w:hideMark/>
          </w:tcPr>
          <w:p w14:paraId="6391BC1B" w14:textId="77777777" w:rsidR="00AD5ECB" w:rsidRPr="00F31693" w:rsidRDefault="00F25A6C" w:rsidP="00455FC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68EA39E3" w14:textId="77777777" w:rsidR="00AD5ECB" w:rsidRPr="00F31693" w:rsidRDefault="00297915" w:rsidP="00455FC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r w:rsidR="00F25A6C" w:rsidRPr="00F31693">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14:paraId="7CBBB0BF" w14:textId="77777777" w:rsidR="00AD5ECB" w:rsidRPr="00F31693" w:rsidRDefault="00AD5ECB" w:rsidP="00455FC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4778962F" w14:textId="77777777" w:rsidR="00AD5ECB" w:rsidRPr="00F31693" w:rsidRDefault="00AD5ECB" w:rsidP="00455FCE">
            <w:pPr>
              <w:spacing w:after="0" w:line="240" w:lineRule="auto"/>
              <w:rPr>
                <w:rFonts w:ascii="Calibri" w:eastAsia="Times New Roman" w:hAnsi="Calibri" w:cs="Times New Roman"/>
                <w:color w:val="000000"/>
              </w:rPr>
            </w:pPr>
          </w:p>
        </w:tc>
        <w:tc>
          <w:tcPr>
            <w:tcW w:w="3473" w:type="dxa"/>
            <w:tcBorders>
              <w:top w:val="nil"/>
              <w:left w:val="nil"/>
              <w:bottom w:val="nil"/>
              <w:right w:val="single" w:sz="4" w:space="0" w:color="auto"/>
            </w:tcBorders>
            <w:shd w:val="clear" w:color="auto" w:fill="auto"/>
            <w:noWrap/>
            <w:vAlign w:val="bottom"/>
            <w:hideMark/>
          </w:tcPr>
          <w:p w14:paraId="78265A38" w14:textId="77777777" w:rsidR="00AD5ECB" w:rsidRPr="00F31693" w:rsidRDefault="00AD5ECB" w:rsidP="00455FCE">
            <w:pPr>
              <w:spacing w:after="0" w:line="240" w:lineRule="auto"/>
              <w:rPr>
                <w:rFonts w:ascii="Calibri" w:eastAsia="Times New Roman" w:hAnsi="Calibri" w:cs="Times New Roman"/>
                <w:color w:val="000000"/>
              </w:rPr>
            </w:pPr>
          </w:p>
        </w:tc>
        <w:tc>
          <w:tcPr>
            <w:tcW w:w="470" w:type="dxa"/>
            <w:tcBorders>
              <w:top w:val="nil"/>
              <w:left w:val="nil"/>
              <w:bottom w:val="single" w:sz="4" w:space="0" w:color="auto"/>
              <w:right w:val="single" w:sz="4" w:space="0" w:color="auto"/>
            </w:tcBorders>
            <w:shd w:val="clear" w:color="000000" w:fill="FFFF00"/>
            <w:noWrap/>
            <w:vAlign w:val="bottom"/>
            <w:hideMark/>
          </w:tcPr>
          <w:p w14:paraId="72600BAE" w14:textId="77777777" w:rsidR="00AD5ECB" w:rsidRPr="00F31693" w:rsidRDefault="003626DC" w:rsidP="00455FCE">
            <w:pPr>
              <w:spacing w:after="0" w:line="240" w:lineRule="auto"/>
              <w:jc w:val="right"/>
              <w:rPr>
                <w:rFonts w:ascii="Calibri" w:eastAsia="Times New Roman" w:hAnsi="Calibri" w:cs="Times New Roman"/>
                <w:color w:val="000000"/>
              </w:rPr>
            </w:pPr>
            <w:r w:rsidRPr="00F31693">
              <w:rPr>
                <w:rFonts w:ascii="Calibri" w:eastAsia="Times New Roman" w:hAnsi="Calibri" w:cs="Times New Roman"/>
                <w:color w:val="000000"/>
              </w:rPr>
              <w:t>76</w:t>
            </w:r>
          </w:p>
        </w:tc>
        <w:tc>
          <w:tcPr>
            <w:tcW w:w="411" w:type="dxa"/>
            <w:tcBorders>
              <w:top w:val="nil"/>
              <w:left w:val="nil"/>
              <w:bottom w:val="nil"/>
              <w:right w:val="nil"/>
            </w:tcBorders>
            <w:shd w:val="clear" w:color="auto" w:fill="auto"/>
            <w:noWrap/>
            <w:vAlign w:val="bottom"/>
            <w:hideMark/>
          </w:tcPr>
          <w:p w14:paraId="69ACFD6E" w14:textId="77777777" w:rsidR="00AD5ECB" w:rsidRPr="00F31693" w:rsidRDefault="00AD5ECB" w:rsidP="00455FCE">
            <w:pPr>
              <w:spacing w:after="0" w:line="240" w:lineRule="auto"/>
              <w:rPr>
                <w:rFonts w:ascii="Calibri" w:eastAsia="Times New Roman" w:hAnsi="Calibri" w:cs="Times New Roman"/>
                <w:color w:val="000000"/>
              </w:rPr>
            </w:pPr>
          </w:p>
        </w:tc>
        <w:tc>
          <w:tcPr>
            <w:tcW w:w="222" w:type="dxa"/>
            <w:tcBorders>
              <w:top w:val="nil"/>
              <w:left w:val="nil"/>
              <w:bottom w:val="nil"/>
              <w:right w:val="nil"/>
            </w:tcBorders>
            <w:shd w:val="clear" w:color="auto" w:fill="auto"/>
            <w:noWrap/>
            <w:vAlign w:val="bottom"/>
            <w:hideMark/>
          </w:tcPr>
          <w:p w14:paraId="2C836278" w14:textId="77777777" w:rsidR="00AD5ECB" w:rsidRPr="00F31693" w:rsidRDefault="00AD5ECB" w:rsidP="00455FCE">
            <w:pPr>
              <w:spacing w:after="0" w:line="240" w:lineRule="auto"/>
              <w:rPr>
                <w:rFonts w:ascii="Calibri" w:eastAsia="Times New Roman" w:hAnsi="Calibri" w:cs="Times New Roman"/>
                <w:color w:val="000000"/>
              </w:rPr>
            </w:pPr>
          </w:p>
        </w:tc>
      </w:tr>
    </w:tbl>
    <w:p w14:paraId="151E18CA" w14:textId="77777777" w:rsidR="00AD5ECB" w:rsidRPr="00F31693" w:rsidRDefault="00AD5ECB" w:rsidP="00AD5ECB"/>
    <w:p w14:paraId="3EA9BE1F" w14:textId="77777777" w:rsidR="00AD5ECB" w:rsidRPr="00F31693" w:rsidRDefault="00EA7139" w:rsidP="00AD5ECB">
      <w:r w:rsidRPr="00F31693">
        <w:t>For FY</w:t>
      </w:r>
      <w:r w:rsidR="00C9191D">
        <w:t>E</w:t>
      </w:r>
      <w:r w:rsidRPr="00F31693">
        <w:t xml:space="preserve"> 2016 there were 116</w:t>
      </w:r>
      <w:r w:rsidR="00AD5ECB" w:rsidRPr="00F31693">
        <w:t xml:space="preserve"> Suspicious Activity Reports (SARs) filed with FinC</w:t>
      </w:r>
      <w:r w:rsidRPr="00F31693">
        <w:t>EN compared with 115 for FY</w:t>
      </w:r>
      <w:r w:rsidR="00C9191D">
        <w:t>E</w:t>
      </w:r>
      <w:r w:rsidRPr="00F31693">
        <w:t xml:space="preserve"> 2015</w:t>
      </w:r>
      <w:r w:rsidR="00AD5ECB" w:rsidRPr="00F31693">
        <w:t xml:space="preserve">, </w:t>
      </w:r>
      <w:r w:rsidR="001C66FD" w:rsidRPr="00F31693">
        <w:t>an</w:t>
      </w:r>
      <w:r w:rsidR="00AD5ECB" w:rsidRPr="00F31693">
        <w:t xml:space="preserve"> </w:t>
      </w:r>
      <w:r w:rsidRPr="00F31693">
        <w:t>increase</w:t>
      </w:r>
      <w:r w:rsidR="00AD5ECB" w:rsidRPr="00F31693">
        <w:t xml:space="preserve"> of </w:t>
      </w:r>
      <w:r w:rsidRPr="00F31693">
        <w:t>0.8</w:t>
      </w:r>
      <w:r w:rsidR="00AD5ECB" w:rsidRPr="00F31693">
        <w:t>%.</w:t>
      </w:r>
    </w:p>
    <w:p w14:paraId="10EF82B5" w14:textId="77777777" w:rsidR="00AD5ECB" w:rsidRPr="00F31693" w:rsidRDefault="00AD5ECB" w:rsidP="00AD5ECB">
      <w:r w:rsidRPr="00F31693">
        <w:t xml:space="preserve">During the assessment period there were </w:t>
      </w:r>
      <w:r w:rsidR="00EA7139" w:rsidRPr="00F31693">
        <w:t>76</w:t>
      </w:r>
      <w:r w:rsidRPr="00F31693">
        <w:t xml:space="preserve"> new suspicious activity alerts reported and investigated. A breakdown of these alerts by department is as follows: BSA </w:t>
      </w:r>
      <w:r w:rsidR="00EA7139" w:rsidRPr="00F31693">
        <w:t>73</w:t>
      </w:r>
      <w:r w:rsidRPr="00F31693">
        <w:t xml:space="preserve"> and Branch Administration </w:t>
      </w:r>
      <w:r w:rsidR="00EA7139" w:rsidRPr="00F31693">
        <w:t>3</w:t>
      </w:r>
      <w:r w:rsidRPr="00F31693">
        <w:t xml:space="preserve">. The </w:t>
      </w:r>
      <w:r w:rsidR="00EA7139" w:rsidRPr="00F31693">
        <w:t>76</w:t>
      </w:r>
      <w:r w:rsidRPr="00F31693">
        <w:t xml:space="preserve"> new alerts did not all yield a SAR being </w:t>
      </w:r>
      <w:proofErr w:type="gramStart"/>
      <w:r w:rsidRPr="00F31693">
        <w:t>file</w:t>
      </w:r>
      <w:proofErr w:type="gramEnd"/>
      <w:r w:rsidRPr="00F31693">
        <w:t xml:space="preserve">. </w:t>
      </w:r>
      <w:r w:rsidR="00EA7139" w:rsidRPr="00F31693">
        <w:t>25</w:t>
      </w:r>
      <w:r w:rsidRPr="00F31693">
        <w:t xml:space="preserve"> were labeled as “no further action” while the remainder was labeled as “SAR filed” or “Prepare SAR</w:t>
      </w:r>
      <w:r w:rsidR="00EA14B7" w:rsidRPr="00F31693">
        <w:t>”</w:t>
      </w:r>
      <w:r w:rsidRPr="00F31693">
        <w:t xml:space="preserve">. </w:t>
      </w:r>
    </w:p>
    <w:p w14:paraId="4F760C41" w14:textId="77777777" w:rsidR="00AD5ECB" w:rsidRPr="00F31693" w:rsidRDefault="00EA7139" w:rsidP="00AD5ECB">
      <w:pPr>
        <w:pStyle w:val="NoSpacing"/>
        <w:rPr>
          <w:b/>
        </w:rPr>
      </w:pPr>
      <w:r w:rsidRPr="00F31693">
        <w:rPr>
          <w:b/>
        </w:rPr>
        <w:t>Money Laundering – 12</w:t>
      </w:r>
    </w:p>
    <w:p w14:paraId="7EC103C8" w14:textId="77777777" w:rsidR="00EA7139" w:rsidRPr="00F31693" w:rsidRDefault="00EA7139" w:rsidP="00AD5ECB">
      <w:pPr>
        <w:pStyle w:val="NoSpacing"/>
        <w:rPr>
          <w:b/>
        </w:rPr>
      </w:pPr>
      <w:r w:rsidRPr="00F31693">
        <w:rPr>
          <w:b/>
        </w:rPr>
        <w:t xml:space="preserve">Large Cash withdrawals under limit of reporting- 1 </w:t>
      </w:r>
    </w:p>
    <w:p w14:paraId="4DBB1E9E" w14:textId="77777777" w:rsidR="00EA7139" w:rsidRPr="00F31693" w:rsidRDefault="00AD5ECB" w:rsidP="00AD5ECB">
      <w:pPr>
        <w:pStyle w:val="NoSpacing"/>
        <w:rPr>
          <w:b/>
        </w:rPr>
      </w:pPr>
      <w:r w:rsidRPr="00F31693">
        <w:rPr>
          <w:b/>
        </w:rPr>
        <w:t xml:space="preserve">Possible Elder Abuse – 1 </w:t>
      </w:r>
    </w:p>
    <w:p w14:paraId="1E92831E" w14:textId="77777777" w:rsidR="00AD5ECB" w:rsidRPr="00F31693" w:rsidRDefault="00AD5ECB" w:rsidP="00AD5ECB">
      <w:pPr>
        <w:pStyle w:val="NoSpacing"/>
        <w:rPr>
          <w:b/>
        </w:rPr>
      </w:pPr>
      <w:r w:rsidRPr="00F31693">
        <w:rPr>
          <w:b/>
        </w:rPr>
        <w:t xml:space="preserve">Structuring – </w:t>
      </w:r>
      <w:r w:rsidR="00EA7139" w:rsidRPr="00F31693">
        <w:rPr>
          <w:b/>
        </w:rPr>
        <w:t>31</w:t>
      </w:r>
    </w:p>
    <w:p w14:paraId="75BCE911" w14:textId="77777777" w:rsidR="00AD5ECB" w:rsidRPr="00F31693" w:rsidRDefault="00EA7139" w:rsidP="00AD5ECB">
      <w:pPr>
        <w:pStyle w:val="NoSpacing"/>
        <w:rPr>
          <w:b/>
        </w:rPr>
      </w:pPr>
      <w:r w:rsidRPr="00F31693">
        <w:rPr>
          <w:b/>
        </w:rPr>
        <w:t>Tax evasion</w:t>
      </w:r>
      <w:r w:rsidR="00AD5ECB" w:rsidRPr="00F31693">
        <w:rPr>
          <w:b/>
        </w:rPr>
        <w:t xml:space="preserve"> – 1</w:t>
      </w:r>
    </w:p>
    <w:p w14:paraId="6B4622D7" w14:textId="77777777" w:rsidR="00AD5ECB" w:rsidRPr="00F31693" w:rsidRDefault="00EA7139" w:rsidP="00AD5ECB">
      <w:pPr>
        <w:pStyle w:val="NoSpacing"/>
        <w:rPr>
          <w:b/>
        </w:rPr>
      </w:pPr>
      <w:r w:rsidRPr="00F31693">
        <w:rPr>
          <w:b/>
        </w:rPr>
        <w:t>Currency exchanges</w:t>
      </w:r>
      <w:r w:rsidR="00AD5ECB" w:rsidRPr="00F31693">
        <w:rPr>
          <w:b/>
        </w:rPr>
        <w:t xml:space="preserve"> – 1</w:t>
      </w:r>
    </w:p>
    <w:p w14:paraId="7CB38112" w14:textId="77777777" w:rsidR="00AD5ECB" w:rsidRPr="00F31693" w:rsidRDefault="00EA7139" w:rsidP="00AD5ECB">
      <w:pPr>
        <w:pStyle w:val="NoSpacing"/>
        <w:rPr>
          <w:b/>
        </w:rPr>
      </w:pPr>
      <w:r w:rsidRPr="00F31693">
        <w:rPr>
          <w:b/>
        </w:rPr>
        <w:t>Review Activity</w:t>
      </w:r>
      <w:r w:rsidR="00AD5ECB" w:rsidRPr="00F31693">
        <w:rPr>
          <w:b/>
        </w:rPr>
        <w:t xml:space="preserve"> – </w:t>
      </w:r>
      <w:r w:rsidRPr="00F31693">
        <w:rPr>
          <w:b/>
        </w:rPr>
        <w:t>7</w:t>
      </w:r>
    </w:p>
    <w:p w14:paraId="0D6B9032" w14:textId="77777777" w:rsidR="00AD5ECB" w:rsidRPr="00F31693" w:rsidRDefault="00AD5ECB" w:rsidP="00AD5ECB">
      <w:pPr>
        <w:pStyle w:val="NoSpacing"/>
        <w:rPr>
          <w:b/>
        </w:rPr>
      </w:pPr>
      <w:r w:rsidRPr="00F31693">
        <w:rPr>
          <w:b/>
        </w:rPr>
        <w:t xml:space="preserve">Unknown Source of Cash – </w:t>
      </w:r>
      <w:r w:rsidR="00EA7139" w:rsidRPr="00F31693">
        <w:rPr>
          <w:b/>
        </w:rPr>
        <w:t xml:space="preserve">20 </w:t>
      </w:r>
    </w:p>
    <w:p w14:paraId="72877CFE" w14:textId="77777777" w:rsidR="00AD5ECB" w:rsidRPr="00F31693" w:rsidRDefault="00AD5ECB" w:rsidP="00AD5ECB">
      <w:pPr>
        <w:pStyle w:val="NoSpacing"/>
        <w:rPr>
          <w:b/>
        </w:rPr>
      </w:pPr>
      <w:r w:rsidRPr="00F31693">
        <w:rPr>
          <w:b/>
        </w:rPr>
        <w:t>Structure</w:t>
      </w:r>
      <w:r w:rsidR="00EA7139" w:rsidRPr="00F31693">
        <w:rPr>
          <w:b/>
        </w:rPr>
        <w:t>d Withdrawals/Business Check – 1</w:t>
      </w:r>
    </w:p>
    <w:p w14:paraId="52D30A44" w14:textId="77777777" w:rsidR="00EA7139" w:rsidRPr="00F31693" w:rsidRDefault="00EA7139" w:rsidP="00AD5ECB">
      <w:pPr>
        <w:pStyle w:val="NoSpacing"/>
        <w:rPr>
          <w:b/>
        </w:rPr>
      </w:pPr>
      <w:r w:rsidRPr="00F31693">
        <w:rPr>
          <w:b/>
        </w:rPr>
        <w:t xml:space="preserve">Excessive ODs- 1 </w:t>
      </w:r>
    </w:p>
    <w:p w14:paraId="053DC56C" w14:textId="77777777" w:rsidR="00AD5ECB" w:rsidRPr="00F31693" w:rsidRDefault="00AD5ECB" w:rsidP="00AD5ECB">
      <w:pPr>
        <w:pStyle w:val="NoSpacing"/>
      </w:pPr>
    </w:p>
    <w:p w14:paraId="2DCB773C" w14:textId="77777777" w:rsidR="00AD5ECB" w:rsidRPr="00F31693" w:rsidRDefault="00AD5ECB" w:rsidP="00AD5ECB">
      <w:proofErr w:type="gramStart"/>
      <w:r w:rsidRPr="00F31693">
        <w:t>The majority of</w:t>
      </w:r>
      <w:proofErr w:type="gramEnd"/>
      <w:r w:rsidRPr="00F31693">
        <w:t xml:space="preserve"> suspicious activity investigated has been money laundering activity where business owners have been laundering funds from their businesses through their personal accounts or customers have been using personal accounts to conduct business activities such as managing real estate, landscaping, construction related jobs and beauty salon related occupations. </w:t>
      </w:r>
    </w:p>
    <w:p w14:paraId="71A9F8B5" w14:textId="77777777" w:rsidR="00AD5ECB" w:rsidRPr="00F31693" w:rsidRDefault="00AD5ECB" w:rsidP="00AD5ECB">
      <w:pPr>
        <w:pStyle w:val="NoSpacing"/>
      </w:pPr>
      <w:r w:rsidRPr="00F31693">
        <w:t xml:space="preserve">The </w:t>
      </w:r>
      <w:r w:rsidR="00D171C8" w:rsidRPr="00F31693">
        <w:t>116</w:t>
      </w:r>
      <w:r w:rsidRPr="00F31693">
        <w:t xml:space="preserve"> SARs were filed as follows:</w:t>
      </w:r>
    </w:p>
    <w:p w14:paraId="20B735A3" w14:textId="77777777" w:rsidR="00AD5ECB" w:rsidRPr="00F31693" w:rsidRDefault="00AD5ECB" w:rsidP="00AD5ECB">
      <w:pPr>
        <w:pStyle w:val="NoSpacing"/>
      </w:pPr>
    </w:p>
    <w:p w14:paraId="2F9167B0" w14:textId="77777777" w:rsidR="00AD5ECB" w:rsidRPr="00F31693" w:rsidRDefault="00AD5ECB" w:rsidP="00AD5ECB">
      <w:pPr>
        <w:pStyle w:val="NoSpacing"/>
        <w:rPr>
          <w:b/>
        </w:rPr>
      </w:pPr>
      <w:r w:rsidRPr="00F31693">
        <w:rPr>
          <w:b/>
        </w:rPr>
        <w:t xml:space="preserve">Money Laundering: </w:t>
      </w:r>
      <w:r w:rsidR="00D171C8" w:rsidRPr="00F31693">
        <w:rPr>
          <w:b/>
        </w:rPr>
        <w:t>55</w:t>
      </w:r>
    </w:p>
    <w:p w14:paraId="78438AA0" w14:textId="77777777" w:rsidR="00AD5ECB" w:rsidRPr="00F31693" w:rsidRDefault="00AD5ECB" w:rsidP="00AD5ECB">
      <w:pPr>
        <w:pStyle w:val="NoSpacing"/>
        <w:rPr>
          <w:b/>
        </w:rPr>
      </w:pPr>
      <w:r w:rsidRPr="00F31693">
        <w:rPr>
          <w:b/>
        </w:rPr>
        <w:t>Structuring: 5</w:t>
      </w:r>
    </w:p>
    <w:p w14:paraId="522A0519" w14:textId="77777777" w:rsidR="00AD5ECB" w:rsidRPr="00F31693" w:rsidRDefault="00AD5ECB" w:rsidP="00AD5ECB">
      <w:pPr>
        <w:pStyle w:val="NoSpacing"/>
        <w:rPr>
          <w:b/>
        </w:rPr>
      </w:pPr>
      <w:r w:rsidRPr="00F31693">
        <w:rPr>
          <w:b/>
        </w:rPr>
        <w:t xml:space="preserve">Structuring/Money Laundering: </w:t>
      </w:r>
      <w:r w:rsidR="001C66FD" w:rsidRPr="00F31693">
        <w:rPr>
          <w:b/>
        </w:rPr>
        <w:t>52</w:t>
      </w:r>
    </w:p>
    <w:p w14:paraId="31127C5B" w14:textId="77777777" w:rsidR="00AD5ECB" w:rsidRPr="00F31693" w:rsidRDefault="00AD5ECB" w:rsidP="00AD5ECB">
      <w:pPr>
        <w:pStyle w:val="NoSpacing"/>
        <w:rPr>
          <w:b/>
        </w:rPr>
      </w:pPr>
      <w:r w:rsidRPr="00F31693">
        <w:rPr>
          <w:b/>
        </w:rPr>
        <w:t>Money La</w:t>
      </w:r>
      <w:r w:rsidR="001C66FD" w:rsidRPr="00F31693">
        <w:rPr>
          <w:b/>
        </w:rPr>
        <w:t>undering/Possible Elder Abuse: 1</w:t>
      </w:r>
    </w:p>
    <w:p w14:paraId="2D397498" w14:textId="77777777" w:rsidR="00AD5ECB" w:rsidRPr="00F31693" w:rsidRDefault="001C66FD" w:rsidP="00AD5ECB">
      <w:pPr>
        <w:pStyle w:val="NoSpacing"/>
        <w:rPr>
          <w:b/>
        </w:rPr>
      </w:pPr>
      <w:r w:rsidRPr="00F31693">
        <w:rPr>
          <w:b/>
        </w:rPr>
        <w:t>Possible Elder Abuse: 1</w:t>
      </w:r>
    </w:p>
    <w:p w14:paraId="103AB447" w14:textId="77777777" w:rsidR="001C66FD" w:rsidRPr="00F31693" w:rsidRDefault="001C66FD" w:rsidP="00AD5ECB">
      <w:pPr>
        <w:pStyle w:val="NoSpacing"/>
        <w:rPr>
          <w:b/>
        </w:rPr>
      </w:pPr>
      <w:r w:rsidRPr="00F31693">
        <w:rPr>
          <w:b/>
        </w:rPr>
        <w:t xml:space="preserve">Structuring/Money Laundering/Elder Abuse: 1 </w:t>
      </w:r>
    </w:p>
    <w:p w14:paraId="3722BF17" w14:textId="77777777" w:rsidR="001C66FD" w:rsidRPr="00F31693" w:rsidRDefault="001C66FD" w:rsidP="00AD5ECB">
      <w:pPr>
        <w:pStyle w:val="NoSpacing"/>
        <w:rPr>
          <w:b/>
        </w:rPr>
      </w:pPr>
      <w:r w:rsidRPr="00F31693">
        <w:rPr>
          <w:b/>
        </w:rPr>
        <w:t xml:space="preserve">Unusual Wires: 1 </w:t>
      </w:r>
    </w:p>
    <w:p w14:paraId="4B09B124" w14:textId="77777777" w:rsidR="00AD5ECB" w:rsidRPr="00F31693" w:rsidRDefault="00AD5ECB" w:rsidP="00AD5ECB">
      <w:pPr>
        <w:pStyle w:val="NoSpacing"/>
      </w:pPr>
    </w:p>
    <w:p w14:paraId="4DDD9F79" w14:textId="77777777" w:rsidR="00AD5ECB" w:rsidRPr="00F31693" w:rsidRDefault="00AD5ECB" w:rsidP="00AD5ECB">
      <w:r w:rsidRPr="00F31693">
        <w:lastRenderedPageBreak/>
        <w:t>The BSA Officer prepares and presents a summary of the SARs filed from the previous month, including continuous SARs filed, to the Board of Directors. The BSA Officer, at the special request of the board, prepares an enhanced SAR report to identify specific patterns of suspicious activity.</w:t>
      </w:r>
    </w:p>
    <w:p w14:paraId="4A3BC64A" w14:textId="77777777" w:rsidR="00DE6BED" w:rsidRPr="00F31693" w:rsidRDefault="00DE6BED" w:rsidP="00DE6BED">
      <w:pPr>
        <w:rPr>
          <w:b/>
        </w:rPr>
      </w:pPr>
      <w:r w:rsidRPr="00F31693">
        <w:rPr>
          <w:b/>
        </w:rPr>
        <w:t>Crimes and Losses:</w:t>
      </w:r>
    </w:p>
    <w:p w14:paraId="7232DCD9" w14:textId="77777777" w:rsidR="00DE6BED" w:rsidRPr="00F31693" w:rsidRDefault="00DE6BED" w:rsidP="00DE6BED">
      <w:pPr>
        <w:pStyle w:val="NoSpacing"/>
      </w:pPr>
      <w:r w:rsidRPr="00F31693">
        <w:t>Branch Robberies:</w:t>
      </w:r>
    </w:p>
    <w:p w14:paraId="244F541D" w14:textId="77777777" w:rsidR="00DE6BED" w:rsidRPr="00F31693" w:rsidRDefault="00DE6BED" w:rsidP="00DE6BED">
      <w:pPr>
        <w:pStyle w:val="NoSpacing"/>
      </w:pPr>
      <w:r w:rsidRPr="00F31693">
        <w:t>During FY</w:t>
      </w:r>
      <w:r w:rsidR="00C9191D">
        <w:t>E</w:t>
      </w:r>
      <w:r w:rsidRPr="00F31693">
        <w:t xml:space="preserve"> 2016 there were no branch robberies</w:t>
      </w:r>
    </w:p>
    <w:p w14:paraId="125AA9F0" w14:textId="77777777" w:rsidR="00DE6BED" w:rsidRPr="00F31693" w:rsidRDefault="00DE6BED" w:rsidP="00DE6BED">
      <w:pPr>
        <w:pStyle w:val="NoSpacing"/>
      </w:pPr>
    </w:p>
    <w:p w14:paraId="3B362804" w14:textId="77777777" w:rsidR="00DE6BED" w:rsidRPr="00F31693" w:rsidRDefault="00DE6BED" w:rsidP="00DE6BED">
      <w:pPr>
        <w:pStyle w:val="NoSpacing"/>
      </w:pPr>
      <w:r w:rsidRPr="00F31693">
        <w:t xml:space="preserve">Check, Reclamation, ATM, </w:t>
      </w:r>
      <w:proofErr w:type="gramStart"/>
      <w:r w:rsidRPr="00F31693">
        <w:t>ACH</w:t>
      </w:r>
      <w:proofErr w:type="gramEnd"/>
      <w:r w:rsidRPr="00F31693">
        <w:t xml:space="preserve"> and Debit Card Losses:</w:t>
      </w:r>
    </w:p>
    <w:p w14:paraId="27A9F467" w14:textId="77777777" w:rsidR="00DE6BED" w:rsidRPr="00F31693" w:rsidRDefault="00DE6BED" w:rsidP="00DE6BED">
      <w:pPr>
        <w:pStyle w:val="NoSpacing"/>
      </w:pPr>
      <w:r w:rsidRPr="00F31693">
        <w:t xml:space="preserve">For fiscal year 2016 (07/01/2015- 06/30/2016) </w:t>
      </w:r>
    </w:p>
    <w:p w14:paraId="3E11C9D1" w14:textId="77777777" w:rsidR="00DE6BED" w:rsidRPr="00F31693" w:rsidRDefault="00DE6BED" w:rsidP="00DE6BED">
      <w:pPr>
        <w:pStyle w:val="NoSpacing"/>
      </w:pPr>
    </w:p>
    <w:p w14:paraId="4B782BD2" w14:textId="3DACAB8D" w:rsidR="00DE6BED" w:rsidRPr="00F31693" w:rsidRDefault="006473DB" w:rsidP="00DE6BED">
      <w:pPr>
        <w:pStyle w:val="NoSpacing"/>
      </w:pPr>
      <w:r>
        <w:t xml:space="preserve">J. Wallace Bank </w:t>
      </w:r>
      <w:r w:rsidR="00DE6BED" w:rsidRPr="00F31693">
        <w:t xml:space="preserve">Cashier’s Checks continued to be counterfeited across the United States. In this scam, fraudsters would send a counterfeit </w:t>
      </w:r>
      <w:r>
        <w:t xml:space="preserve">J. Wallace Bank </w:t>
      </w:r>
      <w:r w:rsidR="00DE6BED" w:rsidRPr="00F31693">
        <w:t xml:space="preserve">cashier’s check to persons buying/selling items on Craigslist or Online for jobs payments exceeding the amounts owed and request victims send remaining funds back to fraudster.  According to our records these counterfeit checks </w:t>
      </w:r>
      <w:proofErr w:type="gramStart"/>
      <w:r w:rsidR="00DE6BED" w:rsidRPr="00F31693">
        <w:t>have,</w:t>
      </w:r>
      <w:proofErr w:type="gramEnd"/>
      <w:r w:rsidR="00DE6BED" w:rsidRPr="00F31693">
        <w:t xml:space="preserve"> resulted in losses of $1,449,575.86 to victims outside of the </w:t>
      </w:r>
      <w:r>
        <w:t xml:space="preserve">J. Wallace Bank </w:t>
      </w:r>
      <w:r w:rsidR="00DE6BED" w:rsidRPr="00F31693">
        <w:t xml:space="preserve">customer network.  t. Internally, </w:t>
      </w:r>
      <w:r>
        <w:t xml:space="preserve">J. Wallace Bank </w:t>
      </w:r>
      <w:r w:rsidR="00DE6BED" w:rsidRPr="00F31693">
        <w:t xml:space="preserve">suffered one loss of $2,480 when a branch cashed one of these counterfeit </w:t>
      </w:r>
      <w:r>
        <w:t xml:space="preserve">J. Wallace Bank </w:t>
      </w:r>
      <w:r w:rsidR="00DE6BED" w:rsidRPr="00F31693">
        <w:t>checks for a non-customer.</w:t>
      </w:r>
    </w:p>
    <w:p w14:paraId="5C35E969" w14:textId="77777777" w:rsidR="00DE6BED" w:rsidRPr="00F31693" w:rsidRDefault="00DE6BED" w:rsidP="00DE6BED">
      <w:pPr>
        <w:pStyle w:val="NoSpacing"/>
      </w:pPr>
    </w:p>
    <w:p w14:paraId="1B483DFC" w14:textId="77777777" w:rsidR="00DE6BED" w:rsidRPr="00F31693" w:rsidRDefault="00DE6BED" w:rsidP="00DE6BED">
      <w:pPr>
        <w:pStyle w:val="NoSpacing"/>
      </w:pPr>
      <w:r w:rsidRPr="00F31693">
        <w:t xml:space="preserve">Additional losses included fraudulent provisional credits and late ACH notifications resulting in a total loss of $4,550.92. </w:t>
      </w:r>
    </w:p>
    <w:p w14:paraId="3D7EA20C" w14:textId="77777777" w:rsidR="00DE6BED" w:rsidRPr="00F31693" w:rsidRDefault="00DE6BED" w:rsidP="00DE6BED">
      <w:pPr>
        <w:pStyle w:val="NoSpacing"/>
      </w:pPr>
    </w:p>
    <w:p w14:paraId="3E1B745C" w14:textId="77777777" w:rsidR="00DE6BED" w:rsidRPr="00F31693" w:rsidRDefault="00DE6BED" w:rsidP="00DE6BED">
      <w:pPr>
        <w:pStyle w:val="NoSpacing"/>
      </w:pPr>
      <w:r w:rsidRPr="00F31693">
        <w:t xml:space="preserve">For fiscal year 2016 (07/01/2015- 06/30/2016) there were reclamation losses of $3,615.84 with no recoveries. Reclamations losses were the result of returned funds to the US Treasury for benefits received for joint owner accounts and the funds were withdrawn before the reclamation was received. Collection efforts have been unsuccessful.  </w:t>
      </w:r>
    </w:p>
    <w:p w14:paraId="3E4BCAA2" w14:textId="77777777" w:rsidR="00DE6BED" w:rsidRPr="00F31693" w:rsidRDefault="00DE6BED" w:rsidP="00DE6BED">
      <w:pPr>
        <w:pStyle w:val="NoSpacing"/>
      </w:pPr>
    </w:p>
    <w:p w14:paraId="7CA98130" w14:textId="77777777" w:rsidR="00DE6BED" w:rsidRPr="00F31693" w:rsidRDefault="00DE6BED" w:rsidP="00DE6BED">
      <w:pPr>
        <w:pStyle w:val="NoSpacing"/>
      </w:pPr>
      <w:r w:rsidRPr="00F31693">
        <w:t>For fiscal year 2016 (07/01/2015- 06/30/2016) there were 123 claims of fraudulent ATM or debit card transactions totaling $30,951.53. We recovered $</w:t>
      </w:r>
      <w:proofErr w:type="gramStart"/>
      <w:r w:rsidRPr="00F31693">
        <w:t>10,939.resulting</w:t>
      </w:r>
      <w:proofErr w:type="gramEnd"/>
      <w:r w:rsidRPr="00F31693">
        <w:t xml:space="preserve"> in net losses of $20,012.36. The majority of the fraud claim loses were debit card numbers stolen with fraudulent cards reproduced and are </w:t>
      </w:r>
      <w:proofErr w:type="gramStart"/>
      <w:r w:rsidRPr="00F31693">
        <w:t>signature based</w:t>
      </w:r>
      <w:proofErr w:type="gramEnd"/>
      <w:r w:rsidRPr="00F31693">
        <w:t xml:space="preserve"> transactions. </w:t>
      </w:r>
      <w:proofErr w:type="spellStart"/>
      <w:r w:rsidRPr="00F31693">
        <w:t>EBanking</w:t>
      </w:r>
      <w:proofErr w:type="spellEnd"/>
      <w:r w:rsidRPr="00F31693">
        <w:t xml:space="preserve"> uses 3 separate 3rd party neural programs to detect and prevent fraud. When potential fraud is detected, customer contact is </w:t>
      </w:r>
      <w:proofErr w:type="gramStart"/>
      <w:r w:rsidRPr="00F31693">
        <w:t>attempted</w:t>
      </w:r>
      <w:proofErr w:type="gramEnd"/>
      <w:r w:rsidRPr="00F31693">
        <w:t xml:space="preserve"> and cards are closed down as warranted.</w:t>
      </w:r>
    </w:p>
    <w:p w14:paraId="0DCE1490" w14:textId="77777777" w:rsidR="00DE6BED" w:rsidRPr="00F31693" w:rsidRDefault="00DE6BED" w:rsidP="00DE6BED">
      <w:pPr>
        <w:pStyle w:val="NoSpacing"/>
      </w:pPr>
    </w:p>
    <w:p w14:paraId="35F7912F" w14:textId="77777777" w:rsidR="00DE6BED" w:rsidRPr="00F31693" w:rsidRDefault="00DE6BED" w:rsidP="00DE6BED">
      <w:pPr>
        <w:pStyle w:val="NoSpacing"/>
      </w:pPr>
      <w:r w:rsidRPr="00F31693">
        <w:t xml:space="preserve">The Deposit Operations Department is now using an automated Check Fraud Detection System (ASV) that is integrated with the FIS core processing system. The main </w:t>
      </w:r>
      <w:proofErr w:type="gramStart"/>
      <w:r w:rsidRPr="00F31693">
        <w:t>features</w:t>
      </w:r>
      <w:proofErr w:type="gramEnd"/>
      <w:r w:rsidRPr="00F31693">
        <w:t xml:space="preserve"> of this system </w:t>
      </w:r>
      <w:proofErr w:type="gramStart"/>
      <w:r w:rsidRPr="00F31693">
        <w:t>compares</w:t>
      </w:r>
      <w:proofErr w:type="gramEnd"/>
      <w:r w:rsidRPr="00F31693">
        <w:t xml:space="preserve"> signatures on checks from preciously received items, detects checks out of sequence, compares the check stock and duplicate checks (numbers) received. </w:t>
      </w:r>
    </w:p>
    <w:p w14:paraId="75898CBE" w14:textId="77777777" w:rsidR="00DE6BED" w:rsidRPr="00F31693" w:rsidRDefault="00DE6BED" w:rsidP="00DE6BED">
      <w:pPr>
        <w:pStyle w:val="NoSpacing"/>
      </w:pPr>
    </w:p>
    <w:p w14:paraId="38E9389B" w14:textId="77777777" w:rsidR="00DE6BED" w:rsidRPr="00F31693" w:rsidRDefault="00DE6BED" w:rsidP="00DE6BED">
      <w:pPr>
        <w:pStyle w:val="NoSpacing"/>
      </w:pPr>
      <w:r w:rsidRPr="00F31693">
        <w:t>Internal Theft / Embezzlement</w:t>
      </w:r>
      <w:r w:rsidR="008A48F6" w:rsidRPr="00F31693">
        <w:t>:</w:t>
      </w:r>
    </w:p>
    <w:p w14:paraId="662D5538" w14:textId="77777777" w:rsidR="00DE6BED" w:rsidRPr="00F31693" w:rsidRDefault="00DE6BED" w:rsidP="00DE6BED">
      <w:pPr>
        <w:pStyle w:val="NoSpacing"/>
      </w:pPr>
      <w:r w:rsidRPr="00F31693">
        <w:t>During FY</w:t>
      </w:r>
      <w:r w:rsidR="0059409A">
        <w:t>E</w:t>
      </w:r>
      <w:r w:rsidRPr="00F31693">
        <w:t xml:space="preserve"> 2016 there was no branch Internal Theft or Embezzlement </w:t>
      </w:r>
    </w:p>
    <w:p w14:paraId="742B270C" w14:textId="77777777" w:rsidR="00DE6BED" w:rsidRPr="00F31693" w:rsidRDefault="00DE6BED" w:rsidP="00DE6BED">
      <w:pPr>
        <w:pStyle w:val="NoSpacing"/>
      </w:pPr>
    </w:p>
    <w:p w14:paraId="3685F22B" w14:textId="77777777" w:rsidR="00DE6BED" w:rsidRPr="00F31693" w:rsidRDefault="00DE6BED" w:rsidP="00DE6BED">
      <w:pPr>
        <w:pStyle w:val="NoSpacing"/>
      </w:pPr>
      <w:r w:rsidRPr="00F31693">
        <w:t>Identi</w:t>
      </w:r>
      <w:r w:rsidR="008A48F6" w:rsidRPr="00F31693">
        <w:t>ty Theft and Data Base Breaches:</w:t>
      </w:r>
    </w:p>
    <w:p w14:paraId="4BA82A5F" w14:textId="77777777" w:rsidR="00DE6BED" w:rsidRPr="00F31693" w:rsidRDefault="00DE6BED" w:rsidP="00DE6BED">
      <w:pPr>
        <w:pStyle w:val="NoSpacing"/>
      </w:pPr>
      <w:r w:rsidRPr="00F31693">
        <w:t>During FY</w:t>
      </w:r>
      <w:r w:rsidR="0059409A">
        <w:t>E</w:t>
      </w:r>
      <w:r w:rsidRPr="00F31693">
        <w:t xml:space="preserve"> 2016 there were three (3) attempted Identity Thefts of customer’s information: </w:t>
      </w:r>
    </w:p>
    <w:p w14:paraId="0D6E54AF" w14:textId="77777777" w:rsidR="00DE6BED" w:rsidRPr="00F31693" w:rsidRDefault="00DE6BED" w:rsidP="00DE6BED">
      <w:pPr>
        <w:pStyle w:val="NoSpacing"/>
      </w:pPr>
    </w:p>
    <w:p w14:paraId="5CB36CB4" w14:textId="77777777" w:rsidR="00DE6BED" w:rsidRPr="00F31693" w:rsidRDefault="00DE6BED" w:rsidP="00DE6BED">
      <w:pPr>
        <w:pStyle w:val="NoSpacing"/>
      </w:pPr>
      <w:r w:rsidRPr="00F31693">
        <w:t xml:space="preserve">1-Branch notified security customer provided personal information to a person over the telephone. A subsequent unauthorized transfer of $1,000.00 from the customer's saving account to the customer's </w:t>
      </w:r>
      <w:r w:rsidRPr="00F31693">
        <w:lastRenderedPageBreak/>
        <w:t xml:space="preserve">checking account was made. </w:t>
      </w:r>
      <w:proofErr w:type="gramStart"/>
      <w:r w:rsidRPr="00F31693">
        <w:t>Branch</w:t>
      </w:r>
      <w:proofErr w:type="gramEnd"/>
      <w:r w:rsidRPr="00F31693">
        <w:t xml:space="preserve"> Manager placed both accounts in a Frozen Status. </w:t>
      </w:r>
      <w:proofErr w:type="gramStart"/>
      <w:r w:rsidRPr="00F31693">
        <w:t>Customer</w:t>
      </w:r>
      <w:proofErr w:type="gramEnd"/>
      <w:r w:rsidRPr="00F31693">
        <w:t xml:space="preserve"> will close both account and open new ones on 12/16/2015 after a direct deposit is received on that date. </w:t>
      </w:r>
    </w:p>
    <w:p w14:paraId="6A5E18E5" w14:textId="77777777" w:rsidR="00B9121D" w:rsidRPr="00F31693" w:rsidRDefault="00B9121D" w:rsidP="00DE6BED">
      <w:pPr>
        <w:pStyle w:val="NoSpacing"/>
      </w:pPr>
    </w:p>
    <w:p w14:paraId="36EDEB6C" w14:textId="77777777" w:rsidR="00DE6BED" w:rsidRPr="00F31693" w:rsidRDefault="00DE6BED" w:rsidP="00DE6BED">
      <w:pPr>
        <w:pStyle w:val="NoSpacing"/>
      </w:pPr>
      <w:r w:rsidRPr="00F31693">
        <w:t xml:space="preserve">2-Customer alerted Branch that he received a phone call from an IRS scammer; he believed the scammer either had his social security number or customer furnished it to him. </w:t>
      </w:r>
      <w:proofErr w:type="gramStart"/>
      <w:r w:rsidRPr="00F31693">
        <w:t>Customer</w:t>
      </w:r>
      <w:proofErr w:type="gramEnd"/>
      <w:r w:rsidRPr="00F31693">
        <w:t xml:space="preserve"> is 85 years of age and does not wish to come to the branch and open a new account. Fraud Alert and Customer Comment placed in the CIF in </w:t>
      </w:r>
      <w:proofErr w:type="spellStart"/>
      <w:r w:rsidRPr="00F31693">
        <w:t>Bankway</w:t>
      </w:r>
      <w:proofErr w:type="spellEnd"/>
      <w:r w:rsidRPr="00F31693">
        <w:t xml:space="preserve">. </w:t>
      </w:r>
    </w:p>
    <w:p w14:paraId="606D6D18" w14:textId="77777777" w:rsidR="00B9121D" w:rsidRPr="00F31693" w:rsidRDefault="00B9121D" w:rsidP="00DE6BED">
      <w:pPr>
        <w:pStyle w:val="NoSpacing"/>
      </w:pPr>
    </w:p>
    <w:p w14:paraId="60FF09E8" w14:textId="77777777" w:rsidR="00DE6BED" w:rsidRPr="00F31693" w:rsidRDefault="00DE6BED" w:rsidP="00DE6BED">
      <w:pPr>
        <w:pStyle w:val="NoSpacing"/>
      </w:pPr>
      <w:r w:rsidRPr="00F31693">
        <w:t xml:space="preserve">3-A person contacted a Branch claiming to be </w:t>
      </w:r>
      <w:r w:rsidR="008B2150" w:rsidRPr="00F31693">
        <w:t>a customer</w:t>
      </w:r>
      <w:r w:rsidRPr="00F31693">
        <w:t xml:space="preserve"> and had her Social Security number and asked for her account balance. Branch employee </w:t>
      </w:r>
      <w:proofErr w:type="gramStart"/>
      <w:r w:rsidRPr="00F31693">
        <w:t>knows</w:t>
      </w:r>
      <w:proofErr w:type="gramEnd"/>
      <w:r w:rsidRPr="00F31693">
        <w:t xml:space="preserve"> customer's voice and suspected it was not her and did not release any information. </w:t>
      </w:r>
      <w:proofErr w:type="gramStart"/>
      <w:r w:rsidRPr="00F31693">
        <w:t>Branch</w:t>
      </w:r>
      <w:proofErr w:type="gramEnd"/>
      <w:r w:rsidRPr="00F31693">
        <w:t xml:space="preserve"> contacted customer, who confirmed she did not make the call to the branch. Fraud alert added to customer CIP- Special Instructions added to all customer accounts. </w:t>
      </w:r>
    </w:p>
    <w:p w14:paraId="332C0178" w14:textId="77777777" w:rsidR="00B9121D" w:rsidRPr="00F31693" w:rsidRDefault="00B9121D" w:rsidP="00DE6BED">
      <w:pPr>
        <w:pStyle w:val="NoSpacing"/>
      </w:pPr>
    </w:p>
    <w:p w14:paraId="3A41198F" w14:textId="77777777" w:rsidR="00DE6BED" w:rsidRPr="00F31693" w:rsidRDefault="00DE6BED" w:rsidP="008A48F6">
      <w:pPr>
        <w:pStyle w:val="NoSpacing"/>
      </w:pPr>
      <w:r w:rsidRPr="00F31693">
        <w:t>No Data Base Breaches during FY</w:t>
      </w:r>
      <w:r w:rsidR="0059409A">
        <w:t>E</w:t>
      </w:r>
      <w:r w:rsidRPr="00F31693">
        <w:t xml:space="preserve"> 2016.</w:t>
      </w:r>
    </w:p>
    <w:p w14:paraId="6E7E48EE" w14:textId="77777777" w:rsidR="00B9121D" w:rsidRPr="00F31693" w:rsidRDefault="00B9121D" w:rsidP="008A48F6">
      <w:pPr>
        <w:pStyle w:val="NoSpacing"/>
      </w:pPr>
    </w:p>
    <w:p w14:paraId="7DC0C553" w14:textId="77777777" w:rsidR="00AD5ECB" w:rsidRPr="00F31693" w:rsidRDefault="00AD5ECB" w:rsidP="00AD5ECB">
      <w:r w:rsidRPr="00F31693">
        <w:t>The Bank did have 2 reports filed concerning Terrorist Financing in 2007 and 2008 that resulted in Subpoenas from the United States District Court / FBI. We filed one report for possible Terrorist Financing in 2010 and notified FinCEN’s Hotline and the FB</w:t>
      </w:r>
      <w:r w:rsidR="00603D42" w:rsidRPr="00F31693">
        <w:t>I</w:t>
      </w:r>
      <w:r w:rsidRPr="00F31693">
        <w:t xml:space="preserve">’s Joint Terrorism Task Force. It was based on transactions taking place by a customer in the Middle East. Nothing was heard from the authorities and the activity ceased. There has been no other activity detected since then related to possible terrorist financing. </w:t>
      </w:r>
    </w:p>
    <w:p w14:paraId="675EEC86" w14:textId="77777777" w:rsidR="009F4C15" w:rsidRPr="00F31693" w:rsidRDefault="009F4C15" w:rsidP="009F4C15">
      <w:pPr>
        <w:rPr>
          <w:b/>
        </w:rPr>
      </w:pPr>
      <w:r w:rsidRPr="00F31693">
        <w:rPr>
          <w:b/>
        </w:rPr>
        <w:t>SAR Committee</w:t>
      </w:r>
    </w:p>
    <w:p w14:paraId="3FA4B5C2" w14:textId="77777777" w:rsidR="009F4C15" w:rsidRPr="00F31693" w:rsidRDefault="009F4C15" w:rsidP="009F4C15">
      <w:r w:rsidRPr="00F31693">
        <w:t xml:space="preserve">The SAR Review Committee consists of the: Executive Vice President &amp; Chief Operating Officer; Senior Vice President &amp; Chief Compliance Officer; and, if required, the </w:t>
      </w:r>
      <w:r w:rsidR="00282B5A" w:rsidRPr="00F31693">
        <w:t>President &amp;</w:t>
      </w:r>
      <w:r w:rsidRPr="00F31693">
        <w:t xml:space="preserve"> Chief Executive Officer.</w:t>
      </w:r>
    </w:p>
    <w:p w14:paraId="2CDDAE97" w14:textId="77777777" w:rsidR="009F4C15" w:rsidRPr="00F31693" w:rsidRDefault="009F4C15" w:rsidP="009F4C15">
      <w:r w:rsidRPr="00F31693">
        <w:t>If both the EVP and SVP do not concur with the BSA Officer’s recommendation the President will make the final decision.</w:t>
      </w:r>
    </w:p>
    <w:p w14:paraId="4F7FABE6" w14:textId="77777777" w:rsidR="009F4C15" w:rsidRPr="00F31693" w:rsidRDefault="009F4C15" w:rsidP="009F4C15">
      <w:r w:rsidRPr="00F31693">
        <w:t xml:space="preserve">A recommendation </w:t>
      </w:r>
      <w:proofErr w:type="gramStart"/>
      <w:r w:rsidRPr="00F31693">
        <w:t>can made</w:t>
      </w:r>
      <w:proofErr w:type="gramEnd"/>
      <w:r w:rsidRPr="00F31693">
        <w:t xml:space="preserve"> be made by the BSA Officer to the Committee to terminate an account relationship after any SAR is filed if the BSA Officer believes continuing the relationship would be detrimental to the Bank. This would include a possible financial loss or potential harm to the bank’s reputation or a conflict of interest.</w:t>
      </w:r>
    </w:p>
    <w:p w14:paraId="6FF2769C" w14:textId="77777777" w:rsidR="009F4C15" w:rsidRPr="00F31693" w:rsidRDefault="009F4C15" w:rsidP="009F4C15">
      <w:r w:rsidRPr="00F31693">
        <w:t>After four (4) consecutive SARs are filed for the same customer for the same activity a customer will be referred to the Committee for action including the termination of their account relationship(s).</w:t>
      </w:r>
    </w:p>
    <w:p w14:paraId="43BD39A1" w14:textId="77777777" w:rsidR="009F4C15" w:rsidRPr="00F31693" w:rsidRDefault="009F4C15" w:rsidP="009F4C15">
      <w:r w:rsidRPr="00F31693">
        <w:t>Exception</w:t>
      </w:r>
    </w:p>
    <w:p w14:paraId="4D58B22D" w14:textId="77777777" w:rsidR="00AD5ECB" w:rsidRPr="00F31693" w:rsidRDefault="009F4C15" w:rsidP="009F4C15">
      <w:r w:rsidRPr="00F31693">
        <w:t xml:space="preserve">Regardless of the number of SARs filed an account relationship may be maintained upon request of a Law Enforcement Agency </w:t>
      </w:r>
      <w:proofErr w:type="gramStart"/>
      <w:r w:rsidRPr="00F31693">
        <w:t>during the course of</w:t>
      </w:r>
      <w:proofErr w:type="gramEnd"/>
      <w:r w:rsidRPr="00F31693">
        <w:t xml:space="preserve"> an investigation.</w:t>
      </w:r>
      <w:r w:rsidR="00907381" w:rsidRPr="00F31693">
        <w:t xml:space="preserve"> </w:t>
      </w:r>
      <w:r w:rsidR="00AD5ECB" w:rsidRPr="00F31693">
        <w:t>For the assessment period, all recommendations by the BSA Officer to terminate a client relationship have been fulfilled.</w:t>
      </w:r>
    </w:p>
    <w:p w14:paraId="5EB83646" w14:textId="77777777" w:rsidR="00B83423" w:rsidRPr="00F31693" w:rsidRDefault="00B83423" w:rsidP="00A95E97">
      <w:pPr>
        <w:rPr>
          <w:b/>
        </w:rPr>
      </w:pPr>
    </w:p>
    <w:p w14:paraId="5C06F1AC" w14:textId="77777777" w:rsidR="00B83423" w:rsidRPr="00F31693" w:rsidRDefault="00B83423" w:rsidP="00A95E97">
      <w:pPr>
        <w:rPr>
          <w:b/>
        </w:rPr>
      </w:pPr>
    </w:p>
    <w:p w14:paraId="11722FF3" w14:textId="77777777" w:rsidR="00B83423" w:rsidRPr="00F31693" w:rsidRDefault="00B83423" w:rsidP="00A95E97">
      <w:pPr>
        <w:rPr>
          <w:b/>
        </w:rPr>
      </w:pPr>
    </w:p>
    <w:p w14:paraId="64A6364C" w14:textId="77777777" w:rsidR="00A95E97" w:rsidRPr="00F31693" w:rsidRDefault="00A95E97" w:rsidP="00A95E97">
      <w:pPr>
        <w:rPr>
          <w:b/>
        </w:rPr>
      </w:pPr>
      <w:r w:rsidRPr="00F31693">
        <w:rPr>
          <w:b/>
        </w:rPr>
        <w:t>Bank Staffing</w:t>
      </w:r>
    </w:p>
    <w:p w14:paraId="577DE437" w14:textId="65869938" w:rsidR="00A95E97" w:rsidRPr="00F31693" w:rsidRDefault="006473DB" w:rsidP="00A95E97">
      <w:r>
        <w:t xml:space="preserve">J. Wallace </w:t>
      </w:r>
      <w:r w:rsidR="00A95E97" w:rsidRPr="00F31693">
        <w:t xml:space="preserve">had a moderate turnover rate of </w:t>
      </w:r>
      <w:r w:rsidR="00675720" w:rsidRPr="00F31693">
        <w:t>1</w:t>
      </w:r>
      <w:r w:rsidR="00FF2D3F" w:rsidRPr="00F31693">
        <w:t>0</w:t>
      </w:r>
      <w:r w:rsidR="00A95E97" w:rsidRPr="00F31693">
        <w:t xml:space="preserve">% in branch personnel (CSRs, tellers, and branch management). </w:t>
      </w:r>
    </w:p>
    <w:p w14:paraId="13A8ED52" w14:textId="77777777" w:rsidR="00FA674E" w:rsidRPr="00F31693" w:rsidRDefault="00A95E97" w:rsidP="00A95E97">
      <w:r w:rsidRPr="00F31693">
        <w:t xml:space="preserve">The Bank considered the stability and actions of its staff </w:t>
      </w:r>
      <w:proofErr w:type="gramStart"/>
      <w:r w:rsidRPr="00F31693">
        <w:t>with regard to</w:t>
      </w:r>
      <w:proofErr w:type="gramEnd"/>
      <w:r w:rsidRPr="00F31693">
        <w:t xml:space="preserve"> insider fraud. The Bank recognizes that federal crime statistics reflect that money laundering and terrorist financing activity through financial institutions can often be influenced or assisted by internal staff. The Bank has </w:t>
      </w:r>
      <w:r w:rsidR="00504BA3" w:rsidRPr="00F31693">
        <w:t xml:space="preserve">not </w:t>
      </w:r>
      <w:r w:rsidRPr="00F31693">
        <w:t>experienced personnel fraud</w:t>
      </w:r>
      <w:r w:rsidR="00DA324C" w:rsidRPr="00F31693">
        <w:t xml:space="preserve"> during the current assessment period</w:t>
      </w:r>
      <w:r w:rsidRPr="00F31693">
        <w:t xml:space="preserve"> and minimal terminations resulting from procedural violations. There w</w:t>
      </w:r>
      <w:r w:rsidR="00B053DD" w:rsidRPr="00F31693">
        <w:t>ere no reports of</w:t>
      </w:r>
      <w:r w:rsidRPr="00F31693">
        <w:t xml:space="preserve"> terminated staff</w:t>
      </w:r>
      <w:r w:rsidR="00504982" w:rsidRPr="00F31693">
        <w:t xml:space="preserve"> involved in </w:t>
      </w:r>
      <w:r w:rsidR="006C5A02" w:rsidRPr="00F31693">
        <w:t>fraud,</w:t>
      </w:r>
      <w:r w:rsidR="00C2574C" w:rsidRPr="00F31693">
        <w:t xml:space="preserve"> </w:t>
      </w:r>
      <w:r w:rsidRPr="00F31693">
        <w:t xml:space="preserve">money laundering or terrorist financing </w:t>
      </w:r>
      <w:r w:rsidR="006C5A02" w:rsidRPr="00F31693">
        <w:t xml:space="preserve">activities. </w:t>
      </w:r>
      <w:proofErr w:type="gramStart"/>
      <w:r w:rsidR="00FA674E" w:rsidRPr="00F31693">
        <w:t>Additionally</w:t>
      </w:r>
      <w:proofErr w:type="gramEnd"/>
      <w:r w:rsidR="00FA674E" w:rsidRPr="00F31693">
        <w:t xml:space="preserve"> there were </w:t>
      </w:r>
      <w:r w:rsidR="00B053DD" w:rsidRPr="00F31693">
        <w:t>no</w:t>
      </w:r>
      <w:r w:rsidR="00FA674E" w:rsidRPr="00F31693">
        <w:t xml:space="preserve"> incidents inv</w:t>
      </w:r>
      <w:r w:rsidR="00047658" w:rsidRPr="00F31693">
        <w:t xml:space="preserve">olving employee mismanagement of funds </w:t>
      </w:r>
      <w:r w:rsidR="003121BE" w:rsidRPr="00F31693">
        <w:t>leading to a loss</w:t>
      </w:r>
      <w:r w:rsidR="0079363E" w:rsidRPr="00F31693">
        <w:t xml:space="preserve"> to the Bank</w:t>
      </w:r>
      <w:r w:rsidR="003121BE" w:rsidRPr="00F31693">
        <w:t>.</w:t>
      </w:r>
    </w:p>
    <w:p w14:paraId="52A52660" w14:textId="77777777" w:rsidR="00A95E97" w:rsidRPr="00F31693" w:rsidRDefault="00687C01" w:rsidP="00A95E97">
      <w:r w:rsidRPr="00F31693">
        <w:t xml:space="preserve">The increase of illicit employee activity and possible income loss of the bank creates a need for </w:t>
      </w:r>
      <w:r w:rsidR="00B90F3A" w:rsidRPr="00F31693">
        <w:t xml:space="preserve">a Know Your Employee (“KYE”) policy to be implemented by the BSA Department. </w:t>
      </w:r>
      <w:r w:rsidR="00360A78" w:rsidRPr="00F31693">
        <w:t xml:space="preserve">As a matter of </w:t>
      </w:r>
      <w:proofErr w:type="gramStart"/>
      <w:r w:rsidR="00360A78" w:rsidRPr="00F31693">
        <w:t>policy</w:t>
      </w:r>
      <w:proofErr w:type="gramEnd"/>
      <w:r w:rsidR="00360A78" w:rsidRPr="00F31693">
        <w:t xml:space="preserve"> the </w:t>
      </w:r>
      <w:r w:rsidR="00BE7179" w:rsidRPr="00F31693">
        <w:t>BSA</w:t>
      </w:r>
      <w:r w:rsidR="00360A78" w:rsidRPr="00F31693">
        <w:t xml:space="preserve"> Department</w:t>
      </w:r>
      <w:r w:rsidR="00BE7179" w:rsidRPr="00F31693">
        <w:t xml:space="preserve"> </w:t>
      </w:r>
      <w:r w:rsidR="00504BA3" w:rsidRPr="00F31693">
        <w:t>will</w:t>
      </w:r>
      <w:r w:rsidR="00BE7179" w:rsidRPr="00F31693">
        <w:t xml:space="preserve"> create</w:t>
      </w:r>
      <w:r w:rsidR="00B90F3A" w:rsidRPr="00F31693">
        <w:t xml:space="preserve"> the KYE policy</w:t>
      </w:r>
      <w:r w:rsidR="00BE7179" w:rsidRPr="00F31693">
        <w:t xml:space="preserve"> as a standalone or part of the KYC policy.</w:t>
      </w:r>
    </w:p>
    <w:p w14:paraId="24BE0492" w14:textId="77B0F858" w:rsidR="00A95E97" w:rsidRPr="00F31693" w:rsidRDefault="00A95E97" w:rsidP="00A95E97">
      <w:r w:rsidRPr="00F31693">
        <w:t xml:space="preserve">The shortage of </w:t>
      </w:r>
      <w:proofErr w:type="gramStart"/>
      <w:r w:rsidRPr="00F31693">
        <w:t>front line</w:t>
      </w:r>
      <w:proofErr w:type="gramEnd"/>
      <w:r w:rsidRPr="00F31693">
        <w:t xml:space="preserve"> personnel in the branch offices remains a factor this year. </w:t>
      </w:r>
      <w:r w:rsidR="008D490E" w:rsidRPr="00F31693">
        <w:t xml:space="preserve">Branch Managers are </w:t>
      </w:r>
      <w:r w:rsidR="000515FC" w:rsidRPr="00F31693">
        <w:t xml:space="preserve">staffed in each branch as opposed to the last assessment period </w:t>
      </w:r>
      <w:proofErr w:type="gramStart"/>
      <w:r w:rsidR="000515FC" w:rsidRPr="00F31693">
        <w:t>where</w:t>
      </w:r>
      <w:proofErr w:type="gramEnd"/>
      <w:r w:rsidRPr="00F31693">
        <w:t xml:space="preserve"> two branch managers</w:t>
      </w:r>
      <w:r w:rsidR="000515FC" w:rsidRPr="00F31693">
        <w:t xml:space="preserve"> were needed and the locations were</w:t>
      </w:r>
      <w:r w:rsidRPr="00F31693">
        <w:t xml:space="preserve"> run by experienced assistant branch managers. </w:t>
      </w:r>
      <w:r w:rsidR="000515FC" w:rsidRPr="00F31693">
        <w:t xml:space="preserve">None of the </w:t>
      </w:r>
      <w:r w:rsidR="006613FD" w:rsidRPr="00F31693">
        <w:t>br</w:t>
      </w:r>
      <w:r w:rsidRPr="00F31693">
        <w:t>anch</w:t>
      </w:r>
      <w:r w:rsidR="004818AD" w:rsidRPr="00F31693">
        <w:t>es</w:t>
      </w:r>
      <w:r w:rsidR="006613FD" w:rsidRPr="00F31693">
        <w:t xml:space="preserve"> </w:t>
      </w:r>
      <w:proofErr w:type="gramStart"/>
      <w:r w:rsidR="006613FD" w:rsidRPr="00F31693">
        <w:t xml:space="preserve">are </w:t>
      </w:r>
      <w:r w:rsidRPr="00F31693">
        <w:t>in need of</w:t>
      </w:r>
      <w:proofErr w:type="gramEnd"/>
      <w:r w:rsidRPr="00F31693">
        <w:t xml:space="preserve"> customer service representative</w:t>
      </w:r>
      <w:r w:rsidR="006613FD" w:rsidRPr="00F31693">
        <w:t>s</w:t>
      </w:r>
      <w:r w:rsidRPr="00F31693">
        <w:t xml:space="preserve"> and one</w:t>
      </w:r>
      <w:r w:rsidR="006613FD" w:rsidRPr="00F31693">
        <w:t xml:space="preserve"> is in need of</w:t>
      </w:r>
      <w:r w:rsidRPr="00F31693">
        <w:t xml:space="preserve"> a senior teller. </w:t>
      </w:r>
      <w:r w:rsidR="006613FD" w:rsidRPr="00F31693">
        <w:t xml:space="preserve">The Bank </w:t>
      </w:r>
      <w:proofErr w:type="gramStart"/>
      <w:r w:rsidR="006613FD" w:rsidRPr="00F31693">
        <w:t xml:space="preserve">makes an </w:t>
      </w:r>
      <w:r w:rsidR="004818AD" w:rsidRPr="00F31693">
        <w:t>effort</w:t>
      </w:r>
      <w:proofErr w:type="gramEnd"/>
      <w:r w:rsidR="004818AD" w:rsidRPr="00F31693">
        <w:t xml:space="preserve"> to staff all branches </w:t>
      </w:r>
      <w:r w:rsidRPr="00F31693">
        <w:t xml:space="preserve">with managers, assistant managers and senior tellers </w:t>
      </w:r>
      <w:r w:rsidR="004818AD" w:rsidRPr="00F31693">
        <w:t>with</w:t>
      </w:r>
      <w:r w:rsidRPr="00F31693">
        <w:t xml:space="preserve"> current employees w</w:t>
      </w:r>
      <w:r w:rsidR="004818AD" w:rsidRPr="00F31693">
        <w:t>ho hav</w:t>
      </w:r>
      <w:r w:rsidR="00FF673B" w:rsidRPr="00F31693">
        <w:t>e</w:t>
      </w:r>
      <w:r w:rsidRPr="00F31693">
        <w:t xml:space="preserve"> knowledge of </w:t>
      </w:r>
      <w:r w:rsidR="006473DB">
        <w:t xml:space="preserve">J. Wallace </w:t>
      </w:r>
      <w:r w:rsidRPr="00F31693">
        <w:t xml:space="preserve">products and procedures. </w:t>
      </w:r>
      <w:r w:rsidR="00FF673B" w:rsidRPr="00F31693">
        <w:t>T</w:t>
      </w:r>
      <w:r w:rsidRPr="00F31693">
        <w:t xml:space="preserve">he overall frontline personnel vacancy rate </w:t>
      </w:r>
      <w:r w:rsidR="00FF673B" w:rsidRPr="00F31693">
        <w:t>is currently 1</w:t>
      </w:r>
      <w:r w:rsidR="00FF2D3F" w:rsidRPr="00F31693">
        <w:t>0</w:t>
      </w:r>
      <w:r w:rsidR="00FF673B" w:rsidRPr="00F31693">
        <w:t>%</w:t>
      </w:r>
      <w:r w:rsidRPr="00F31693">
        <w:t xml:space="preserve"> and is concentrated in the teller area</w:t>
      </w:r>
      <w:r w:rsidR="00FE5BF8" w:rsidRPr="00F31693">
        <w:t>, an area of</w:t>
      </w:r>
      <w:r w:rsidRPr="00F31693">
        <w:t xml:space="preserve"> concern. </w:t>
      </w:r>
    </w:p>
    <w:p w14:paraId="28C22AC2" w14:textId="77777777" w:rsidR="00E35273" w:rsidRPr="00F31693" w:rsidRDefault="00E35273" w:rsidP="00E35273">
      <w:r w:rsidRPr="00F31693">
        <w:t xml:space="preserve">Human </w:t>
      </w:r>
      <w:r w:rsidR="00F75F7B" w:rsidRPr="00F31693">
        <w:t>R</w:t>
      </w:r>
      <w:r w:rsidRPr="00F31693">
        <w:t xml:space="preserve">esources is actively seeking experienced replacements through outside recruitment. Based on the continued rate of </w:t>
      </w:r>
      <w:proofErr w:type="gramStart"/>
      <w:r w:rsidRPr="00F31693">
        <w:t>front line</w:t>
      </w:r>
      <w:proofErr w:type="gramEnd"/>
      <w:r w:rsidRPr="00F31693">
        <w:t xml:space="preserve"> personnel vacancies with offices located in High Crime and Drug Risk Areas the Risk Assessment </w:t>
      </w:r>
      <w:r w:rsidR="00294187" w:rsidRPr="00F31693">
        <w:t>will remain as</w:t>
      </w:r>
      <w:r w:rsidRPr="00F31693">
        <w:t xml:space="preserve"> Moderate.</w:t>
      </w:r>
    </w:p>
    <w:p w14:paraId="3BEF2686" w14:textId="77777777" w:rsidR="003D75DF" w:rsidRPr="00F31693" w:rsidRDefault="003D75DF" w:rsidP="003D75DF">
      <w:pPr>
        <w:spacing w:after="0" w:line="240" w:lineRule="auto"/>
        <w:rPr>
          <w:rFonts w:ascii="Calibri" w:hAnsi="Calibri" w:cs="Times New Roman"/>
          <w:b/>
          <w:bCs/>
        </w:rPr>
      </w:pPr>
      <w:r w:rsidRPr="00F31693">
        <w:rPr>
          <w:rFonts w:ascii="Calibri" w:hAnsi="Calibri" w:cs="Times New Roman"/>
          <w:b/>
          <w:bCs/>
        </w:rPr>
        <w:t>Branch Openings by location:</w:t>
      </w:r>
    </w:p>
    <w:p w14:paraId="60A5B88C" w14:textId="77777777" w:rsidR="006A2EF5" w:rsidRPr="00F31693" w:rsidRDefault="006A2EF5" w:rsidP="003D75DF">
      <w:pPr>
        <w:spacing w:after="0" w:line="240" w:lineRule="auto"/>
        <w:rPr>
          <w:rFonts w:ascii="Calibri" w:hAnsi="Calibri" w:cs="Times New Roman"/>
          <w:b/>
          <w:bCs/>
        </w:rPr>
      </w:pPr>
    </w:p>
    <w:p w14:paraId="50A5B2D8" w14:textId="77777777" w:rsidR="006A2EF5" w:rsidRPr="00F31693" w:rsidRDefault="006A2EF5" w:rsidP="003D75DF">
      <w:pPr>
        <w:spacing w:after="0" w:line="240" w:lineRule="auto"/>
        <w:rPr>
          <w:rFonts w:ascii="Calibri" w:hAnsi="Calibri" w:cs="Times New Roman"/>
          <w:b/>
          <w:bCs/>
        </w:rPr>
      </w:pPr>
    </w:p>
    <w:tbl>
      <w:tblPr>
        <w:tblW w:w="6686" w:type="dxa"/>
        <w:tblInd w:w="95" w:type="dxa"/>
        <w:tblCellMar>
          <w:left w:w="0" w:type="dxa"/>
          <w:right w:w="0" w:type="dxa"/>
        </w:tblCellMar>
        <w:tblLook w:val="04A0" w:firstRow="1" w:lastRow="0" w:firstColumn="1" w:lastColumn="0" w:noHBand="0" w:noVBand="1"/>
      </w:tblPr>
      <w:tblGrid>
        <w:gridCol w:w="4169"/>
        <w:gridCol w:w="1277"/>
        <w:gridCol w:w="1240"/>
      </w:tblGrid>
      <w:tr w:rsidR="003D75DF" w:rsidRPr="00F31693" w14:paraId="777A2DF6" w14:textId="77777777" w:rsidTr="003D75DF">
        <w:trPr>
          <w:trHeight w:val="615"/>
        </w:trPr>
        <w:tc>
          <w:tcPr>
            <w:tcW w:w="4169"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FCAD617" w14:textId="77777777" w:rsidR="003D75DF" w:rsidRPr="00F31693" w:rsidRDefault="003D75DF" w:rsidP="003D75DF">
            <w:pPr>
              <w:spacing w:after="0" w:line="240" w:lineRule="auto"/>
              <w:jc w:val="both"/>
              <w:rPr>
                <w:rFonts w:ascii="Calibri" w:hAnsi="Calibri" w:cs="Times New Roman"/>
                <w:b/>
                <w:bCs/>
                <w:u w:val="single"/>
              </w:rPr>
            </w:pPr>
            <w:r w:rsidRPr="00F31693">
              <w:rPr>
                <w:rFonts w:ascii="Calibri" w:hAnsi="Calibri" w:cs="Times New Roman"/>
                <w:b/>
                <w:bCs/>
                <w:u w:val="single"/>
              </w:rPr>
              <w:t>Branch</w:t>
            </w:r>
          </w:p>
        </w:tc>
        <w:tc>
          <w:tcPr>
            <w:tcW w:w="1277"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3843774" w14:textId="77777777" w:rsidR="003D75DF" w:rsidRPr="00F31693" w:rsidRDefault="003D75DF" w:rsidP="003D75DF">
            <w:pPr>
              <w:spacing w:after="0" w:line="240" w:lineRule="auto"/>
              <w:jc w:val="both"/>
              <w:rPr>
                <w:rFonts w:ascii="Calibri" w:hAnsi="Calibri" w:cs="Times New Roman"/>
                <w:b/>
                <w:bCs/>
                <w:u w:val="single"/>
              </w:rPr>
            </w:pPr>
            <w:r w:rsidRPr="00F31693">
              <w:rPr>
                <w:rFonts w:ascii="Calibri" w:hAnsi="Calibri" w:cs="Times New Roman"/>
                <w:b/>
                <w:bCs/>
                <w:u w:val="single"/>
              </w:rPr>
              <w:t>Employees on FML</w:t>
            </w:r>
          </w:p>
        </w:tc>
        <w:tc>
          <w:tcPr>
            <w:tcW w:w="124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25023CD" w14:textId="77777777" w:rsidR="003D75DF" w:rsidRPr="00F31693" w:rsidRDefault="003D75DF" w:rsidP="003D75DF">
            <w:pPr>
              <w:spacing w:after="0" w:line="240" w:lineRule="auto"/>
              <w:jc w:val="both"/>
              <w:rPr>
                <w:rFonts w:ascii="Calibri" w:hAnsi="Calibri" w:cs="Times New Roman"/>
                <w:b/>
                <w:bCs/>
                <w:u w:val="single"/>
              </w:rPr>
            </w:pPr>
            <w:r w:rsidRPr="00F31693">
              <w:rPr>
                <w:rFonts w:ascii="Calibri" w:hAnsi="Calibri" w:cs="Times New Roman"/>
                <w:b/>
                <w:bCs/>
                <w:u w:val="single"/>
              </w:rPr>
              <w:t>Total Open Positions</w:t>
            </w:r>
          </w:p>
        </w:tc>
      </w:tr>
      <w:tr w:rsidR="003D75DF" w:rsidRPr="00F31693" w14:paraId="2B9CB138"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54222F1" w14:textId="77777777" w:rsidR="003D75DF" w:rsidRPr="00F31693" w:rsidRDefault="003D75DF" w:rsidP="003D75DF">
            <w:pPr>
              <w:spacing w:after="0" w:line="240" w:lineRule="auto"/>
              <w:jc w:val="both"/>
              <w:rPr>
                <w:rFonts w:ascii="Calibri" w:hAnsi="Calibri" w:cs="Times New Roman"/>
              </w:rPr>
            </w:pPr>
            <w:r w:rsidRPr="00F31693">
              <w:rPr>
                <w:rFonts w:ascii="Calibri" w:hAnsi="Calibri" w:cs="Times New Roman"/>
              </w:rPr>
              <w:t>Hackensack</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54332AB"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DFBB006"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0</w:t>
            </w:r>
          </w:p>
        </w:tc>
      </w:tr>
      <w:tr w:rsidR="003D75DF" w:rsidRPr="00F31693" w14:paraId="2B3F7BAF"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5477F6C" w14:textId="77777777" w:rsidR="003D75DF" w:rsidRPr="00F31693" w:rsidRDefault="003D75DF" w:rsidP="003D75DF">
            <w:pPr>
              <w:spacing w:after="0" w:line="240" w:lineRule="auto"/>
              <w:jc w:val="both"/>
              <w:rPr>
                <w:rFonts w:ascii="Calibri" w:hAnsi="Calibri" w:cs="Times New Roman"/>
              </w:rPr>
            </w:pPr>
            <w:r w:rsidRPr="00F31693">
              <w:rPr>
                <w:rFonts w:ascii="Calibri" w:hAnsi="Calibri" w:cs="Times New Roman"/>
              </w:rPr>
              <w:t>Cliffside Pk</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2F0100E"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EA496F2"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2</w:t>
            </w:r>
          </w:p>
        </w:tc>
      </w:tr>
      <w:tr w:rsidR="003D75DF" w:rsidRPr="00F31693" w14:paraId="62A50C55"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D78C423" w14:textId="77777777" w:rsidR="003D75DF" w:rsidRPr="00F31693" w:rsidRDefault="003D75DF" w:rsidP="003D75DF">
            <w:pPr>
              <w:spacing w:after="0" w:line="240" w:lineRule="auto"/>
              <w:jc w:val="both"/>
              <w:rPr>
                <w:rFonts w:ascii="Calibri" w:hAnsi="Calibri" w:cs="Times New Roman"/>
              </w:rPr>
            </w:pPr>
            <w:r w:rsidRPr="00F31693">
              <w:rPr>
                <w:rFonts w:ascii="Calibri" w:hAnsi="Calibri" w:cs="Times New Roman"/>
              </w:rPr>
              <w:t>Teaneck</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D094B34"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896F796"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1</w:t>
            </w:r>
          </w:p>
        </w:tc>
      </w:tr>
      <w:tr w:rsidR="003D75DF" w:rsidRPr="00F31693" w14:paraId="16423F35"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0D706B9" w14:textId="77777777" w:rsidR="003D75DF" w:rsidRPr="00F31693" w:rsidRDefault="003D75DF" w:rsidP="003D75DF">
            <w:pPr>
              <w:spacing w:after="0" w:line="240" w:lineRule="auto"/>
              <w:jc w:val="both"/>
              <w:rPr>
                <w:rFonts w:ascii="Calibri" w:hAnsi="Calibri" w:cs="Times New Roman"/>
              </w:rPr>
            </w:pPr>
            <w:r w:rsidRPr="00F31693">
              <w:rPr>
                <w:rFonts w:ascii="Calibri" w:hAnsi="Calibri" w:cs="Times New Roman"/>
              </w:rPr>
              <w:t>Palisade Pk</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429CBFD"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2836839"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0</w:t>
            </w:r>
          </w:p>
        </w:tc>
      </w:tr>
      <w:tr w:rsidR="003D75DF" w:rsidRPr="00F31693" w14:paraId="56387BE0"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67F8855" w14:textId="77777777" w:rsidR="003D75DF" w:rsidRPr="00F31693" w:rsidRDefault="003D75DF" w:rsidP="003D75DF">
            <w:pPr>
              <w:spacing w:after="0" w:line="240" w:lineRule="auto"/>
              <w:rPr>
                <w:rFonts w:ascii="Calibri" w:hAnsi="Calibri" w:cs="Times New Roman"/>
              </w:rPr>
            </w:pPr>
            <w:proofErr w:type="spellStart"/>
            <w:r w:rsidRPr="00F31693">
              <w:rPr>
                <w:rFonts w:ascii="Calibri" w:hAnsi="Calibri" w:cs="Times New Roman"/>
              </w:rPr>
              <w:t>Hohokus</w:t>
            </w:r>
            <w:proofErr w:type="spellEnd"/>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59DE192"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1</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4E37CD2"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1</w:t>
            </w:r>
          </w:p>
        </w:tc>
      </w:tr>
      <w:tr w:rsidR="003D75DF" w:rsidRPr="00F31693" w14:paraId="66466C21"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FF51651"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Twp of Washington</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8660862"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D5C3ABE"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2</w:t>
            </w:r>
          </w:p>
        </w:tc>
      </w:tr>
      <w:tr w:rsidR="003D75DF" w:rsidRPr="00F31693" w14:paraId="37732CFE"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6AF176A"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Fairmount</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62206C9"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26B3F97"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0</w:t>
            </w:r>
          </w:p>
        </w:tc>
      </w:tr>
      <w:tr w:rsidR="003D75DF" w:rsidRPr="00F31693" w14:paraId="3B139552"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891DB66"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WCL</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E9AAAB3"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E937C47"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0</w:t>
            </w:r>
          </w:p>
        </w:tc>
      </w:tr>
      <w:tr w:rsidR="003D75DF" w:rsidRPr="00F31693" w14:paraId="76EDF763"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9544958"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lastRenderedPageBreak/>
              <w:t>Paterson</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18EBE04"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C1C5B78"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0</w:t>
            </w:r>
          </w:p>
        </w:tc>
      </w:tr>
      <w:tr w:rsidR="003D75DF" w:rsidRPr="00F31693" w14:paraId="180FB8B8"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2388747"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North Bergen</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DAA8170"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1348CF0"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0</w:t>
            </w:r>
          </w:p>
        </w:tc>
      </w:tr>
      <w:tr w:rsidR="003D75DF" w:rsidRPr="00F31693" w14:paraId="6A219FF9"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E2E230B"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Park Ridge</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B031950"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0EEF45F"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0</w:t>
            </w:r>
          </w:p>
        </w:tc>
      </w:tr>
      <w:tr w:rsidR="003D75DF" w:rsidRPr="00F31693" w14:paraId="0B04CF90"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7030DE5"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Fairview</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B38C17D"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B63B433"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0</w:t>
            </w:r>
          </w:p>
        </w:tc>
      </w:tr>
      <w:tr w:rsidR="003D75DF" w:rsidRPr="00F31693" w14:paraId="6171C5D2"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29B8248"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Shaler</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2E1DC20"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DC6748B"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0</w:t>
            </w:r>
          </w:p>
        </w:tc>
      </w:tr>
      <w:tr w:rsidR="003D75DF" w:rsidRPr="00F31693" w14:paraId="2CB5224A"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4BEF482"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New Milford</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CB71CA9"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7D3356A"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1</w:t>
            </w:r>
          </w:p>
        </w:tc>
      </w:tr>
      <w:tr w:rsidR="003D75DF" w:rsidRPr="00F31693" w14:paraId="6564B445"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BF1313F"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Ridgefield Pk</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EFB18DA"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1F52A4D"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0</w:t>
            </w:r>
          </w:p>
        </w:tc>
      </w:tr>
      <w:tr w:rsidR="003D75DF" w:rsidRPr="00F31693" w14:paraId="0778BBBB"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364B546"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Central Avenue</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98B2216"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9A76FCC"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1</w:t>
            </w:r>
          </w:p>
        </w:tc>
      </w:tr>
      <w:tr w:rsidR="003D75DF" w:rsidRPr="00F31693" w14:paraId="5197CB38"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DC6A783"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Emerson</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915175F"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92E55A2"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0</w:t>
            </w:r>
          </w:p>
        </w:tc>
      </w:tr>
      <w:tr w:rsidR="003D75DF" w:rsidRPr="00F31693" w14:paraId="39F849F1"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75BF2FE"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Bergenfield</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D85D756"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2A2C8A6"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2</w:t>
            </w:r>
          </w:p>
        </w:tc>
      </w:tr>
      <w:tr w:rsidR="003D75DF" w:rsidRPr="00F31693" w14:paraId="143A9228"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53980E4"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Ramsey</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A12693F"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F5C551F"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2</w:t>
            </w:r>
          </w:p>
        </w:tc>
      </w:tr>
      <w:tr w:rsidR="003D75DF" w:rsidRPr="00F31693" w14:paraId="6FE5849D"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605C0CE"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Upper Montclair</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5C2621F"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D3B1D72"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1</w:t>
            </w:r>
          </w:p>
        </w:tc>
      </w:tr>
      <w:tr w:rsidR="003D75DF" w:rsidRPr="00F31693" w14:paraId="429EDC8A"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31D71F2"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Clifton</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BA934F2"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560EE33"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1</w:t>
            </w:r>
          </w:p>
        </w:tc>
      </w:tr>
      <w:tr w:rsidR="003D75DF" w:rsidRPr="00F31693" w14:paraId="47601A19"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37F74F2" w14:textId="77777777" w:rsidR="003D75DF" w:rsidRPr="00F31693" w:rsidRDefault="003D75DF" w:rsidP="003D75DF">
            <w:pPr>
              <w:spacing w:after="0" w:line="240" w:lineRule="auto"/>
              <w:rPr>
                <w:rFonts w:ascii="Calibri" w:hAnsi="Calibri" w:cs="Times New Roman"/>
              </w:rPr>
            </w:pPr>
            <w:proofErr w:type="spellStart"/>
            <w:r w:rsidRPr="00F31693">
              <w:rPr>
                <w:rFonts w:ascii="Calibri" w:hAnsi="Calibri" w:cs="Times New Roman"/>
              </w:rPr>
              <w:t>Bergenline</w:t>
            </w:r>
            <w:proofErr w:type="spellEnd"/>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BB64773"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ADFD0F6"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3</w:t>
            </w:r>
          </w:p>
        </w:tc>
      </w:tr>
      <w:tr w:rsidR="003D75DF" w:rsidRPr="00F31693" w14:paraId="057A4FD6"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CD61BC8"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Summit</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CF4944F"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DEA6D92"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0</w:t>
            </w:r>
          </w:p>
        </w:tc>
      </w:tr>
      <w:tr w:rsidR="003D75DF" w:rsidRPr="00F31693" w14:paraId="6FA4E276"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0557765"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Monastery</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9D22F71"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F72BC0B"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1</w:t>
            </w:r>
          </w:p>
        </w:tc>
      </w:tr>
      <w:tr w:rsidR="003D75DF" w:rsidRPr="00F31693" w14:paraId="4CF29DF1" w14:textId="77777777" w:rsidTr="003D75DF">
        <w:trPr>
          <w:trHeight w:val="28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390BB6F" w14:textId="77777777" w:rsidR="003D75DF" w:rsidRPr="00F31693" w:rsidRDefault="003D75DF" w:rsidP="003D75DF">
            <w:pPr>
              <w:spacing w:after="0" w:line="240" w:lineRule="auto"/>
              <w:rPr>
                <w:rFonts w:ascii="Calibri" w:hAnsi="Calibri" w:cs="Times New Roman"/>
              </w:rPr>
            </w:pPr>
            <w:r w:rsidRPr="00F31693">
              <w:rPr>
                <w:rFonts w:ascii="Calibri" w:hAnsi="Calibri" w:cs="Times New Roman"/>
              </w:rPr>
              <w:t xml:space="preserve">Grand </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27360D4"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F564DC7" w14:textId="77777777" w:rsidR="003D75DF" w:rsidRPr="00F31693" w:rsidRDefault="003D75DF" w:rsidP="003D75DF">
            <w:pPr>
              <w:spacing w:after="0" w:line="240" w:lineRule="auto"/>
              <w:jc w:val="center"/>
              <w:rPr>
                <w:rFonts w:ascii="Calibri" w:hAnsi="Calibri" w:cs="Times New Roman"/>
              </w:rPr>
            </w:pPr>
            <w:r w:rsidRPr="00F31693">
              <w:rPr>
                <w:rFonts w:ascii="Calibri" w:hAnsi="Calibri" w:cs="Times New Roman"/>
              </w:rPr>
              <w:t>1</w:t>
            </w:r>
          </w:p>
        </w:tc>
      </w:tr>
      <w:tr w:rsidR="003D75DF" w:rsidRPr="00F31693" w14:paraId="7051385B" w14:textId="77777777" w:rsidTr="003D75DF">
        <w:trPr>
          <w:trHeight w:val="510"/>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2A1FE72" w14:textId="77777777" w:rsidR="003D75DF" w:rsidRPr="00F31693" w:rsidRDefault="003D75DF" w:rsidP="003D75DF">
            <w:pPr>
              <w:spacing w:after="0" w:line="240" w:lineRule="auto"/>
              <w:jc w:val="both"/>
              <w:rPr>
                <w:rFonts w:ascii="Calibri" w:hAnsi="Calibri" w:cs="Times New Roman"/>
                <w:b/>
                <w:bCs/>
              </w:rPr>
            </w:pPr>
            <w:r w:rsidRPr="00F31693">
              <w:rPr>
                <w:rFonts w:ascii="Calibri" w:hAnsi="Calibri" w:cs="Times New Roman"/>
                <w:b/>
                <w:bCs/>
              </w:rPr>
              <w:t>Total Population</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BAB115C" w14:textId="77777777" w:rsidR="003D75DF" w:rsidRPr="00F31693" w:rsidRDefault="003D75DF" w:rsidP="003D75DF">
            <w:pPr>
              <w:spacing w:after="0" w:line="240" w:lineRule="auto"/>
              <w:jc w:val="center"/>
              <w:rPr>
                <w:rFonts w:ascii="Calibri" w:hAnsi="Calibri" w:cs="Times New Roman"/>
                <w:b/>
                <w:bCs/>
              </w:rPr>
            </w:pPr>
            <w:r w:rsidRPr="00F31693">
              <w:rPr>
                <w:rFonts w:ascii="Calibri" w:hAnsi="Calibri" w:cs="Times New Roman"/>
                <w:b/>
                <w:bCs/>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CC5EE3C" w14:textId="77777777" w:rsidR="003D75DF" w:rsidRPr="00F31693" w:rsidRDefault="003D75DF" w:rsidP="003D75DF">
            <w:pPr>
              <w:spacing w:after="0" w:line="240" w:lineRule="auto"/>
              <w:jc w:val="center"/>
              <w:rPr>
                <w:rFonts w:ascii="Calibri" w:hAnsi="Calibri" w:cs="Times New Roman"/>
                <w:b/>
                <w:bCs/>
              </w:rPr>
            </w:pPr>
            <w:r w:rsidRPr="00F31693">
              <w:rPr>
                <w:rFonts w:ascii="Calibri" w:hAnsi="Calibri" w:cs="Times New Roman"/>
                <w:b/>
                <w:bCs/>
              </w:rPr>
              <w:t>187</w:t>
            </w:r>
          </w:p>
        </w:tc>
      </w:tr>
      <w:tr w:rsidR="003D75DF" w:rsidRPr="00F31693" w14:paraId="58F20CA1" w14:textId="77777777" w:rsidTr="003D75DF">
        <w:trPr>
          <w:trHeight w:val="484"/>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6EBDC9D" w14:textId="77777777" w:rsidR="003D75DF" w:rsidRPr="00F31693" w:rsidRDefault="003D75DF" w:rsidP="003D75DF">
            <w:pPr>
              <w:spacing w:after="0" w:line="240" w:lineRule="auto"/>
              <w:jc w:val="both"/>
              <w:rPr>
                <w:rFonts w:ascii="Calibri" w:hAnsi="Calibri" w:cs="Times New Roman"/>
                <w:b/>
                <w:bCs/>
              </w:rPr>
            </w:pPr>
            <w:r w:rsidRPr="00F31693">
              <w:rPr>
                <w:rFonts w:ascii="Calibri" w:hAnsi="Calibri" w:cs="Times New Roman"/>
                <w:b/>
                <w:bCs/>
              </w:rPr>
              <w:t>Total Current Openings</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17B600E" w14:textId="77777777" w:rsidR="003D75DF" w:rsidRPr="00F31693" w:rsidRDefault="003D75DF" w:rsidP="003D75DF">
            <w:pPr>
              <w:spacing w:after="0" w:line="240" w:lineRule="auto"/>
              <w:jc w:val="center"/>
              <w:rPr>
                <w:rFonts w:ascii="Calibri" w:hAnsi="Calibri" w:cs="Times New Roman"/>
                <w:b/>
                <w:bCs/>
              </w:rPr>
            </w:pPr>
            <w:r w:rsidRPr="00F31693">
              <w:rPr>
                <w:rFonts w:ascii="Calibri" w:hAnsi="Calibri" w:cs="Times New Roman"/>
                <w:b/>
                <w:bCs/>
              </w:rPr>
              <w:t>N/A</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520DE05" w14:textId="77777777" w:rsidR="003D75DF" w:rsidRPr="00F31693" w:rsidRDefault="003D75DF" w:rsidP="003D75DF">
            <w:pPr>
              <w:spacing w:after="0" w:line="240" w:lineRule="auto"/>
              <w:jc w:val="center"/>
              <w:rPr>
                <w:rFonts w:ascii="Calibri" w:hAnsi="Calibri" w:cs="Times New Roman"/>
                <w:b/>
                <w:bCs/>
              </w:rPr>
            </w:pPr>
            <w:r w:rsidRPr="00F31693">
              <w:rPr>
                <w:rFonts w:ascii="Calibri" w:hAnsi="Calibri" w:cs="Times New Roman"/>
                <w:b/>
                <w:bCs/>
              </w:rPr>
              <w:t>19</w:t>
            </w:r>
          </w:p>
        </w:tc>
      </w:tr>
      <w:tr w:rsidR="003D75DF" w:rsidRPr="00F31693" w14:paraId="1CD9F4A5" w14:textId="77777777" w:rsidTr="003D75DF">
        <w:trPr>
          <w:trHeight w:val="493"/>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8DB59C6" w14:textId="77777777" w:rsidR="003D75DF" w:rsidRPr="00F31693" w:rsidRDefault="003D75DF" w:rsidP="003D75DF">
            <w:pPr>
              <w:spacing w:after="0" w:line="240" w:lineRule="auto"/>
              <w:jc w:val="both"/>
              <w:rPr>
                <w:rFonts w:ascii="Calibri" w:hAnsi="Calibri" w:cs="Times New Roman"/>
                <w:b/>
                <w:bCs/>
              </w:rPr>
            </w:pPr>
            <w:r w:rsidRPr="00F31693">
              <w:rPr>
                <w:rFonts w:ascii="Calibri" w:hAnsi="Calibri" w:cs="Times New Roman"/>
                <w:b/>
                <w:bCs/>
              </w:rPr>
              <w:t>Total Vacancy Rate</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20FE03C" w14:textId="77777777" w:rsidR="003D75DF" w:rsidRPr="00F31693" w:rsidRDefault="003D75DF" w:rsidP="003D75DF">
            <w:pPr>
              <w:spacing w:after="0" w:line="240" w:lineRule="auto"/>
              <w:jc w:val="center"/>
              <w:rPr>
                <w:rFonts w:ascii="Calibri" w:hAnsi="Calibri" w:cs="Times New Roman"/>
                <w:b/>
                <w:bCs/>
              </w:rPr>
            </w:pPr>
            <w:r w:rsidRPr="00F31693">
              <w:rPr>
                <w:rFonts w:ascii="Calibri" w:hAnsi="Calibri" w:cs="Times New Roman"/>
                <w:b/>
                <w:bCs/>
              </w:rPr>
              <w:t>0</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61A5FCC" w14:textId="77777777" w:rsidR="003D75DF" w:rsidRPr="00F31693" w:rsidRDefault="003D75DF" w:rsidP="003D75DF">
            <w:pPr>
              <w:spacing w:after="0" w:line="240" w:lineRule="auto"/>
              <w:jc w:val="center"/>
              <w:rPr>
                <w:rFonts w:ascii="Calibri" w:hAnsi="Calibri" w:cs="Times New Roman"/>
                <w:b/>
                <w:bCs/>
              </w:rPr>
            </w:pPr>
            <w:r w:rsidRPr="00F31693">
              <w:rPr>
                <w:rFonts w:ascii="Calibri" w:hAnsi="Calibri" w:cs="Times New Roman"/>
                <w:b/>
                <w:bCs/>
              </w:rPr>
              <w:t>10%</w:t>
            </w:r>
          </w:p>
        </w:tc>
      </w:tr>
      <w:tr w:rsidR="003D75DF" w:rsidRPr="00F31693" w14:paraId="7506F7FF" w14:textId="77777777" w:rsidTr="003D75DF">
        <w:trPr>
          <w:trHeight w:val="475"/>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08B281E" w14:textId="77777777" w:rsidR="003D75DF" w:rsidRPr="00F31693" w:rsidRDefault="003D75DF" w:rsidP="003D75DF">
            <w:pPr>
              <w:spacing w:after="0" w:line="240" w:lineRule="auto"/>
              <w:rPr>
                <w:rFonts w:ascii="Calibri" w:hAnsi="Calibri" w:cs="Times New Roman"/>
                <w:b/>
                <w:bCs/>
              </w:rPr>
            </w:pPr>
            <w:r w:rsidRPr="00F31693">
              <w:rPr>
                <w:rFonts w:ascii="Calibri" w:hAnsi="Calibri" w:cs="Times New Roman"/>
                <w:b/>
                <w:bCs/>
              </w:rPr>
              <w:t xml:space="preserve">Total Vacancy </w:t>
            </w:r>
            <w:proofErr w:type="gramStart"/>
            <w:r w:rsidRPr="00F31693">
              <w:rPr>
                <w:rFonts w:ascii="Calibri" w:hAnsi="Calibri" w:cs="Times New Roman"/>
                <w:b/>
                <w:bCs/>
              </w:rPr>
              <w:t>Rate  Tellers</w:t>
            </w:r>
            <w:proofErr w:type="gramEnd"/>
            <w:r w:rsidRPr="00F31693">
              <w:rPr>
                <w:rFonts w:ascii="Calibri" w:hAnsi="Calibri" w:cs="Times New Roman"/>
                <w:b/>
                <w:bCs/>
              </w:rPr>
              <w:t>-14%</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58F005C" w14:textId="77777777" w:rsidR="003D75DF" w:rsidRPr="00F31693" w:rsidRDefault="003D75DF" w:rsidP="003D75DF">
            <w:pPr>
              <w:spacing w:after="0" w:line="240" w:lineRule="auto"/>
              <w:rPr>
                <w:rFonts w:ascii="Calibri" w:hAnsi="Calibri" w:cs="Times New Roman"/>
                <w:b/>
                <w:bCs/>
              </w:rPr>
            </w:pPr>
            <w:r w:rsidRPr="00F31693">
              <w:rPr>
                <w:rFonts w:ascii="Calibri" w:hAnsi="Calibri" w:cs="Times New Roman"/>
                <w:b/>
                <w:bCs/>
              </w:rPr>
              <w:t> </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A0D8DD4" w14:textId="77777777" w:rsidR="003D75DF" w:rsidRPr="00F31693" w:rsidRDefault="003D75DF" w:rsidP="003D75DF">
            <w:pPr>
              <w:spacing w:after="0" w:line="240" w:lineRule="auto"/>
              <w:rPr>
                <w:rFonts w:ascii="Calibri" w:hAnsi="Calibri" w:cs="Times New Roman"/>
                <w:b/>
                <w:bCs/>
              </w:rPr>
            </w:pPr>
            <w:r w:rsidRPr="00F31693">
              <w:rPr>
                <w:rFonts w:ascii="Calibri" w:hAnsi="Calibri" w:cs="Times New Roman"/>
                <w:b/>
                <w:bCs/>
              </w:rPr>
              <w:t> </w:t>
            </w:r>
          </w:p>
        </w:tc>
      </w:tr>
      <w:tr w:rsidR="003D75DF" w:rsidRPr="00F31693" w14:paraId="6672F8AE" w14:textId="77777777" w:rsidTr="003D75DF">
        <w:trPr>
          <w:trHeight w:val="493"/>
        </w:trPr>
        <w:tc>
          <w:tcPr>
            <w:tcW w:w="4169"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764E6C0" w14:textId="77777777" w:rsidR="003D75DF" w:rsidRPr="00F31693" w:rsidRDefault="003D75DF" w:rsidP="003D75DF">
            <w:pPr>
              <w:spacing w:after="0" w:line="240" w:lineRule="auto"/>
              <w:rPr>
                <w:rFonts w:ascii="Calibri" w:hAnsi="Calibri" w:cs="Times New Roman"/>
                <w:b/>
                <w:bCs/>
              </w:rPr>
            </w:pPr>
            <w:r w:rsidRPr="00F31693">
              <w:rPr>
                <w:rFonts w:ascii="Calibri" w:hAnsi="Calibri" w:cs="Times New Roman"/>
                <w:b/>
                <w:bCs/>
              </w:rPr>
              <w:t>Total Vacancy Rate Supervisors- 5%</w:t>
            </w:r>
          </w:p>
        </w:tc>
        <w:tc>
          <w:tcPr>
            <w:tcW w:w="127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4F529FE" w14:textId="77777777" w:rsidR="003D75DF" w:rsidRPr="00F31693" w:rsidRDefault="003D75DF" w:rsidP="003D75DF">
            <w:pPr>
              <w:spacing w:after="0" w:line="240" w:lineRule="auto"/>
              <w:rPr>
                <w:rFonts w:ascii="Calibri" w:hAnsi="Calibri" w:cs="Times New Roman"/>
                <w:u w:val="single"/>
              </w:rPr>
            </w:pPr>
            <w:r w:rsidRPr="00F31693">
              <w:rPr>
                <w:rFonts w:ascii="Calibri" w:hAnsi="Calibri" w:cs="Times New Roman"/>
                <w:u w:val="single"/>
              </w:rPr>
              <w:t> </w:t>
            </w:r>
          </w:p>
        </w:tc>
        <w:tc>
          <w:tcPr>
            <w:tcW w:w="12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C58D1BD" w14:textId="77777777" w:rsidR="003D75DF" w:rsidRPr="00F31693" w:rsidRDefault="003D75DF" w:rsidP="003D75DF">
            <w:pPr>
              <w:spacing w:after="0" w:line="240" w:lineRule="auto"/>
              <w:rPr>
                <w:rFonts w:ascii="Calibri" w:hAnsi="Calibri" w:cs="Times New Roman"/>
                <w:u w:val="single"/>
              </w:rPr>
            </w:pPr>
            <w:r w:rsidRPr="00F31693">
              <w:rPr>
                <w:rFonts w:ascii="Calibri" w:hAnsi="Calibri" w:cs="Times New Roman"/>
                <w:u w:val="single"/>
              </w:rPr>
              <w:t> </w:t>
            </w:r>
          </w:p>
        </w:tc>
      </w:tr>
    </w:tbl>
    <w:p w14:paraId="63BB0DD1" w14:textId="77777777" w:rsidR="003D75DF" w:rsidRPr="00F31693" w:rsidRDefault="003D75DF" w:rsidP="003D75DF">
      <w:pPr>
        <w:spacing w:after="0" w:line="240" w:lineRule="auto"/>
        <w:rPr>
          <w:rFonts w:ascii="Calibri" w:hAnsi="Calibri" w:cs="Times New Roman"/>
        </w:rPr>
      </w:pPr>
    </w:p>
    <w:p w14:paraId="1A0DE644" w14:textId="77777777" w:rsidR="00A95E97" w:rsidRPr="00F31693" w:rsidRDefault="000B6098" w:rsidP="00A95E97">
      <w:r w:rsidRPr="00F31693">
        <w:t>At the conclusion of the assessment period there were</w:t>
      </w:r>
      <w:r w:rsidR="00A95E97" w:rsidRPr="00F31693">
        <w:t xml:space="preserve"> no employee vacancies in the BSA, Wire Transfer, </w:t>
      </w:r>
      <w:proofErr w:type="spellStart"/>
      <w:r w:rsidR="00A95E97" w:rsidRPr="00F31693">
        <w:t>eBanking</w:t>
      </w:r>
      <w:proofErr w:type="spellEnd"/>
      <w:r w:rsidR="00A95E97" w:rsidRPr="00F31693">
        <w:t xml:space="preserve"> or Deposit Operations Departments. </w:t>
      </w:r>
    </w:p>
    <w:p w14:paraId="2247824A" w14:textId="77777777" w:rsidR="00E04F53" w:rsidRPr="00F31693" w:rsidRDefault="00E04F53" w:rsidP="00A95E97">
      <w:pPr>
        <w:rPr>
          <w:b/>
        </w:rPr>
      </w:pPr>
    </w:p>
    <w:p w14:paraId="2C5E2494" w14:textId="77777777" w:rsidR="00E04F53" w:rsidRPr="00F31693" w:rsidRDefault="00E04F53" w:rsidP="00A95E97">
      <w:pPr>
        <w:rPr>
          <w:b/>
        </w:rPr>
      </w:pPr>
    </w:p>
    <w:p w14:paraId="32AE177C" w14:textId="77777777" w:rsidR="00E04F53" w:rsidRPr="00F31693" w:rsidRDefault="00E04F53" w:rsidP="00A95E97">
      <w:pPr>
        <w:rPr>
          <w:b/>
        </w:rPr>
      </w:pPr>
    </w:p>
    <w:p w14:paraId="5BC7C218" w14:textId="77777777" w:rsidR="00E04F53" w:rsidRPr="00F31693" w:rsidRDefault="00E04F53" w:rsidP="00A95E97">
      <w:pPr>
        <w:rPr>
          <w:b/>
        </w:rPr>
      </w:pPr>
    </w:p>
    <w:p w14:paraId="196DE897" w14:textId="77777777" w:rsidR="00E04F53" w:rsidRPr="00F31693" w:rsidRDefault="00E04F53" w:rsidP="00A95E97">
      <w:pPr>
        <w:rPr>
          <w:b/>
        </w:rPr>
      </w:pPr>
    </w:p>
    <w:p w14:paraId="2880A27A" w14:textId="77777777" w:rsidR="00E04F53" w:rsidRPr="00F31693" w:rsidRDefault="00E04F53" w:rsidP="00A95E97">
      <w:pPr>
        <w:rPr>
          <w:b/>
        </w:rPr>
      </w:pPr>
    </w:p>
    <w:p w14:paraId="69E5EFF2" w14:textId="77777777" w:rsidR="00E04F53" w:rsidRPr="00F31693" w:rsidRDefault="00E04F53" w:rsidP="00A95E97">
      <w:pPr>
        <w:rPr>
          <w:b/>
        </w:rPr>
      </w:pPr>
    </w:p>
    <w:p w14:paraId="3532F7A6" w14:textId="77777777" w:rsidR="00B83423" w:rsidRPr="00F31693" w:rsidRDefault="00B83423" w:rsidP="00A95E97">
      <w:pPr>
        <w:rPr>
          <w:b/>
        </w:rPr>
      </w:pPr>
    </w:p>
    <w:p w14:paraId="7F5361E2" w14:textId="77777777" w:rsidR="00B83423" w:rsidRPr="00F31693" w:rsidRDefault="00B83423" w:rsidP="00A95E97">
      <w:pPr>
        <w:rPr>
          <w:b/>
        </w:rPr>
      </w:pPr>
    </w:p>
    <w:p w14:paraId="3CDF1F5A" w14:textId="77777777" w:rsidR="00A95E97" w:rsidRPr="00F31693" w:rsidRDefault="00A95E97" w:rsidP="00A95E97">
      <w:pPr>
        <w:rPr>
          <w:b/>
        </w:rPr>
      </w:pPr>
      <w:r w:rsidRPr="00F31693">
        <w:rPr>
          <w:b/>
        </w:rPr>
        <w:t>Board of Directors</w:t>
      </w:r>
    </w:p>
    <w:p w14:paraId="56C28A19" w14:textId="77777777" w:rsidR="00CC7A79" w:rsidRPr="00F31693" w:rsidRDefault="00A95E97" w:rsidP="00A95E97">
      <w:r w:rsidRPr="00F31693">
        <w:t xml:space="preserve">There have been no changes to the Board of </w:t>
      </w:r>
      <w:proofErr w:type="gramStart"/>
      <w:r w:rsidRPr="00F31693">
        <w:t>Directors</w:t>
      </w:r>
      <w:proofErr w:type="gramEnd"/>
      <w:r w:rsidRPr="00F31693">
        <w:t xml:space="preserve"> composition since last assessment period. The Board has been stable since </w:t>
      </w:r>
      <w:proofErr w:type="gramStart"/>
      <w:r w:rsidRPr="00F31693">
        <w:t>last</w:t>
      </w:r>
      <w:proofErr w:type="gramEnd"/>
      <w:r w:rsidRPr="00F31693">
        <w:t xml:space="preserve"> assessment period. The Board was provided AML/BSA/OFAC training by the Chief Compliance Officer</w:t>
      </w:r>
      <w:r w:rsidR="006C5A02">
        <w:t xml:space="preserve"> and BSA Officer</w:t>
      </w:r>
      <w:r w:rsidRPr="00F31693">
        <w:t xml:space="preserve"> during the last assessment period.</w:t>
      </w:r>
    </w:p>
    <w:tbl>
      <w:tblPr>
        <w:tblW w:w="10080" w:type="dxa"/>
        <w:tblInd w:w="-162" w:type="dxa"/>
        <w:tblLook w:val="04A0" w:firstRow="1" w:lastRow="0" w:firstColumn="1" w:lastColumn="0" w:noHBand="0" w:noVBand="1"/>
      </w:tblPr>
      <w:tblGrid>
        <w:gridCol w:w="4779"/>
        <w:gridCol w:w="1120"/>
        <w:gridCol w:w="2020"/>
        <w:gridCol w:w="2161"/>
      </w:tblGrid>
      <w:tr w:rsidR="007B3528" w:rsidRPr="00F31693" w14:paraId="7C40C547" w14:textId="77777777" w:rsidTr="00477ACD">
        <w:trPr>
          <w:trHeight w:val="630"/>
        </w:trPr>
        <w:tc>
          <w:tcPr>
            <w:tcW w:w="4779" w:type="dxa"/>
            <w:tcBorders>
              <w:top w:val="nil"/>
              <w:left w:val="nil"/>
              <w:bottom w:val="nil"/>
              <w:right w:val="nil"/>
            </w:tcBorders>
            <w:shd w:val="clear" w:color="000000" w:fill="1F497D"/>
            <w:noWrap/>
            <w:vAlign w:val="bottom"/>
            <w:hideMark/>
          </w:tcPr>
          <w:p w14:paraId="0038C916" w14:textId="77777777" w:rsidR="007B3528" w:rsidRPr="00F31693" w:rsidRDefault="007B3528" w:rsidP="007B3528">
            <w:pPr>
              <w:spacing w:after="0" w:line="240" w:lineRule="auto"/>
              <w:jc w:val="center"/>
              <w:rPr>
                <w:rFonts w:ascii="Calibri" w:eastAsia="Times New Roman" w:hAnsi="Calibri" w:cs="Times New Roman"/>
                <w:color w:val="FFFFFF"/>
                <w:sz w:val="32"/>
                <w:szCs w:val="32"/>
              </w:rPr>
            </w:pPr>
            <w:r w:rsidRPr="00F31693">
              <w:rPr>
                <w:rFonts w:ascii="Calibri" w:eastAsia="Times New Roman" w:hAnsi="Calibri" w:cs="Times New Roman"/>
                <w:color w:val="FFFFFF"/>
                <w:sz w:val="32"/>
                <w:szCs w:val="32"/>
              </w:rPr>
              <w:t>Board of Directors</w:t>
            </w:r>
          </w:p>
        </w:tc>
        <w:tc>
          <w:tcPr>
            <w:tcW w:w="1120" w:type="dxa"/>
            <w:tcBorders>
              <w:top w:val="nil"/>
              <w:left w:val="nil"/>
              <w:bottom w:val="nil"/>
              <w:right w:val="nil"/>
            </w:tcBorders>
            <w:shd w:val="clear" w:color="000000" w:fill="1F497D"/>
            <w:noWrap/>
            <w:vAlign w:val="bottom"/>
            <w:hideMark/>
          </w:tcPr>
          <w:p w14:paraId="1D8708F7" w14:textId="77777777" w:rsidR="007B3528" w:rsidRPr="00F31693" w:rsidRDefault="007B3528" w:rsidP="007B3528">
            <w:pPr>
              <w:spacing w:after="0" w:line="240" w:lineRule="auto"/>
              <w:jc w:val="center"/>
              <w:rPr>
                <w:rFonts w:ascii="Calibri" w:eastAsia="Times New Roman" w:hAnsi="Calibri" w:cs="Times New Roman"/>
                <w:color w:val="FFFFFF"/>
                <w:sz w:val="32"/>
                <w:szCs w:val="32"/>
              </w:rPr>
            </w:pPr>
            <w:r w:rsidRPr="00F31693">
              <w:rPr>
                <w:rFonts w:ascii="Calibri" w:eastAsia="Times New Roman" w:hAnsi="Calibri" w:cs="Times New Roman"/>
                <w:color w:val="FFFFFF"/>
                <w:sz w:val="32"/>
                <w:szCs w:val="32"/>
              </w:rPr>
              <w:t>Age</w:t>
            </w:r>
          </w:p>
        </w:tc>
        <w:tc>
          <w:tcPr>
            <w:tcW w:w="2020" w:type="dxa"/>
            <w:tcBorders>
              <w:top w:val="nil"/>
              <w:left w:val="nil"/>
              <w:bottom w:val="nil"/>
              <w:right w:val="nil"/>
            </w:tcBorders>
            <w:shd w:val="clear" w:color="000000" w:fill="1F497D"/>
            <w:noWrap/>
            <w:vAlign w:val="bottom"/>
            <w:hideMark/>
          </w:tcPr>
          <w:p w14:paraId="606FB981" w14:textId="77777777" w:rsidR="007B3528" w:rsidRPr="00F31693" w:rsidRDefault="007B3528" w:rsidP="007B3528">
            <w:pPr>
              <w:spacing w:after="0" w:line="240" w:lineRule="auto"/>
              <w:jc w:val="center"/>
              <w:rPr>
                <w:rFonts w:ascii="Calibri" w:eastAsia="Times New Roman" w:hAnsi="Calibri" w:cs="Times New Roman"/>
                <w:color w:val="FFFFFF"/>
                <w:sz w:val="32"/>
                <w:szCs w:val="32"/>
              </w:rPr>
            </w:pPr>
            <w:r w:rsidRPr="00F31693">
              <w:rPr>
                <w:rFonts w:ascii="Calibri" w:eastAsia="Times New Roman" w:hAnsi="Calibri" w:cs="Times New Roman"/>
                <w:color w:val="FFFFFF"/>
                <w:sz w:val="32"/>
                <w:szCs w:val="32"/>
              </w:rPr>
              <w:t>Elected</w:t>
            </w:r>
          </w:p>
        </w:tc>
        <w:tc>
          <w:tcPr>
            <w:tcW w:w="2161" w:type="dxa"/>
            <w:tcBorders>
              <w:top w:val="nil"/>
              <w:left w:val="nil"/>
              <w:bottom w:val="nil"/>
              <w:right w:val="nil"/>
            </w:tcBorders>
            <w:shd w:val="clear" w:color="000000" w:fill="1F497D"/>
            <w:noWrap/>
            <w:vAlign w:val="bottom"/>
            <w:hideMark/>
          </w:tcPr>
          <w:p w14:paraId="392C86EB" w14:textId="77777777" w:rsidR="007B3528" w:rsidRPr="00F31693" w:rsidRDefault="007B3528" w:rsidP="007B3528">
            <w:pPr>
              <w:spacing w:after="0" w:line="240" w:lineRule="auto"/>
              <w:jc w:val="center"/>
              <w:rPr>
                <w:rFonts w:ascii="Calibri" w:eastAsia="Times New Roman" w:hAnsi="Calibri" w:cs="Times New Roman"/>
                <w:color w:val="FFFFFF"/>
                <w:sz w:val="32"/>
                <w:szCs w:val="32"/>
              </w:rPr>
            </w:pPr>
            <w:r w:rsidRPr="00F31693">
              <w:rPr>
                <w:rFonts w:ascii="Calibri" w:eastAsia="Times New Roman" w:hAnsi="Calibri" w:cs="Times New Roman"/>
                <w:color w:val="FFFFFF"/>
                <w:sz w:val="32"/>
                <w:szCs w:val="32"/>
              </w:rPr>
              <w:t>Term Ends</w:t>
            </w:r>
          </w:p>
        </w:tc>
      </w:tr>
      <w:tr w:rsidR="007B3528" w:rsidRPr="00F31693" w14:paraId="0A141DA0" w14:textId="77777777" w:rsidTr="00477ACD">
        <w:trPr>
          <w:trHeight w:val="630"/>
        </w:trPr>
        <w:tc>
          <w:tcPr>
            <w:tcW w:w="4779" w:type="dxa"/>
            <w:tcBorders>
              <w:top w:val="nil"/>
              <w:left w:val="nil"/>
              <w:bottom w:val="nil"/>
              <w:right w:val="nil"/>
            </w:tcBorders>
            <w:shd w:val="clear" w:color="auto" w:fill="auto"/>
            <w:noWrap/>
            <w:vAlign w:val="bottom"/>
            <w:hideMark/>
          </w:tcPr>
          <w:p w14:paraId="5BDD21D0" w14:textId="77777777" w:rsidR="007B3528" w:rsidRPr="00F31693" w:rsidRDefault="007B3528" w:rsidP="007B3528">
            <w:pPr>
              <w:spacing w:after="0" w:line="240" w:lineRule="auto"/>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Kevin J. Lynch</w:t>
            </w:r>
          </w:p>
        </w:tc>
        <w:tc>
          <w:tcPr>
            <w:tcW w:w="1120" w:type="dxa"/>
            <w:tcBorders>
              <w:top w:val="nil"/>
              <w:left w:val="nil"/>
              <w:bottom w:val="nil"/>
              <w:right w:val="nil"/>
            </w:tcBorders>
            <w:shd w:val="clear" w:color="auto" w:fill="auto"/>
            <w:noWrap/>
            <w:vAlign w:val="bottom"/>
            <w:hideMark/>
          </w:tcPr>
          <w:p w14:paraId="4D670D7E" w14:textId="77777777" w:rsidR="007B3528" w:rsidRPr="00F31693" w:rsidRDefault="00782060" w:rsidP="00782060">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70</w:t>
            </w:r>
          </w:p>
        </w:tc>
        <w:tc>
          <w:tcPr>
            <w:tcW w:w="2020" w:type="dxa"/>
            <w:tcBorders>
              <w:top w:val="nil"/>
              <w:left w:val="nil"/>
              <w:bottom w:val="nil"/>
              <w:right w:val="nil"/>
            </w:tcBorders>
            <w:shd w:val="clear" w:color="auto" w:fill="auto"/>
            <w:noWrap/>
            <w:vAlign w:val="bottom"/>
            <w:hideMark/>
          </w:tcPr>
          <w:p w14:paraId="057D67F4" w14:textId="77777777" w:rsidR="007B3528" w:rsidRPr="00F31693" w:rsidRDefault="007B3528" w:rsidP="007B3528">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1990</w:t>
            </w:r>
          </w:p>
        </w:tc>
        <w:tc>
          <w:tcPr>
            <w:tcW w:w="2161" w:type="dxa"/>
            <w:tcBorders>
              <w:top w:val="nil"/>
              <w:left w:val="nil"/>
              <w:bottom w:val="nil"/>
              <w:right w:val="nil"/>
            </w:tcBorders>
            <w:shd w:val="clear" w:color="auto" w:fill="auto"/>
            <w:noWrap/>
            <w:vAlign w:val="bottom"/>
            <w:hideMark/>
          </w:tcPr>
          <w:p w14:paraId="3709B290" w14:textId="77777777" w:rsidR="007B3528" w:rsidRPr="00F31693" w:rsidRDefault="007B3528" w:rsidP="007B3528">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2016</w:t>
            </w:r>
          </w:p>
        </w:tc>
      </w:tr>
      <w:tr w:rsidR="007B3528" w:rsidRPr="00F31693" w14:paraId="6A5E0947" w14:textId="77777777" w:rsidTr="00477ACD">
        <w:trPr>
          <w:trHeight w:val="630"/>
        </w:trPr>
        <w:tc>
          <w:tcPr>
            <w:tcW w:w="4779" w:type="dxa"/>
            <w:tcBorders>
              <w:top w:val="nil"/>
              <w:left w:val="nil"/>
              <w:bottom w:val="nil"/>
              <w:right w:val="nil"/>
            </w:tcBorders>
            <w:shd w:val="clear" w:color="000000" w:fill="C5D9F1"/>
            <w:noWrap/>
            <w:vAlign w:val="bottom"/>
            <w:hideMark/>
          </w:tcPr>
          <w:p w14:paraId="40C13866" w14:textId="77777777" w:rsidR="007B3528" w:rsidRPr="00F31693" w:rsidRDefault="007B3528" w:rsidP="007B3528">
            <w:pPr>
              <w:spacing w:after="0" w:line="240" w:lineRule="auto"/>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Nicholas Antonaccio</w:t>
            </w:r>
          </w:p>
        </w:tc>
        <w:tc>
          <w:tcPr>
            <w:tcW w:w="1120" w:type="dxa"/>
            <w:tcBorders>
              <w:top w:val="nil"/>
              <w:left w:val="nil"/>
              <w:bottom w:val="nil"/>
              <w:right w:val="nil"/>
            </w:tcBorders>
            <w:shd w:val="clear" w:color="000000" w:fill="C5D9F1"/>
            <w:noWrap/>
            <w:vAlign w:val="bottom"/>
            <w:hideMark/>
          </w:tcPr>
          <w:p w14:paraId="4F9D8083" w14:textId="77777777" w:rsidR="007B3528" w:rsidRPr="00F31693" w:rsidRDefault="007B3528" w:rsidP="00782060">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6</w:t>
            </w:r>
            <w:r w:rsidR="00782060" w:rsidRPr="00F31693">
              <w:rPr>
                <w:rFonts w:ascii="Calibri" w:eastAsia="Times New Roman" w:hAnsi="Calibri" w:cs="Times New Roman"/>
                <w:b/>
                <w:color w:val="000000"/>
                <w:sz w:val="32"/>
                <w:szCs w:val="32"/>
              </w:rPr>
              <w:t>9</w:t>
            </w:r>
          </w:p>
        </w:tc>
        <w:tc>
          <w:tcPr>
            <w:tcW w:w="2020" w:type="dxa"/>
            <w:tcBorders>
              <w:top w:val="nil"/>
              <w:left w:val="nil"/>
              <w:bottom w:val="nil"/>
              <w:right w:val="nil"/>
            </w:tcBorders>
            <w:shd w:val="clear" w:color="000000" w:fill="C5D9F1"/>
            <w:noWrap/>
            <w:vAlign w:val="bottom"/>
            <w:hideMark/>
          </w:tcPr>
          <w:p w14:paraId="68580B29" w14:textId="77777777" w:rsidR="007B3528" w:rsidRPr="00F31693" w:rsidRDefault="007B3528" w:rsidP="007B3528">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1994</w:t>
            </w:r>
          </w:p>
        </w:tc>
        <w:tc>
          <w:tcPr>
            <w:tcW w:w="2161" w:type="dxa"/>
            <w:tcBorders>
              <w:top w:val="nil"/>
              <w:left w:val="nil"/>
              <w:bottom w:val="nil"/>
              <w:right w:val="nil"/>
            </w:tcBorders>
            <w:shd w:val="clear" w:color="000000" w:fill="C5D9F1"/>
            <w:noWrap/>
            <w:vAlign w:val="bottom"/>
            <w:hideMark/>
          </w:tcPr>
          <w:p w14:paraId="14B1217A" w14:textId="77777777" w:rsidR="007B3528" w:rsidRPr="00F31693" w:rsidRDefault="007B3528" w:rsidP="007B3528">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2016</w:t>
            </w:r>
          </w:p>
        </w:tc>
      </w:tr>
      <w:tr w:rsidR="007B3528" w:rsidRPr="00F31693" w14:paraId="779A9947" w14:textId="77777777" w:rsidTr="00477ACD">
        <w:trPr>
          <w:trHeight w:val="720"/>
        </w:trPr>
        <w:tc>
          <w:tcPr>
            <w:tcW w:w="4779" w:type="dxa"/>
            <w:tcBorders>
              <w:top w:val="nil"/>
              <w:left w:val="nil"/>
              <w:bottom w:val="nil"/>
              <w:right w:val="nil"/>
            </w:tcBorders>
            <w:shd w:val="clear" w:color="auto" w:fill="auto"/>
            <w:noWrap/>
            <w:vAlign w:val="bottom"/>
            <w:hideMark/>
          </w:tcPr>
          <w:p w14:paraId="3496DF55" w14:textId="77777777" w:rsidR="007B3528" w:rsidRPr="00F31693" w:rsidRDefault="007B3528" w:rsidP="007B3528">
            <w:pPr>
              <w:spacing w:after="0" w:line="240" w:lineRule="auto"/>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Michael A. DeBernardi</w:t>
            </w:r>
          </w:p>
        </w:tc>
        <w:tc>
          <w:tcPr>
            <w:tcW w:w="1120" w:type="dxa"/>
            <w:tcBorders>
              <w:top w:val="nil"/>
              <w:left w:val="nil"/>
              <w:bottom w:val="nil"/>
              <w:right w:val="nil"/>
            </w:tcBorders>
            <w:shd w:val="clear" w:color="auto" w:fill="auto"/>
            <w:noWrap/>
            <w:vAlign w:val="bottom"/>
            <w:hideMark/>
          </w:tcPr>
          <w:p w14:paraId="1B0280FF" w14:textId="77777777" w:rsidR="007B3528" w:rsidRPr="00F31693" w:rsidRDefault="007B3528" w:rsidP="00782060">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6</w:t>
            </w:r>
            <w:r w:rsidR="00782060" w:rsidRPr="00F31693">
              <w:rPr>
                <w:rFonts w:ascii="Calibri" w:eastAsia="Times New Roman" w:hAnsi="Calibri" w:cs="Times New Roman"/>
                <w:b/>
                <w:color w:val="000000"/>
                <w:sz w:val="32"/>
                <w:szCs w:val="32"/>
              </w:rPr>
              <w:t>2</w:t>
            </w:r>
          </w:p>
        </w:tc>
        <w:tc>
          <w:tcPr>
            <w:tcW w:w="2020" w:type="dxa"/>
            <w:tcBorders>
              <w:top w:val="nil"/>
              <w:left w:val="nil"/>
              <w:bottom w:val="nil"/>
              <w:right w:val="nil"/>
            </w:tcBorders>
            <w:shd w:val="clear" w:color="auto" w:fill="auto"/>
            <w:noWrap/>
            <w:vAlign w:val="bottom"/>
            <w:hideMark/>
          </w:tcPr>
          <w:p w14:paraId="4A1B6431" w14:textId="77777777" w:rsidR="007B3528" w:rsidRPr="00F31693" w:rsidRDefault="007B3528" w:rsidP="007B3528">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1993</w:t>
            </w:r>
          </w:p>
        </w:tc>
        <w:tc>
          <w:tcPr>
            <w:tcW w:w="2161" w:type="dxa"/>
            <w:tcBorders>
              <w:top w:val="nil"/>
              <w:left w:val="nil"/>
              <w:bottom w:val="nil"/>
              <w:right w:val="nil"/>
            </w:tcBorders>
            <w:shd w:val="clear" w:color="auto" w:fill="auto"/>
            <w:noWrap/>
            <w:vAlign w:val="bottom"/>
            <w:hideMark/>
          </w:tcPr>
          <w:p w14:paraId="17DF966D" w14:textId="77777777" w:rsidR="007B3528" w:rsidRPr="00F31693" w:rsidRDefault="007B3528" w:rsidP="007B3528">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2018*</w:t>
            </w:r>
          </w:p>
        </w:tc>
      </w:tr>
      <w:tr w:rsidR="007B3528" w:rsidRPr="00F31693" w14:paraId="729E043F" w14:textId="77777777" w:rsidTr="00477ACD">
        <w:trPr>
          <w:trHeight w:val="630"/>
        </w:trPr>
        <w:tc>
          <w:tcPr>
            <w:tcW w:w="4779" w:type="dxa"/>
            <w:tcBorders>
              <w:top w:val="nil"/>
              <w:left w:val="nil"/>
              <w:bottom w:val="nil"/>
              <w:right w:val="nil"/>
            </w:tcBorders>
            <w:shd w:val="clear" w:color="000000" w:fill="C5D9F1"/>
            <w:noWrap/>
            <w:vAlign w:val="bottom"/>
            <w:hideMark/>
          </w:tcPr>
          <w:p w14:paraId="00F73627" w14:textId="77777777" w:rsidR="007B3528" w:rsidRPr="00F31693" w:rsidRDefault="007B3528" w:rsidP="007B3528">
            <w:pPr>
              <w:spacing w:after="0" w:line="240" w:lineRule="auto"/>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James J. Doyle Jr.</w:t>
            </w:r>
          </w:p>
        </w:tc>
        <w:tc>
          <w:tcPr>
            <w:tcW w:w="1120" w:type="dxa"/>
            <w:tcBorders>
              <w:top w:val="nil"/>
              <w:left w:val="nil"/>
              <w:bottom w:val="nil"/>
              <w:right w:val="nil"/>
            </w:tcBorders>
            <w:shd w:val="clear" w:color="000000" w:fill="C5D9F1"/>
            <w:noWrap/>
            <w:vAlign w:val="bottom"/>
            <w:hideMark/>
          </w:tcPr>
          <w:p w14:paraId="26E5254D" w14:textId="77777777" w:rsidR="007B3528" w:rsidRPr="00F31693" w:rsidRDefault="007B3528" w:rsidP="00782060">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6</w:t>
            </w:r>
            <w:r w:rsidR="00782060" w:rsidRPr="00F31693">
              <w:rPr>
                <w:rFonts w:ascii="Calibri" w:eastAsia="Times New Roman" w:hAnsi="Calibri" w:cs="Times New Roman"/>
                <w:b/>
                <w:color w:val="000000"/>
                <w:sz w:val="32"/>
                <w:szCs w:val="32"/>
              </w:rPr>
              <w:t>7</w:t>
            </w:r>
          </w:p>
        </w:tc>
        <w:tc>
          <w:tcPr>
            <w:tcW w:w="2020" w:type="dxa"/>
            <w:tcBorders>
              <w:top w:val="nil"/>
              <w:left w:val="nil"/>
              <w:bottom w:val="nil"/>
              <w:right w:val="nil"/>
            </w:tcBorders>
            <w:shd w:val="clear" w:color="000000" w:fill="C5D9F1"/>
            <w:noWrap/>
            <w:vAlign w:val="bottom"/>
            <w:hideMark/>
          </w:tcPr>
          <w:p w14:paraId="3FD4B81E" w14:textId="77777777" w:rsidR="007B3528" w:rsidRPr="00F31693" w:rsidRDefault="007B3528" w:rsidP="007B3528">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1998</w:t>
            </w:r>
          </w:p>
        </w:tc>
        <w:tc>
          <w:tcPr>
            <w:tcW w:w="2161" w:type="dxa"/>
            <w:tcBorders>
              <w:top w:val="nil"/>
              <w:left w:val="nil"/>
              <w:bottom w:val="nil"/>
              <w:right w:val="nil"/>
            </w:tcBorders>
            <w:shd w:val="clear" w:color="000000" w:fill="C5D9F1"/>
            <w:noWrap/>
            <w:vAlign w:val="bottom"/>
            <w:hideMark/>
          </w:tcPr>
          <w:p w14:paraId="5EA81E44" w14:textId="77777777" w:rsidR="007B3528" w:rsidRPr="00F31693" w:rsidRDefault="007B3528" w:rsidP="007B3528">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2017</w:t>
            </w:r>
          </w:p>
        </w:tc>
      </w:tr>
      <w:tr w:rsidR="007B3528" w:rsidRPr="00F31693" w14:paraId="240EC649" w14:textId="77777777" w:rsidTr="00477ACD">
        <w:trPr>
          <w:trHeight w:val="630"/>
        </w:trPr>
        <w:tc>
          <w:tcPr>
            <w:tcW w:w="4779" w:type="dxa"/>
            <w:tcBorders>
              <w:top w:val="nil"/>
              <w:left w:val="nil"/>
              <w:bottom w:val="nil"/>
              <w:right w:val="nil"/>
            </w:tcBorders>
            <w:shd w:val="clear" w:color="auto" w:fill="auto"/>
            <w:noWrap/>
            <w:vAlign w:val="bottom"/>
            <w:hideMark/>
          </w:tcPr>
          <w:p w14:paraId="3315D428" w14:textId="77777777" w:rsidR="007B3528" w:rsidRPr="00F31693" w:rsidRDefault="007B3528" w:rsidP="007B3528">
            <w:pPr>
              <w:spacing w:after="0" w:line="240" w:lineRule="auto"/>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 xml:space="preserve">Robert S. </w:t>
            </w:r>
            <w:proofErr w:type="spellStart"/>
            <w:r w:rsidRPr="00F31693">
              <w:rPr>
                <w:rFonts w:ascii="Calibri" w:eastAsia="Times New Roman" w:hAnsi="Calibri" w:cs="Times New Roman"/>
                <w:b/>
                <w:color w:val="000000"/>
                <w:sz w:val="32"/>
                <w:szCs w:val="32"/>
              </w:rPr>
              <w:t>Hekemian</w:t>
            </w:r>
            <w:proofErr w:type="spellEnd"/>
            <w:r w:rsidRPr="00F31693">
              <w:rPr>
                <w:rFonts w:ascii="Calibri" w:eastAsia="Times New Roman" w:hAnsi="Calibri" w:cs="Times New Roman"/>
                <w:b/>
                <w:color w:val="000000"/>
                <w:sz w:val="32"/>
                <w:szCs w:val="32"/>
              </w:rPr>
              <w:t xml:space="preserve"> Jr.</w:t>
            </w:r>
          </w:p>
        </w:tc>
        <w:tc>
          <w:tcPr>
            <w:tcW w:w="1120" w:type="dxa"/>
            <w:tcBorders>
              <w:top w:val="nil"/>
              <w:left w:val="nil"/>
              <w:bottom w:val="nil"/>
              <w:right w:val="nil"/>
            </w:tcBorders>
            <w:shd w:val="clear" w:color="auto" w:fill="auto"/>
            <w:noWrap/>
            <w:vAlign w:val="bottom"/>
            <w:hideMark/>
          </w:tcPr>
          <w:p w14:paraId="6778D254" w14:textId="77777777" w:rsidR="007B3528" w:rsidRPr="00F31693" w:rsidRDefault="007B3528" w:rsidP="00782060">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5</w:t>
            </w:r>
            <w:r w:rsidR="00782060" w:rsidRPr="00F31693">
              <w:rPr>
                <w:rFonts w:ascii="Calibri" w:eastAsia="Times New Roman" w:hAnsi="Calibri" w:cs="Times New Roman"/>
                <w:b/>
                <w:color w:val="000000"/>
                <w:sz w:val="32"/>
                <w:szCs w:val="32"/>
              </w:rPr>
              <w:t>6</w:t>
            </w:r>
          </w:p>
        </w:tc>
        <w:tc>
          <w:tcPr>
            <w:tcW w:w="2020" w:type="dxa"/>
            <w:tcBorders>
              <w:top w:val="nil"/>
              <w:left w:val="nil"/>
              <w:bottom w:val="nil"/>
              <w:right w:val="nil"/>
            </w:tcBorders>
            <w:shd w:val="clear" w:color="auto" w:fill="auto"/>
            <w:noWrap/>
            <w:vAlign w:val="bottom"/>
            <w:hideMark/>
          </w:tcPr>
          <w:p w14:paraId="2129CB84" w14:textId="77777777" w:rsidR="007B3528" w:rsidRPr="00F31693" w:rsidRDefault="007B3528" w:rsidP="007B3528">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1999</w:t>
            </w:r>
          </w:p>
        </w:tc>
        <w:tc>
          <w:tcPr>
            <w:tcW w:w="2161" w:type="dxa"/>
            <w:tcBorders>
              <w:top w:val="nil"/>
              <w:left w:val="nil"/>
              <w:bottom w:val="nil"/>
              <w:right w:val="nil"/>
            </w:tcBorders>
            <w:shd w:val="clear" w:color="auto" w:fill="auto"/>
            <w:noWrap/>
            <w:vAlign w:val="bottom"/>
            <w:hideMark/>
          </w:tcPr>
          <w:p w14:paraId="5B71491D" w14:textId="77777777" w:rsidR="007B3528" w:rsidRPr="00F31693" w:rsidRDefault="007B3528" w:rsidP="007B3528">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2018*</w:t>
            </w:r>
          </w:p>
        </w:tc>
      </w:tr>
      <w:tr w:rsidR="007B3528" w:rsidRPr="00F31693" w14:paraId="58671B21" w14:textId="77777777" w:rsidTr="00477ACD">
        <w:trPr>
          <w:trHeight w:val="630"/>
        </w:trPr>
        <w:tc>
          <w:tcPr>
            <w:tcW w:w="4779" w:type="dxa"/>
            <w:tcBorders>
              <w:top w:val="nil"/>
              <w:left w:val="nil"/>
              <w:bottom w:val="nil"/>
              <w:right w:val="nil"/>
            </w:tcBorders>
            <w:shd w:val="clear" w:color="000000" w:fill="C5D9F1"/>
            <w:noWrap/>
            <w:vAlign w:val="bottom"/>
            <w:hideMark/>
          </w:tcPr>
          <w:p w14:paraId="65D9B5CF" w14:textId="77777777" w:rsidR="007B3528" w:rsidRPr="00F31693" w:rsidRDefault="007B3528" w:rsidP="007B3528">
            <w:pPr>
              <w:spacing w:after="0" w:line="240" w:lineRule="auto"/>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Harvey R. Hirschfeld</w:t>
            </w:r>
          </w:p>
        </w:tc>
        <w:tc>
          <w:tcPr>
            <w:tcW w:w="1120" w:type="dxa"/>
            <w:tcBorders>
              <w:top w:val="nil"/>
              <w:left w:val="nil"/>
              <w:bottom w:val="nil"/>
              <w:right w:val="nil"/>
            </w:tcBorders>
            <w:shd w:val="clear" w:color="000000" w:fill="C5D9F1"/>
            <w:noWrap/>
            <w:vAlign w:val="bottom"/>
            <w:hideMark/>
          </w:tcPr>
          <w:p w14:paraId="6C20B77D" w14:textId="77777777" w:rsidR="007B3528" w:rsidRPr="00F31693" w:rsidRDefault="007B3528" w:rsidP="00782060">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6</w:t>
            </w:r>
            <w:r w:rsidR="00782060" w:rsidRPr="00F31693">
              <w:rPr>
                <w:rFonts w:ascii="Calibri" w:eastAsia="Times New Roman" w:hAnsi="Calibri" w:cs="Times New Roman"/>
                <w:b/>
                <w:color w:val="000000"/>
                <w:sz w:val="32"/>
                <w:szCs w:val="32"/>
              </w:rPr>
              <w:t>8</w:t>
            </w:r>
          </w:p>
        </w:tc>
        <w:tc>
          <w:tcPr>
            <w:tcW w:w="2020" w:type="dxa"/>
            <w:tcBorders>
              <w:top w:val="nil"/>
              <w:left w:val="nil"/>
              <w:bottom w:val="nil"/>
              <w:right w:val="nil"/>
            </w:tcBorders>
            <w:shd w:val="clear" w:color="000000" w:fill="C5D9F1"/>
            <w:noWrap/>
            <w:vAlign w:val="bottom"/>
            <w:hideMark/>
          </w:tcPr>
          <w:p w14:paraId="3E2C28D3" w14:textId="77777777" w:rsidR="007B3528" w:rsidRPr="00F31693" w:rsidRDefault="007B3528" w:rsidP="007B3528">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2014</w:t>
            </w:r>
          </w:p>
        </w:tc>
        <w:tc>
          <w:tcPr>
            <w:tcW w:w="2161" w:type="dxa"/>
            <w:tcBorders>
              <w:top w:val="nil"/>
              <w:left w:val="nil"/>
              <w:bottom w:val="nil"/>
              <w:right w:val="nil"/>
            </w:tcBorders>
            <w:shd w:val="clear" w:color="000000" w:fill="C5D9F1"/>
            <w:noWrap/>
            <w:vAlign w:val="bottom"/>
            <w:hideMark/>
          </w:tcPr>
          <w:p w14:paraId="3F270E94" w14:textId="77777777" w:rsidR="007B3528" w:rsidRPr="00F31693" w:rsidRDefault="007B3528" w:rsidP="007B3528">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2016</w:t>
            </w:r>
          </w:p>
        </w:tc>
      </w:tr>
      <w:tr w:rsidR="007B3528" w:rsidRPr="00F31693" w14:paraId="13BB9197" w14:textId="77777777" w:rsidTr="00477ACD">
        <w:trPr>
          <w:trHeight w:val="630"/>
        </w:trPr>
        <w:tc>
          <w:tcPr>
            <w:tcW w:w="4779" w:type="dxa"/>
            <w:tcBorders>
              <w:top w:val="nil"/>
              <w:left w:val="nil"/>
              <w:bottom w:val="nil"/>
              <w:right w:val="nil"/>
            </w:tcBorders>
            <w:shd w:val="clear" w:color="auto" w:fill="auto"/>
            <w:noWrap/>
            <w:vAlign w:val="bottom"/>
            <w:hideMark/>
          </w:tcPr>
          <w:p w14:paraId="0688B941" w14:textId="77777777" w:rsidR="007B3528" w:rsidRPr="00F31693" w:rsidRDefault="007B3528" w:rsidP="007B3528">
            <w:pPr>
              <w:spacing w:after="0" w:line="240" w:lineRule="auto"/>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John J. Skelly Jr.</w:t>
            </w:r>
          </w:p>
        </w:tc>
        <w:tc>
          <w:tcPr>
            <w:tcW w:w="1120" w:type="dxa"/>
            <w:tcBorders>
              <w:top w:val="nil"/>
              <w:left w:val="nil"/>
              <w:bottom w:val="nil"/>
              <w:right w:val="nil"/>
            </w:tcBorders>
            <w:shd w:val="clear" w:color="auto" w:fill="auto"/>
            <w:noWrap/>
            <w:vAlign w:val="bottom"/>
            <w:hideMark/>
          </w:tcPr>
          <w:p w14:paraId="4637942E" w14:textId="77777777" w:rsidR="007B3528" w:rsidRPr="00F31693" w:rsidRDefault="007B3528" w:rsidP="00782060">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7</w:t>
            </w:r>
            <w:r w:rsidR="00782060" w:rsidRPr="00F31693">
              <w:rPr>
                <w:rFonts w:ascii="Calibri" w:eastAsia="Times New Roman" w:hAnsi="Calibri" w:cs="Times New Roman"/>
                <w:b/>
                <w:color w:val="000000"/>
                <w:sz w:val="32"/>
                <w:szCs w:val="32"/>
              </w:rPr>
              <w:t>7</w:t>
            </w:r>
          </w:p>
        </w:tc>
        <w:tc>
          <w:tcPr>
            <w:tcW w:w="2020" w:type="dxa"/>
            <w:tcBorders>
              <w:top w:val="nil"/>
              <w:left w:val="nil"/>
              <w:bottom w:val="nil"/>
              <w:right w:val="nil"/>
            </w:tcBorders>
            <w:shd w:val="clear" w:color="auto" w:fill="auto"/>
            <w:noWrap/>
            <w:vAlign w:val="bottom"/>
            <w:hideMark/>
          </w:tcPr>
          <w:p w14:paraId="5D3C90EF" w14:textId="77777777" w:rsidR="007B3528" w:rsidRPr="00F31693" w:rsidRDefault="007B3528" w:rsidP="007B3528">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1999</w:t>
            </w:r>
          </w:p>
        </w:tc>
        <w:tc>
          <w:tcPr>
            <w:tcW w:w="2161" w:type="dxa"/>
            <w:tcBorders>
              <w:top w:val="nil"/>
              <w:left w:val="nil"/>
              <w:bottom w:val="nil"/>
              <w:right w:val="nil"/>
            </w:tcBorders>
            <w:shd w:val="clear" w:color="auto" w:fill="auto"/>
            <w:noWrap/>
            <w:vAlign w:val="bottom"/>
            <w:hideMark/>
          </w:tcPr>
          <w:p w14:paraId="77911410" w14:textId="77777777" w:rsidR="007B3528" w:rsidRPr="00F31693" w:rsidRDefault="007B3528" w:rsidP="007B3528">
            <w:pPr>
              <w:spacing w:after="0" w:line="240" w:lineRule="auto"/>
              <w:jc w:val="center"/>
              <w:rPr>
                <w:rFonts w:ascii="Calibri" w:eastAsia="Times New Roman" w:hAnsi="Calibri" w:cs="Times New Roman"/>
                <w:b/>
                <w:color w:val="000000"/>
                <w:sz w:val="32"/>
                <w:szCs w:val="32"/>
              </w:rPr>
            </w:pPr>
            <w:r w:rsidRPr="00F31693">
              <w:rPr>
                <w:rFonts w:ascii="Calibri" w:eastAsia="Times New Roman" w:hAnsi="Calibri" w:cs="Times New Roman"/>
                <w:b/>
                <w:color w:val="000000"/>
                <w:sz w:val="32"/>
                <w:szCs w:val="32"/>
              </w:rPr>
              <w:t>2017</w:t>
            </w:r>
          </w:p>
        </w:tc>
      </w:tr>
      <w:tr w:rsidR="007B3528" w:rsidRPr="00F31693" w14:paraId="5A12EE93" w14:textId="77777777" w:rsidTr="00477ACD">
        <w:trPr>
          <w:trHeight w:val="630"/>
        </w:trPr>
        <w:tc>
          <w:tcPr>
            <w:tcW w:w="4779" w:type="dxa"/>
            <w:tcBorders>
              <w:top w:val="nil"/>
              <w:left w:val="nil"/>
              <w:bottom w:val="nil"/>
              <w:right w:val="nil"/>
            </w:tcBorders>
            <w:shd w:val="clear" w:color="auto" w:fill="auto"/>
            <w:noWrap/>
            <w:vAlign w:val="bottom"/>
            <w:hideMark/>
          </w:tcPr>
          <w:p w14:paraId="1DCD175D" w14:textId="77777777" w:rsidR="007B3528" w:rsidRPr="00F31693" w:rsidRDefault="007B3528" w:rsidP="007B3528">
            <w:pPr>
              <w:spacing w:after="0" w:line="240" w:lineRule="auto"/>
              <w:rPr>
                <w:rFonts w:ascii="Calibri" w:eastAsia="Times New Roman" w:hAnsi="Calibri" w:cs="Times New Roman"/>
                <w:color w:val="000000"/>
                <w:sz w:val="32"/>
                <w:szCs w:val="32"/>
              </w:rPr>
            </w:pPr>
          </w:p>
        </w:tc>
        <w:tc>
          <w:tcPr>
            <w:tcW w:w="1120" w:type="dxa"/>
            <w:tcBorders>
              <w:top w:val="nil"/>
              <w:left w:val="nil"/>
              <w:bottom w:val="nil"/>
              <w:right w:val="nil"/>
            </w:tcBorders>
            <w:shd w:val="clear" w:color="auto" w:fill="auto"/>
            <w:noWrap/>
            <w:vAlign w:val="bottom"/>
            <w:hideMark/>
          </w:tcPr>
          <w:p w14:paraId="60060587" w14:textId="77777777" w:rsidR="007B3528" w:rsidRPr="00F31693" w:rsidRDefault="007B3528" w:rsidP="007B3528">
            <w:pPr>
              <w:spacing w:after="0" w:line="240" w:lineRule="auto"/>
              <w:rPr>
                <w:rFonts w:ascii="Calibri" w:eastAsia="Times New Roman" w:hAnsi="Calibri" w:cs="Times New Roman"/>
                <w:color w:val="000000"/>
                <w:sz w:val="32"/>
                <w:szCs w:val="32"/>
              </w:rPr>
            </w:pPr>
          </w:p>
        </w:tc>
        <w:tc>
          <w:tcPr>
            <w:tcW w:w="2020" w:type="dxa"/>
            <w:tcBorders>
              <w:top w:val="nil"/>
              <w:left w:val="nil"/>
              <w:bottom w:val="nil"/>
              <w:right w:val="nil"/>
            </w:tcBorders>
            <w:shd w:val="clear" w:color="auto" w:fill="auto"/>
            <w:noWrap/>
            <w:vAlign w:val="bottom"/>
            <w:hideMark/>
          </w:tcPr>
          <w:p w14:paraId="620EF577" w14:textId="77777777" w:rsidR="007B3528" w:rsidRPr="00F31693" w:rsidRDefault="007B3528" w:rsidP="007B3528">
            <w:pPr>
              <w:spacing w:after="0" w:line="240" w:lineRule="auto"/>
              <w:rPr>
                <w:rFonts w:ascii="Calibri" w:eastAsia="Times New Roman" w:hAnsi="Calibri" w:cs="Times New Roman"/>
                <w:color w:val="000000"/>
                <w:sz w:val="32"/>
                <w:szCs w:val="32"/>
              </w:rPr>
            </w:pPr>
          </w:p>
        </w:tc>
        <w:tc>
          <w:tcPr>
            <w:tcW w:w="2161" w:type="dxa"/>
            <w:tcBorders>
              <w:top w:val="nil"/>
              <w:left w:val="nil"/>
              <w:bottom w:val="nil"/>
              <w:right w:val="nil"/>
            </w:tcBorders>
            <w:shd w:val="clear" w:color="auto" w:fill="auto"/>
            <w:noWrap/>
            <w:vAlign w:val="bottom"/>
            <w:hideMark/>
          </w:tcPr>
          <w:p w14:paraId="72EBC5DF" w14:textId="77777777" w:rsidR="007B3528" w:rsidRPr="00F31693" w:rsidRDefault="007B3528" w:rsidP="007B3528">
            <w:pPr>
              <w:spacing w:after="0" w:line="240" w:lineRule="auto"/>
              <w:rPr>
                <w:rFonts w:ascii="Calibri" w:eastAsia="Times New Roman" w:hAnsi="Calibri" w:cs="Times New Roman"/>
                <w:color w:val="000000"/>
                <w:sz w:val="32"/>
                <w:szCs w:val="32"/>
              </w:rPr>
            </w:pPr>
          </w:p>
        </w:tc>
      </w:tr>
      <w:tr w:rsidR="007B3528" w:rsidRPr="00F31693" w14:paraId="2479FE44" w14:textId="77777777" w:rsidTr="00477ACD">
        <w:trPr>
          <w:trHeight w:val="630"/>
        </w:trPr>
        <w:tc>
          <w:tcPr>
            <w:tcW w:w="4779" w:type="dxa"/>
            <w:tcBorders>
              <w:top w:val="nil"/>
              <w:left w:val="nil"/>
              <w:bottom w:val="nil"/>
              <w:right w:val="nil"/>
            </w:tcBorders>
            <w:shd w:val="clear" w:color="auto" w:fill="auto"/>
            <w:noWrap/>
            <w:vAlign w:val="bottom"/>
            <w:hideMark/>
          </w:tcPr>
          <w:p w14:paraId="23577344" w14:textId="77777777" w:rsidR="007B3528" w:rsidRPr="00F31693" w:rsidRDefault="007B3528" w:rsidP="007B3528">
            <w:pPr>
              <w:spacing w:after="0" w:line="240" w:lineRule="auto"/>
              <w:rPr>
                <w:rFonts w:ascii="Calibri" w:eastAsia="Times New Roman" w:hAnsi="Calibri" w:cs="Times New Roman"/>
                <w:b/>
                <w:bCs/>
                <w:color w:val="000000"/>
                <w:sz w:val="32"/>
                <w:szCs w:val="32"/>
              </w:rPr>
            </w:pPr>
            <w:r w:rsidRPr="00F31693">
              <w:rPr>
                <w:rFonts w:ascii="Calibri" w:eastAsia="Times New Roman" w:hAnsi="Calibri" w:cs="Times New Roman"/>
                <w:b/>
                <w:bCs/>
                <w:color w:val="000000"/>
                <w:sz w:val="32"/>
                <w:szCs w:val="32"/>
              </w:rPr>
              <w:t>* Up for re-election</w:t>
            </w:r>
          </w:p>
        </w:tc>
        <w:tc>
          <w:tcPr>
            <w:tcW w:w="1120" w:type="dxa"/>
            <w:tcBorders>
              <w:top w:val="nil"/>
              <w:left w:val="nil"/>
              <w:bottom w:val="nil"/>
              <w:right w:val="nil"/>
            </w:tcBorders>
            <w:shd w:val="clear" w:color="auto" w:fill="auto"/>
            <w:noWrap/>
            <w:vAlign w:val="bottom"/>
            <w:hideMark/>
          </w:tcPr>
          <w:p w14:paraId="6CEDC6D3" w14:textId="77777777" w:rsidR="007B3528" w:rsidRPr="00F31693" w:rsidRDefault="007B3528" w:rsidP="007B3528">
            <w:pPr>
              <w:spacing w:after="0" w:line="240" w:lineRule="auto"/>
              <w:rPr>
                <w:rFonts w:ascii="Calibri" w:eastAsia="Times New Roman" w:hAnsi="Calibri" w:cs="Times New Roman"/>
                <w:color w:val="000000"/>
                <w:sz w:val="32"/>
                <w:szCs w:val="32"/>
              </w:rPr>
            </w:pPr>
          </w:p>
        </w:tc>
        <w:tc>
          <w:tcPr>
            <w:tcW w:w="2020" w:type="dxa"/>
            <w:tcBorders>
              <w:top w:val="nil"/>
              <w:left w:val="nil"/>
              <w:bottom w:val="nil"/>
              <w:right w:val="nil"/>
            </w:tcBorders>
            <w:shd w:val="clear" w:color="auto" w:fill="auto"/>
            <w:noWrap/>
            <w:vAlign w:val="bottom"/>
            <w:hideMark/>
          </w:tcPr>
          <w:p w14:paraId="78F185A9" w14:textId="77777777" w:rsidR="007B3528" w:rsidRPr="00F31693" w:rsidRDefault="007B3528" w:rsidP="007B3528">
            <w:pPr>
              <w:spacing w:after="0" w:line="240" w:lineRule="auto"/>
              <w:rPr>
                <w:rFonts w:ascii="Calibri" w:eastAsia="Times New Roman" w:hAnsi="Calibri" w:cs="Times New Roman"/>
                <w:color w:val="000000"/>
                <w:sz w:val="32"/>
                <w:szCs w:val="32"/>
              </w:rPr>
            </w:pPr>
          </w:p>
        </w:tc>
        <w:tc>
          <w:tcPr>
            <w:tcW w:w="2161" w:type="dxa"/>
            <w:tcBorders>
              <w:top w:val="nil"/>
              <w:left w:val="nil"/>
              <w:bottom w:val="nil"/>
              <w:right w:val="nil"/>
            </w:tcBorders>
            <w:shd w:val="clear" w:color="auto" w:fill="auto"/>
            <w:noWrap/>
            <w:vAlign w:val="bottom"/>
            <w:hideMark/>
          </w:tcPr>
          <w:p w14:paraId="64A18BB8" w14:textId="77777777" w:rsidR="007B3528" w:rsidRPr="00F31693" w:rsidRDefault="007B3528" w:rsidP="007B3528">
            <w:pPr>
              <w:spacing w:after="0" w:line="240" w:lineRule="auto"/>
              <w:rPr>
                <w:rFonts w:ascii="Calibri" w:eastAsia="Times New Roman" w:hAnsi="Calibri" w:cs="Times New Roman"/>
                <w:color w:val="000000"/>
                <w:sz w:val="32"/>
                <w:szCs w:val="32"/>
              </w:rPr>
            </w:pPr>
          </w:p>
        </w:tc>
      </w:tr>
    </w:tbl>
    <w:p w14:paraId="771C4A2C" w14:textId="77777777" w:rsidR="00931539" w:rsidRPr="00F31693" w:rsidRDefault="00931539" w:rsidP="00A95E97"/>
    <w:p w14:paraId="1356612A" w14:textId="77777777" w:rsidR="00E04F53" w:rsidRPr="00F31693" w:rsidRDefault="00E04F53" w:rsidP="00A95E97">
      <w:pPr>
        <w:rPr>
          <w:b/>
        </w:rPr>
      </w:pPr>
    </w:p>
    <w:p w14:paraId="73DA4060" w14:textId="77777777" w:rsidR="00E04F53" w:rsidRPr="00F31693" w:rsidRDefault="00E04F53" w:rsidP="00A95E97">
      <w:pPr>
        <w:rPr>
          <w:b/>
        </w:rPr>
      </w:pPr>
    </w:p>
    <w:p w14:paraId="16E4A4F4" w14:textId="77777777" w:rsidR="00E04F53" w:rsidRPr="00F31693" w:rsidRDefault="00E04F53" w:rsidP="00A95E97">
      <w:pPr>
        <w:rPr>
          <w:b/>
        </w:rPr>
      </w:pPr>
    </w:p>
    <w:p w14:paraId="5C98E4B4" w14:textId="77777777" w:rsidR="00E04F53" w:rsidRPr="00F31693" w:rsidRDefault="00E04F53" w:rsidP="00A95E97">
      <w:pPr>
        <w:rPr>
          <w:b/>
        </w:rPr>
      </w:pPr>
    </w:p>
    <w:p w14:paraId="708AB2D7" w14:textId="77777777" w:rsidR="00E04F53" w:rsidRPr="00F31693" w:rsidRDefault="00E04F53" w:rsidP="00A95E97">
      <w:pPr>
        <w:rPr>
          <w:b/>
        </w:rPr>
      </w:pPr>
    </w:p>
    <w:p w14:paraId="13FBE010" w14:textId="77777777" w:rsidR="00E04F53" w:rsidRPr="00F31693" w:rsidRDefault="00E04F53" w:rsidP="00A95E97">
      <w:pPr>
        <w:rPr>
          <w:b/>
        </w:rPr>
      </w:pPr>
    </w:p>
    <w:p w14:paraId="40CF8653" w14:textId="77777777" w:rsidR="00E04F53" w:rsidRPr="00F31693" w:rsidRDefault="00E04F53" w:rsidP="00A95E97">
      <w:pPr>
        <w:rPr>
          <w:b/>
        </w:rPr>
      </w:pPr>
    </w:p>
    <w:p w14:paraId="7461070D" w14:textId="77777777" w:rsidR="00E04F53" w:rsidRPr="00F31693" w:rsidRDefault="00E04F53" w:rsidP="00A95E97">
      <w:pPr>
        <w:rPr>
          <w:b/>
        </w:rPr>
      </w:pPr>
    </w:p>
    <w:p w14:paraId="495862F3" w14:textId="77777777" w:rsidR="00E04F53" w:rsidRPr="00F31693" w:rsidRDefault="00E04F53" w:rsidP="00A95E97">
      <w:pPr>
        <w:rPr>
          <w:b/>
        </w:rPr>
      </w:pPr>
    </w:p>
    <w:p w14:paraId="5ED8ED66" w14:textId="77777777" w:rsidR="00A95E97" w:rsidRPr="00F31693" w:rsidRDefault="00A95E97" w:rsidP="00A95E97">
      <w:pPr>
        <w:rPr>
          <w:b/>
        </w:rPr>
      </w:pPr>
      <w:r w:rsidRPr="00F31693">
        <w:rPr>
          <w:b/>
        </w:rPr>
        <w:t xml:space="preserve">Senior </w:t>
      </w:r>
      <w:r w:rsidR="00B60614" w:rsidRPr="00F31693">
        <w:rPr>
          <w:b/>
        </w:rPr>
        <w:t xml:space="preserve">Executive </w:t>
      </w:r>
      <w:r w:rsidRPr="00F31693">
        <w:rPr>
          <w:b/>
        </w:rPr>
        <w:t>Management</w:t>
      </w:r>
    </w:p>
    <w:p w14:paraId="43185C30" w14:textId="77777777" w:rsidR="00B60614" w:rsidRPr="00F31693" w:rsidRDefault="00B60614" w:rsidP="00A95E97">
      <w:pPr>
        <w:rPr>
          <w:b/>
        </w:rPr>
      </w:pPr>
      <w:r w:rsidRPr="00F31693">
        <w:t xml:space="preserve">There have been no changes to Senior Executive </w:t>
      </w:r>
      <w:r w:rsidR="00AD54C3" w:rsidRPr="00F31693">
        <w:t>Management</w:t>
      </w:r>
      <w:r w:rsidRPr="00F31693">
        <w:t xml:space="preserve"> since </w:t>
      </w:r>
      <w:proofErr w:type="gramStart"/>
      <w:r w:rsidRPr="00F31693">
        <w:t>last</w:t>
      </w:r>
      <w:proofErr w:type="gramEnd"/>
      <w:r w:rsidRPr="00F31693">
        <w:t xml:space="preserve"> assessment period. </w:t>
      </w:r>
      <w:r w:rsidR="00AD54C3" w:rsidRPr="00F31693">
        <w:t>Senior Executive Management</w:t>
      </w:r>
      <w:r w:rsidRPr="00F31693">
        <w:t xml:space="preserve"> has been stable since </w:t>
      </w:r>
      <w:proofErr w:type="gramStart"/>
      <w:r w:rsidRPr="00F31693">
        <w:t>last</w:t>
      </w:r>
      <w:proofErr w:type="gramEnd"/>
      <w:r w:rsidRPr="00F31693">
        <w:t xml:space="preserve"> assessment period.</w:t>
      </w:r>
    </w:p>
    <w:p w14:paraId="7252723C" w14:textId="77777777" w:rsidR="00491552" w:rsidRDefault="00491552" w:rsidP="00A95E97">
      <w:pPr>
        <w:rPr>
          <w:b/>
        </w:rPr>
      </w:pPr>
      <w:r w:rsidRPr="00491552">
        <w:rPr>
          <w:b/>
        </w:rPr>
        <w:t xml:space="preserve">John Doe </w:t>
      </w:r>
    </w:p>
    <w:p w14:paraId="397AEB8D" w14:textId="74DD8C0B" w:rsidR="00A95E97" w:rsidRPr="00F31693" w:rsidRDefault="00491552" w:rsidP="00A95E97">
      <w:r>
        <w:t>John Doe</w:t>
      </w:r>
      <w:r w:rsidR="00A95E97" w:rsidRPr="00F31693">
        <w:t xml:space="preserve"> has been President and Chief Executive Officer of </w:t>
      </w:r>
      <w:r w:rsidR="006473DB">
        <w:t xml:space="preserve">J. Wallace </w:t>
      </w:r>
      <w:r w:rsidR="004058C6" w:rsidRPr="00F31693">
        <w:t>Bank,</w:t>
      </w:r>
      <w:r w:rsidR="00A95E97" w:rsidRPr="00F31693">
        <w:t xml:space="preserve"> headquartered in the Township of Washington, New Jersey, since </w:t>
      </w:r>
      <w:proofErr w:type="gramStart"/>
      <w:r w:rsidR="00A95E97" w:rsidRPr="00F31693">
        <w:t>July,</w:t>
      </w:r>
      <w:proofErr w:type="gramEnd"/>
      <w:r w:rsidR="00A95E97" w:rsidRPr="00F31693">
        <w:t xml:space="preserve"> 1993. He has also been President and Chief Executive Officer of </w:t>
      </w:r>
      <w:r w:rsidR="006473DB">
        <w:t xml:space="preserve">J. Wallace </w:t>
      </w:r>
      <w:r w:rsidR="00A95E97" w:rsidRPr="00F31693">
        <w:t xml:space="preserve">Financial Corporation, the holding company of </w:t>
      </w:r>
      <w:r w:rsidR="006473DB">
        <w:t xml:space="preserve">J. Wallace </w:t>
      </w:r>
      <w:r w:rsidR="00A95E97" w:rsidRPr="00F31693">
        <w:t xml:space="preserve">Bank, since 1998. Mr. </w:t>
      </w:r>
      <w:r>
        <w:t>Doe</w:t>
      </w:r>
      <w:r w:rsidR="00A95E97" w:rsidRPr="00F31693">
        <w:t xml:space="preserve"> has also served as Chair of the two aforementioned entities since August of 2006; prior to that time, he served as a </w:t>
      </w:r>
      <w:proofErr w:type="gramStart"/>
      <w:r w:rsidR="00A95E97" w:rsidRPr="00F31693">
        <w:t>Director</w:t>
      </w:r>
      <w:proofErr w:type="gramEnd"/>
      <w:r w:rsidR="00A95E97" w:rsidRPr="00F31693">
        <w:t xml:space="preserve">. </w:t>
      </w:r>
    </w:p>
    <w:p w14:paraId="3BAB5677" w14:textId="765AEF52" w:rsidR="00A95E97" w:rsidRPr="00F31693" w:rsidRDefault="00A95E97" w:rsidP="00A95E97">
      <w:pPr>
        <w:rPr>
          <w:b/>
        </w:rPr>
      </w:pPr>
      <w:r w:rsidRPr="00F31693">
        <w:rPr>
          <w:b/>
        </w:rPr>
        <w:t xml:space="preserve"> </w:t>
      </w:r>
      <w:r w:rsidR="00491552" w:rsidRPr="00491552">
        <w:rPr>
          <w:b/>
        </w:rPr>
        <w:t>John Doe</w:t>
      </w:r>
    </w:p>
    <w:p w14:paraId="3720EFB1" w14:textId="4DA212BF" w:rsidR="00A95E97" w:rsidRPr="00F31693" w:rsidRDefault="00491552" w:rsidP="00A95E97">
      <w:r>
        <w:t>John Doe</w:t>
      </w:r>
      <w:r w:rsidR="00A95E97" w:rsidRPr="00F31693">
        <w:t xml:space="preserve"> has been employed by the </w:t>
      </w:r>
      <w:r w:rsidR="006473DB">
        <w:t xml:space="preserve">J. Wallace </w:t>
      </w:r>
      <w:r w:rsidR="00A95E97" w:rsidRPr="00F31693">
        <w:t xml:space="preserve">Financial Corp. since 1999 and currently serves as Executive Vice President and Chief Financial Officer. He is also responsible for information technology, investor relations, electronic </w:t>
      </w:r>
      <w:proofErr w:type="gramStart"/>
      <w:r w:rsidR="00A95E97" w:rsidRPr="00F31693">
        <w:t>banking</w:t>
      </w:r>
      <w:proofErr w:type="gramEnd"/>
      <w:r w:rsidR="00A95E97" w:rsidRPr="00F31693">
        <w:t xml:space="preserve"> and deposit operations, as well as investment and treasury functions. </w:t>
      </w:r>
    </w:p>
    <w:p w14:paraId="55D24368" w14:textId="77777777" w:rsidR="00491552" w:rsidRDefault="00491552" w:rsidP="00A95E97">
      <w:pPr>
        <w:rPr>
          <w:b/>
        </w:rPr>
      </w:pPr>
      <w:r w:rsidRPr="00491552">
        <w:rPr>
          <w:b/>
        </w:rPr>
        <w:t xml:space="preserve">John Doe </w:t>
      </w:r>
    </w:p>
    <w:p w14:paraId="3BC3742E" w14:textId="15CF571C" w:rsidR="004009AA" w:rsidRPr="00F31693" w:rsidRDefault="00491552" w:rsidP="00A95E97">
      <w:r w:rsidRPr="00491552">
        <w:t xml:space="preserve">John Doe </w:t>
      </w:r>
      <w:r w:rsidR="00A95E97" w:rsidRPr="00F31693">
        <w:t xml:space="preserve">has been the Chief Operating Officer and Executive Vice President of </w:t>
      </w:r>
      <w:r w:rsidR="006473DB">
        <w:t xml:space="preserve">J. Wallace </w:t>
      </w:r>
      <w:r w:rsidR="00A95E97" w:rsidRPr="00F31693">
        <w:t xml:space="preserve">Financial Corp. and its subsidiary </w:t>
      </w:r>
      <w:r w:rsidR="006473DB">
        <w:t xml:space="preserve">J. Wallace Bank </w:t>
      </w:r>
      <w:r w:rsidR="00672648" w:rsidRPr="00F31693">
        <w:t>since</w:t>
      </w:r>
      <w:r w:rsidR="00A95E97" w:rsidRPr="00F31693">
        <w:t xml:space="preserve"> 2008.</w:t>
      </w:r>
      <w:r w:rsidR="00DE2B0F" w:rsidRPr="00F31693">
        <w:t xml:space="preserve"> </w:t>
      </w:r>
      <w:r w:rsidR="00C50710" w:rsidRPr="00F31693">
        <w:t xml:space="preserve">Mr. </w:t>
      </w:r>
      <w:r>
        <w:t>Doe</w:t>
      </w:r>
      <w:r w:rsidR="00C50710" w:rsidRPr="00F31693">
        <w:t xml:space="preserve"> previously served</w:t>
      </w:r>
      <w:r w:rsidR="00DE2B0F" w:rsidRPr="00F31693">
        <w:t xml:space="preserve"> as </w:t>
      </w:r>
      <w:r w:rsidR="00523543" w:rsidRPr="00F31693">
        <w:t xml:space="preserve">a </w:t>
      </w:r>
      <w:r w:rsidR="00DE2B0F" w:rsidRPr="00F31693">
        <w:t xml:space="preserve">Lead Director of the </w:t>
      </w:r>
      <w:r w:rsidR="00C50710" w:rsidRPr="00F31693">
        <w:t>Bank</w:t>
      </w:r>
      <w:r w:rsidR="004009AA" w:rsidRPr="00F31693">
        <w:t xml:space="preserve"> and has been </w:t>
      </w:r>
      <w:r w:rsidR="00A16B6F" w:rsidRPr="00F31693">
        <w:t>on the Board of Directors</w:t>
      </w:r>
      <w:r w:rsidR="004009AA" w:rsidRPr="00F31693">
        <w:t xml:space="preserve"> since 1993.</w:t>
      </w:r>
    </w:p>
    <w:p w14:paraId="39669A83" w14:textId="77777777" w:rsidR="00491552" w:rsidRDefault="00491552" w:rsidP="00A95E97">
      <w:pPr>
        <w:rPr>
          <w:b/>
        </w:rPr>
      </w:pPr>
      <w:r w:rsidRPr="00491552">
        <w:rPr>
          <w:b/>
        </w:rPr>
        <w:t xml:space="preserve">John Doe </w:t>
      </w:r>
    </w:p>
    <w:p w14:paraId="24D58A4F" w14:textId="48193D28" w:rsidR="00A95E97" w:rsidRPr="00F31693" w:rsidRDefault="00491552" w:rsidP="00A95E97">
      <w:r>
        <w:t>John</w:t>
      </w:r>
      <w:r>
        <w:t xml:space="preserve"> Doe</w:t>
      </w:r>
      <w:r w:rsidR="00A95E97" w:rsidRPr="00F31693">
        <w:t xml:space="preserve"> has been employed by the Company since 2003 and currently serves as Executive Vice President and Chief Lending Officer. Mr. </w:t>
      </w:r>
      <w:r>
        <w:t>Doe</w:t>
      </w:r>
      <w:r w:rsidR="00A95E97" w:rsidRPr="00F31693">
        <w:t xml:space="preserve"> is responsible for overseeing all aspects of the retail and commercial lending operations of </w:t>
      </w:r>
      <w:r w:rsidR="006473DB">
        <w:t xml:space="preserve">J. Wallace </w:t>
      </w:r>
      <w:r w:rsidR="00A95E97" w:rsidRPr="00F31693">
        <w:t xml:space="preserve">Bank, including originations, portfolio growth and developing strategies to enhance the bank’s market share and profitability. </w:t>
      </w:r>
    </w:p>
    <w:p w14:paraId="2F27CC65" w14:textId="77777777" w:rsidR="00C8234D" w:rsidRPr="00F31693" w:rsidRDefault="00C8234D" w:rsidP="00A95E97">
      <w:pPr>
        <w:rPr>
          <w:b/>
        </w:rPr>
      </w:pPr>
    </w:p>
    <w:p w14:paraId="24D91469" w14:textId="77777777" w:rsidR="00C8234D" w:rsidRPr="00F31693" w:rsidRDefault="00C8234D" w:rsidP="00A95E97">
      <w:pPr>
        <w:rPr>
          <w:b/>
        </w:rPr>
      </w:pPr>
    </w:p>
    <w:p w14:paraId="36F0D231" w14:textId="77777777" w:rsidR="00C8234D" w:rsidRPr="00F31693" w:rsidRDefault="00C8234D" w:rsidP="00A95E97">
      <w:pPr>
        <w:rPr>
          <w:b/>
        </w:rPr>
      </w:pPr>
    </w:p>
    <w:p w14:paraId="4FBC77AB" w14:textId="77777777" w:rsidR="00C8234D" w:rsidRPr="00F31693" w:rsidRDefault="00C8234D" w:rsidP="00A95E97">
      <w:pPr>
        <w:rPr>
          <w:b/>
        </w:rPr>
      </w:pPr>
    </w:p>
    <w:p w14:paraId="0C47BB1C" w14:textId="77777777" w:rsidR="009B7E48" w:rsidRPr="00F31693" w:rsidRDefault="009B7E48" w:rsidP="00A95E97">
      <w:pPr>
        <w:rPr>
          <w:b/>
        </w:rPr>
      </w:pPr>
    </w:p>
    <w:p w14:paraId="36E1C86F" w14:textId="77777777" w:rsidR="009B7E48" w:rsidRPr="00F31693" w:rsidRDefault="009B7E48" w:rsidP="00A95E97">
      <w:pPr>
        <w:rPr>
          <w:b/>
        </w:rPr>
      </w:pPr>
    </w:p>
    <w:p w14:paraId="0ED32B0F" w14:textId="77777777" w:rsidR="009B7E48" w:rsidRPr="00F31693" w:rsidRDefault="009B7E48" w:rsidP="00A95E97">
      <w:pPr>
        <w:rPr>
          <w:b/>
        </w:rPr>
      </w:pPr>
    </w:p>
    <w:p w14:paraId="5627A508" w14:textId="77777777" w:rsidR="009D787A" w:rsidRPr="00F31693" w:rsidRDefault="009D787A" w:rsidP="00A95E97">
      <w:pPr>
        <w:rPr>
          <w:b/>
        </w:rPr>
      </w:pPr>
    </w:p>
    <w:p w14:paraId="49F301CB" w14:textId="77777777" w:rsidR="00A95E97" w:rsidRPr="00F31693" w:rsidRDefault="00A95E97" w:rsidP="00A95E97">
      <w:pPr>
        <w:rPr>
          <w:b/>
        </w:rPr>
      </w:pPr>
      <w:r w:rsidRPr="00F31693">
        <w:rPr>
          <w:b/>
        </w:rPr>
        <w:t>BSA Team Staffing</w:t>
      </w:r>
    </w:p>
    <w:p w14:paraId="0A989314" w14:textId="31873D75" w:rsidR="003D4641" w:rsidRPr="00F31693" w:rsidRDefault="00A95E97" w:rsidP="00A95E97">
      <w:r w:rsidRPr="00F31693">
        <w:t xml:space="preserve">The </w:t>
      </w:r>
      <w:r w:rsidR="006C11F9" w:rsidRPr="00F31693">
        <w:t>Board approved</w:t>
      </w:r>
      <w:r w:rsidRPr="00F31693">
        <w:t xml:space="preserve"> BSA </w:t>
      </w:r>
      <w:r w:rsidR="00792A54" w:rsidRPr="00F31693">
        <w:t>Officer;</w:t>
      </w:r>
      <w:r w:rsidRPr="00F31693">
        <w:t xml:space="preserve"> </w:t>
      </w:r>
      <w:r w:rsidR="00157668" w:rsidRPr="00F31693">
        <w:t>Jason E. Wallace</w:t>
      </w:r>
      <w:r w:rsidRPr="00F31693">
        <w:t xml:space="preserve"> has been with </w:t>
      </w:r>
      <w:r w:rsidR="006473DB">
        <w:t xml:space="preserve">J. Wallace </w:t>
      </w:r>
      <w:r w:rsidRPr="00F31693">
        <w:t xml:space="preserve">since </w:t>
      </w:r>
      <w:r w:rsidR="00157668" w:rsidRPr="00F31693">
        <w:t>July 201</w:t>
      </w:r>
      <w:r w:rsidR="009D787A" w:rsidRPr="00F31693">
        <w:t>5</w:t>
      </w:r>
      <w:r w:rsidRPr="00F31693">
        <w:t xml:space="preserve">. Mr. </w:t>
      </w:r>
      <w:r w:rsidR="00157668" w:rsidRPr="00F31693">
        <w:t>Wallace</w:t>
      </w:r>
      <w:r w:rsidRPr="00F31693">
        <w:t xml:space="preserve"> has over </w:t>
      </w:r>
      <w:r w:rsidR="00157668" w:rsidRPr="00F31693">
        <w:t>15</w:t>
      </w:r>
      <w:r w:rsidRPr="00F31693">
        <w:t xml:space="preserve"> years of experience in banking</w:t>
      </w:r>
      <w:r w:rsidR="00A2160B">
        <w:t>/financial services</w:t>
      </w:r>
      <w:r w:rsidRPr="00F31693">
        <w:t xml:space="preserve"> with at least 1</w:t>
      </w:r>
      <w:r w:rsidR="003D4641" w:rsidRPr="00F31693">
        <w:t>0</w:t>
      </w:r>
      <w:r w:rsidRPr="00F31693">
        <w:t xml:space="preserve"> years dedicated to </w:t>
      </w:r>
      <w:r w:rsidR="00A2160B">
        <w:t xml:space="preserve">BSA/AML/OFAC </w:t>
      </w:r>
      <w:r w:rsidRPr="00F31693">
        <w:t xml:space="preserve">compliance and investigative experience. </w:t>
      </w:r>
    </w:p>
    <w:p w14:paraId="1A4F20F0" w14:textId="77777777" w:rsidR="00A95E97" w:rsidRPr="00F31693" w:rsidRDefault="00A95E97" w:rsidP="00A95E97">
      <w:r w:rsidRPr="00F31693">
        <w:t xml:space="preserve">The BSA Officer administers the bank’s BSA/AML/OFAC compliance program that includes the coordination and monitoring of day-to-day BSA/AML/OFAC activities, maintaining the bank’s BSA/AML/OFAC risk assessments, </w:t>
      </w:r>
      <w:proofErr w:type="gramStart"/>
      <w:r w:rsidRPr="00F31693">
        <w:t>writing</w:t>
      </w:r>
      <w:proofErr w:type="gramEnd"/>
      <w:r w:rsidRPr="00F31693">
        <w:t xml:space="preserve"> and updating the bank’s BSA/AML/OFAC policy and procedures, and coordinating the BSA/AML/OFAC training program.</w:t>
      </w:r>
    </w:p>
    <w:p w14:paraId="68AF5347" w14:textId="77777777" w:rsidR="00A95E97" w:rsidRPr="00F31693" w:rsidRDefault="00A95E97" w:rsidP="00A95E97">
      <w:r w:rsidRPr="00F31693">
        <w:t xml:space="preserve">Specific day-to-day responsibilities of the BSA Officer include, but are not limited to, overseeing the reviews of CIP/CDD/EDD/OFAC, approving all cases of suspicious activity and the filing of SARs, overseeing the banks 314(a) and 314(b) participation, and the reporting all suspicious transactions to the Board. The BSA Officer is also responsible for administering an annual BSA compliance review plan that covers Currency Transaction Reporting (CTR), the recordkeeping requirements of monetary instrument purchases and funds transfers, Remote Deposit Capture, and Loans. In addition, the BSA Officer is also responsible for staying abreast of any changes to BSA regulations and recommending any changes in the bank’s BSA/AML/OFAC policy and procedures, as needed. On a monthly basis, the Board is informed of the status of the BSA/AML Program. The update </w:t>
      </w:r>
      <w:r w:rsidR="00151127" w:rsidRPr="00F31693">
        <w:t>is</w:t>
      </w:r>
      <w:r w:rsidRPr="00F31693">
        <w:t xml:space="preserve"> provided to the Board by the </w:t>
      </w:r>
      <w:r w:rsidR="00151127" w:rsidRPr="00F31693">
        <w:t xml:space="preserve">BSA </w:t>
      </w:r>
      <w:r w:rsidRPr="00F31693">
        <w:t xml:space="preserve">Officer </w:t>
      </w:r>
      <w:r w:rsidR="00655500" w:rsidRPr="00F31693">
        <w:t>on regulatory and consultant recommendations</w:t>
      </w:r>
      <w:r w:rsidRPr="00F31693">
        <w:t>.</w:t>
      </w:r>
    </w:p>
    <w:p w14:paraId="291ABE8F" w14:textId="509E4984" w:rsidR="00A95E97" w:rsidRPr="00F31693" w:rsidRDefault="00A95E97" w:rsidP="00A95E97">
      <w:r w:rsidRPr="00F31693">
        <w:t xml:space="preserve">The </w:t>
      </w:r>
      <w:proofErr w:type="gramStart"/>
      <w:r w:rsidR="00F022FE" w:rsidRPr="00F31693">
        <w:t>6</w:t>
      </w:r>
      <w:r w:rsidRPr="00F31693">
        <w:t xml:space="preserve"> member</w:t>
      </w:r>
      <w:proofErr w:type="gramEnd"/>
      <w:r w:rsidRPr="00F31693">
        <w:t xml:space="preserve"> BSA team</w:t>
      </w:r>
      <w:r w:rsidR="00C24467" w:rsidRPr="00F31693">
        <w:t xml:space="preserve"> in </w:t>
      </w:r>
      <w:r w:rsidR="008A6BF8" w:rsidRPr="00F31693">
        <w:t>F</w:t>
      </w:r>
      <w:r w:rsidR="00C24467" w:rsidRPr="00F31693">
        <w:t>Y</w:t>
      </w:r>
      <w:r w:rsidR="0059409A">
        <w:t>E</w:t>
      </w:r>
      <w:r w:rsidR="00C24467" w:rsidRPr="00F31693">
        <w:t xml:space="preserve"> 1</w:t>
      </w:r>
      <w:r w:rsidR="001E2055" w:rsidRPr="00F31693">
        <w:t>6</w:t>
      </w:r>
      <w:r w:rsidR="00C24467" w:rsidRPr="00F31693">
        <w:t>’</w:t>
      </w:r>
      <w:r w:rsidRPr="00F31693">
        <w:t xml:space="preserve"> consists of the BSA Officer</w:t>
      </w:r>
      <w:r w:rsidR="00D0123C" w:rsidRPr="00F31693">
        <w:t xml:space="preserve"> (</w:t>
      </w:r>
      <w:r w:rsidR="001E2055" w:rsidRPr="00F31693">
        <w:t>Jason E. Wallace</w:t>
      </w:r>
      <w:r w:rsidR="00D0123C" w:rsidRPr="00F31693">
        <w:t>)</w:t>
      </w:r>
      <w:r w:rsidRPr="00F31693">
        <w:t xml:space="preserve">, </w:t>
      </w:r>
      <w:r w:rsidR="00F022FE" w:rsidRPr="00F31693">
        <w:t xml:space="preserve">1 </w:t>
      </w:r>
      <w:r w:rsidR="001E2055" w:rsidRPr="00F31693">
        <w:t>Senior BSA Analyst</w:t>
      </w:r>
      <w:r w:rsidR="00F022FE" w:rsidRPr="00F31693">
        <w:t>, 2 BSA Analysts</w:t>
      </w:r>
      <w:r w:rsidR="00D0123C" w:rsidRPr="00F31693">
        <w:t xml:space="preserve"> </w:t>
      </w:r>
      <w:r w:rsidRPr="00F31693">
        <w:t xml:space="preserve">and </w:t>
      </w:r>
      <w:r w:rsidR="000A224A" w:rsidRPr="00F31693">
        <w:t>2</w:t>
      </w:r>
      <w:r w:rsidRPr="00F31693">
        <w:t xml:space="preserve"> BSA </w:t>
      </w:r>
      <w:r w:rsidR="00BB73B0" w:rsidRPr="00F31693">
        <w:t>S</w:t>
      </w:r>
      <w:r w:rsidRPr="00F31693">
        <w:t>pecialist</w:t>
      </w:r>
      <w:r w:rsidR="000A224A" w:rsidRPr="00F31693">
        <w:t>s</w:t>
      </w:r>
      <w:r w:rsidRPr="00F31693">
        <w:t>.</w:t>
      </w:r>
      <w:r w:rsidR="00E31F13" w:rsidRPr="00F31693">
        <w:t xml:space="preserve"> </w:t>
      </w:r>
      <w:r w:rsidR="0078183D" w:rsidRPr="00F31693">
        <w:t xml:space="preserve">Effective June 15, </w:t>
      </w:r>
      <w:proofErr w:type="gramStart"/>
      <w:r w:rsidR="0078183D" w:rsidRPr="00F31693">
        <w:t>2016</w:t>
      </w:r>
      <w:proofErr w:type="gramEnd"/>
      <w:r w:rsidRPr="00F31693">
        <w:t xml:space="preserve"> the</w:t>
      </w:r>
      <w:r w:rsidR="0078183D" w:rsidRPr="00F31693">
        <w:t xml:space="preserve"> Board of Directors appointed former Security Consultant, to the Bank’s Security Officer</w:t>
      </w:r>
      <w:r w:rsidR="00114ACA" w:rsidRPr="00F31693">
        <w:t xml:space="preserve">. Mr. </w:t>
      </w:r>
      <w:r w:rsidR="00491552">
        <w:t>Doe</w:t>
      </w:r>
      <w:r w:rsidRPr="00F31693">
        <w:t xml:space="preserve"> report</w:t>
      </w:r>
      <w:r w:rsidR="00BA5CBD" w:rsidRPr="00F31693">
        <w:t>s</w:t>
      </w:r>
      <w:r w:rsidR="00B173A3" w:rsidRPr="00F31693">
        <w:t xml:space="preserve"> </w:t>
      </w:r>
      <w:r w:rsidR="002550D4" w:rsidRPr="00F31693">
        <w:t xml:space="preserve">to </w:t>
      </w:r>
      <w:r w:rsidR="00B173A3" w:rsidRPr="00F31693">
        <w:t>the</w:t>
      </w:r>
      <w:r w:rsidR="00F424D7" w:rsidRPr="00F31693">
        <w:t xml:space="preserve"> </w:t>
      </w:r>
      <w:r w:rsidR="00114ACA" w:rsidRPr="00F31693">
        <w:t xml:space="preserve">Compliance Officer, Roseanne </w:t>
      </w:r>
      <w:proofErr w:type="gramStart"/>
      <w:r w:rsidR="00114ACA" w:rsidRPr="00F31693">
        <w:t>Buscemi</w:t>
      </w:r>
      <w:proofErr w:type="gramEnd"/>
      <w:r w:rsidR="00114ACA" w:rsidRPr="00F31693">
        <w:t xml:space="preserve"> with a dotted line to the </w:t>
      </w:r>
      <w:r w:rsidRPr="00F31693">
        <w:t>BSA</w:t>
      </w:r>
      <w:r w:rsidR="002550D4" w:rsidRPr="00F31693">
        <w:t>/Security Officer</w:t>
      </w:r>
      <w:r w:rsidR="00114ACA" w:rsidRPr="00F31693">
        <w:t>.</w:t>
      </w:r>
      <w:r w:rsidR="00B173A3" w:rsidRPr="00F31693">
        <w:t xml:space="preserve"> </w:t>
      </w:r>
    </w:p>
    <w:p w14:paraId="020D3FC8" w14:textId="77777777" w:rsidR="00A95E97" w:rsidRPr="00F31693" w:rsidRDefault="00A95E97" w:rsidP="00A95E97">
      <w:r w:rsidRPr="00F31693">
        <w:t xml:space="preserve">As of June 30, 2015, all BSA positions were filled with qualified candidates and the team was fully staffed. The BSA Officer monitors </w:t>
      </w:r>
      <w:proofErr w:type="gramStart"/>
      <w:r w:rsidRPr="00F31693">
        <w:t>the staff</w:t>
      </w:r>
      <w:proofErr w:type="gramEnd"/>
      <w:r w:rsidRPr="00F31693">
        <w:t xml:space="preserve"> adequacy quarterly which </w:t>
      </w:r>
      <w:r w:rsidR="00752EB4" w:rsidRPr="00F31693">
        <w:t>yielded</w:t>
      </w:r>
      <w:r w:rsidRPr="00F31693">
        <w:t xml:space="preserve"> positive results by the end of the 4th quarter</w:t>
      </w:r>
      <w:r w:rsidR="00752EB4" w:rsidRPr="00F31693">
        <w:t>. There were</w:t>
      </w:r>
      <w:r w:rsidRPr="00F31693">
        <w:t xml:space="preserve"> no severe pending matters requiring attention at the end of the assessment period.</w:t>
      </w:r>
    </w:p>
    <w:p w14:paraId="5154883D" w14:textId="77777777" w:rsidR="00C8234D" w:rsidRPr="00F31693" w:rsidRDefault="00F15BB8" w:rsidP="00A95E97">
      <w:pPr>
        <w:rPr>
          <w:b/>
          <w:color w:val="FF0000"/>
        </w:rPr>
      </w:pPr>
      <w:r w:rsidRPr="00F31693">
        <w:rPr>
          <w:b/>
          <w:color w:val="FF0000"/>
        </w:rPr>
        <w:t xml:space="preserve">*Started in </w:t>
      </w:r>
      <w:r w:rsidR="001F1C34" w:rsidRPr="00F31693">
        <w:rPr>
          <w:b/>
          <w:color w:val="FF0000"/>
        </w:rPr>
        <w:t xml:space="preserve">the </w:t>
      </w:r>
      <w:r w:rsidR="000A224A" w:rsidRPr="00F31693">
        <w:rPr>
          <w:b/>
          <w:color w:val="FF0000"/>
        </w:rPr>
        <w:t>4th</w:t>
      </w:r>
      <w:r w:rsidR="00690605" w:rsidRPr="00F31693">
        <w:rPr>
          <w:b/>
          <w:color w:val="FF0000"/>
        </w:rPr>
        <w:t xml:space="preserve"> quarter FY</w:t>
      </w:r>
      <w:r w:rsidR="0059409A">
        <w:rPr>
          <w:b/>
          <w:color w:val="FF0000"/>
        </w:rPr>
        <w:t>E</w:t>
      </w:r>
      <w:r w:rsidR="00690605" w:rsidRPr="00F31693">
        <w:rPr>
          <w:b/>
          <w:color w:val="FF0000"/>
        </w:rPr>
        <w:t xml:space="preserve"> </w:t>
      </w:r>
      <w:proofErr w:type="gramStart"/>
      <w:r w:rsidR="00690605" w:rsidRPr="00F31693">
        <w:rPr>
          <w:b/>
          <w:color w:val="FF0000"/>
        </w:rPr>
        <w:t>1</w:t>
      </w:r>
      <w:r w:rsidR="000A224A" w:rsidRPr="00F31693">
        <w:rPr>
          <w:b/>
          <w:color w:val="FF0000"/>
        </w:rPr>
        <w:t>6</w:t>
      </w:r>
      <w:proofErr w:type="gramEnd"/>
      <w:r w:rsidR="00690605" w:rsidRPr="00F31693">
        <w:rPr>
          <w:b/>
          <w:color w:val="FF0000"/>
        </w:rPr>
        <w:t>’</w:t>
      </w:r>
    </w:p>
    <w:p w14:paraId="32FB68ED" w14:textId="77777777" w:rsidR="00A95E97" w:rsidRPr="00F31693" w:rsidRDefault="00A95E97" w:rsidP="00A95E97">
      <w:pPr>
        <w:rPr>
          <w:b/>
        </w:rPr>
      </w:pPr>
      <w:r w:rsidRPr="00F31693">
        <w:rPr>
          <w:b/>
        </w:rPr>
        <w:t>Training</w:t>
      </w:r>
    </w:p>
    <w:p w14:paraId="71F511A1" w14:textId="77777777" w:rsidR="00A95E97" w:rsidRPr="00F31693" w:rsidRDefault="00A95E97" w:rsidP="00A95E97">
      <w:r w:rsidRPr="00F31693">
        <w:t>Annual AML/BSA Employee Training Program</w:t>
      </w:r>
    </w:p>
    <w:p w14:paraId="61B23CE8" w14:textId="77777777" w:rsidR="00A95E97" w:rsidRPr="00F31693" w:rsidRDefault="00A95E97" w:rsidP="00A95E97">
      <w:r w:rsidRPr="00F31693">
        <w:t>The Bank has a risk based annual BSA and OFAC training program. The BSA Officer in collaboration with the Compliance Officer have defined training program requirements covering relevant information required by new or changed regulations. The BSA Officer</w:t>
      </w:r>
      <w:r w:rsidR="00002EB6" w:rsidRPr="00F31693">
        <w:t xml:space="preserve"> in conjunction with the Compliance Officer</w:t>
      </w:r>
      <w:r w:rsidRPr="00F31693">
        <w:t xml:space="preserve"> shall review the Bank</w:t>
      </w:r>
      <w:r w:rsidR="00002EB6" w:rsidRPr="00F31693">
        <w:t>’</w:t>
      </w:r>
      <w:r w:rsidRPr="00F31693">
        <w:t>s training program and r</w:t>
      </w:r>
      <w:r w:rsidR="00002EB6" w:rsidRPr="00F31693">
        <w:t>equirements annually and revise</w:t>
      </w:r>
      <w:r w:rsidRPr="00F31693">
        <w:t xml:space="preserve"> as necessary to reflect current policy.</w:t>
      </w:r>
    </w:p>
    <w:p w14:paraId="0DD76E05" w14:textId="77777777" w:rsidR="00B379B1" w:rsidRPr="00F31693" w:rsidRDefault="00B379B1" w:rsidP="00B379B1">
      <w:r w:rsidRPr="00F31693">
        <w:lastRenderedPageBreak/>
        <w:t>The Bank utilizes the ABA Online Frontline Compliance Training programs as its online source for annual core compliance training. The topics and courses addressed through this program for BSA related training include courses in the following areas: BSA for tellers, BSA for lenders, BSA - General Customer Identification Program (CIP) OFAC USA Patriot Act CTR &amp; SAR Reporting Information Security and Red Flags</w:t>
      </w:r>
    </w:p>
    <w:p w14:paraId="1CA47236" w14:textId="77777777" w:rsidR="00B379B1" w:rsidRPr="00F31693" w:rsidRDefault="00B379B1" w:rsidP="00B379B1">
      <w:r w:rsidRPr="00F31693">
        <w:t>All bank employees are enrolled in the ABA Learning Management System (LMS) and are assigned courses specific to their area of operation.</w:t>
      </w:r>
    </w:p>
    <w:p w14:paraId="6BBE4487" w14:textId="77777777" w:rsidR="00B379B1" w:rsidRPr="00F31693" w:rsidRDefault="00B379B1" w:rsidP="00B379B1">
      <w:r w:rsidRPr="00F31693">
        <w:t>In conjunction with Human Resources, the Compliance Dep</w:t>
      </w:r>
      <w:r w:rsidR="00270B0D" w:rsidRPr="00F31693">
        <w:t xml:space="preserve">artment </w:t>
      </w:r>
      <w:r w:rsidRPr="00F31693">
        <w:t>maintains an accurate list of all employees including new hires and removal of any employees who leave our hire.</w:t>
      </w:r>
    </w:p>
    <w:p w14:paraId="7D57D0BF" w14:textId="77777777" w:rsidR="00B379B1" w:rsidRPr="00F31693" w:rsidRDefault="00B379B1" w:rsidP="00B379B1">
      <w:r w:rsidRPr="00F31693">
        <w:t xml:space="preserve">Courses are assigned </w:t>
      </w:r>
      <w:r w:rsidR="00270B0D" w:rsidRPr="00F31693">
        <w:t>b</w:t>
      </w:r>
      <w:r w:rsidRPr="00F31693">
        <w:t>y February each year and are required to be completed before Dec</w:t>
      </w:r>
      <w:r w:rsidR="00270B0D" w:rsidRPr="00F31693">
        <w:t>ember</w:t>
      </w:r>
      <w:r w:rsidRPr="00F31693">
        <w:t xml:space="preserve"> 31</w:t>
      </w:r>
      <w:r w:rsidR="00270B0D" w:rsidRPr="00F31693">
        <w:t>st</w:t>
      </w:r>
      <w:r w:rsidRPr="00F31693">
        <w:t xml:space="preserve"> of the same year.</w:t>
      </w:r>
    </w:p>
    <w:p w14:paraId="2CF02A32" w14:textId="77777777" w:rsidR="00A95E97" w:rsidRPr="00F31693" w:rsidRDefault="00A95E97" w:rsidP="00A95E97">
      <w:r w:rsidRPr="00F31693">
        <w:t>The BSA Officer is responsible for approving the curriculum as well as coordinating with the Compliance Department and the Board for the training of other departments with functions supporting the Banks BSA/AML policy, procedures, and processes.</w:t>
      </w:r>
    </w:p>
    <w:p w14:paraId="148F8EEB" w14:textId="77777777" w:rsidR="00A95E97" w:rsidRPr="00F31693" w:rsidRDefault="00A95E97" w:rsidP="00A95E97">
      <w:r w:rsidRPr="00F31693">
        <w:t>BSA/AML/OFAC annual employee training is of upmost importance to management and the BSA Officer. All employees are assigned online training annually and job specific training (for retail and lending staff) at least once a year or as needed. The BSA Officer assigns ABA BSA training modules to bank staff and monitors the administration and execution of the bank wide BSA compliance training program. The Compliance Officer is responsible of keeping Management and the bank’s Board adequately informed as to the status and progress of the bank’s annual training program and any pending issues.</w:t>
      </w:r>
    </w:p>
    <w:p w14:paraId="626A7D2C" w14:textId="77777777" w:rsidR="00A95E97" w:rsidRPr="00F31693" w:rsidRDefault="00A95E97" w:rsidP="00A95E97">
      <w:r w:rsidRPr="00F31693">
        <w:t>Senior Management including the Ch</w:t>
      </w:r>
      <w:r w:rsidR="005C143E" w:rsidRPr="00F31693">
        <w:t>ie</w:t>
      </w:r>
      <w:r w:rsidRPr="00F31693">
        <w:t xml:space="preserve">f Operating Officer and Chief Compliance Officer </w:t>
      </w:r>
      <w:proofErr w:type="gramStart"/>
      <w:r w:rsidR="00ED36EA" w:rsidRPr="00F31693">
        <w:t>has</w:t>
      </w:r>
      <w:proofErr w:type="gramEnd"/>
      <w:r w:rsidRPr="00F31693">
        <w:t xml:space="preserve"> enforced the importance of BSA staff training to employees and their respective managers. </w:t>
      </w:r>
    </w:p>
    <w:p w14:paraId="2A50FCD8" w14:textId="77777777" w:rsidR="00011643" w:rsidRDefault="00011643" w:rsidP="00A95E97">
      <w:pPr>
        <w:rPr>
          <w:b/>
          <w:u w:val="single"/>
        </w:rPr>
      </w:pPr>
    </w:p>
    <w:p w14:paraId="0000A79D" w14:textId="77777777" w:rsidR="00011643" w:rsidRDefault="00011643" w:rsidP="00A95E97">
      <w:pPr>
        <w:rPr>
          <w:b/>
          <w:u w:val="single"/>
        </w:rPr>
      </w:pPr>
    </w:p>
    <w:p w14:paraId="342AEDE7" w14:textId="77777777" w:rsidR="00011643" w:rsidRDefault="00011643" w:rsidP="00A95E97">
      <w:pPr>
        <w:rPr>
          <w:b/>
          <w:u w:val="single"/>
        </w:rPr>
      </w:pPr>
    </w:p>
    <w:p w14:paraId="6DF595C7" w14:textId="77777777" w:rsidR="00011643" w:rsidRDefault="00011643" w:rsidP="00A95E97">
      <w:pPr>
        <w:rPr>
          <w:b/>
          <w:u w:val="single"/>
        </w:rPr>
      </w:pPr>
    </w:p>
    <w:p w14:paraId="017FD946" w14:textId="77777777" w:rsidR="00011643" w:rsidRDefault="00011643" w:rsidP="00A95E97">
      <w:pPr>
        <w:rPr>
          <w:b/>
          <w:u w:val="single"/>
        </w:rPr>
      </w:pPr>
    </w:p>
    <w:p w14:paraId="20BF0E26" w14:textId="77777777" w:rsidR="00011643" w:rsidRDefault="00011643" w:rsidP="00A95E97">
      <w:pPr>
        <w:rPr>
          <w:b/>
          <w:u w:val="single"/>
        </w:rPr>
      </w:pPr>
    </w:p>
    <w:p w14:paraId="5C8E98BA" w14:textId="77777777" w:rsidR="00011643" w:rsidRDefault="00011643" w:rsidP="00A95E97">
      <w:pPr>
        <w:rPr>
          <w:b/>
          <w:u w:val="single"/>
        </w:rPr>
      </w:pPr>
    </w:p>
    <w:p w14:paraId="65860381" w14:textId="77777777" w:rsidR="00011643" w:rsidRDefault="00011643" w:rsidP="00A95E97">
      <w:pPr>
        <w:rPr>
          <w:b/>
          <w:u w:val="single"/>
        </w:rPr>
      </w:pPr>
    </w:p>
    <w:p w14:paraId="61414B9F" w14:textId="77777777" w:rsidR="00011643" w:rsidRDefault="00011643" w:rsidP="00A95E97">
      <w:pPr>
        <w:rPr>
          <w:b/>
          <w:u w:val="single"/>
        </w:rPr>
      </w:pPr>
    </w:p>
    <w:p w14:paraId="20FEF1D9" w14:textId="77777777" w:rsidR="00A95E97" w:rsidRPr="00F31693" w:rsidRDefault="00A95E97" w:rsidP="00A95E97">
      <w:pPr>
        <w:rPr>
          <w:b/>
          <w:u w:val="single"/>
        </w:rPr>
      </w:pPr>
      <w:r w:rsidRPr="00F31693">
        <w:rPr>
          <w:b/>
          <w:u w:val="single"/>
        </w:rPr>
        <w:lastRenderedPageBreak/>
        <w:t>New Hire Training</w:t>
      </w:r>
    </w:p>
    <w:p w14:paraId="6F90D890" w14:textId="2C4D87F9" w:rsidR="00A95E97" w:rsidRPr="00F31693" w:rsidRDefault="006473DB" w:rsidP="00A95E97">
      <w:r>
        <w:t xml:space="preserve">J. Wallace </w:t>
      </w:r>
      <w:r w:rsidR="00A95E97" w:rsidRPr="00F31693">
        <w:t xml:space="preserve">requires BSA </w:t>
      </w:r>
      <w:r w:rsidR="00CF4690" w:rsidRPr="00F31693">
        <w:t xml:space="preserve">and OFAC </w:t>
      </w:r>
      <w:r w:rsidR="00A95E97" w:rsidRPr="00F31693">
        <w:t>training for all new employees</w:t>
      </w:r>
      <w:r w:rsidR="00CF4690" w:rsidRPr="00F31693">
        <w:t xml:space="preserve"> and new members of the Board of Directors</w:t>
      </w:r>
      <w:r w:rsidR="00A95E97" w:rsidRPr="00F31693">
        <w:t xml:space="preserve"> within 30 days of hire.</w:t>
      </w:r>
    </w:p>
    <w:p w14:paraId="22D0F823" w14:textId="77777777" w:rsidR="00BC6A5B" w:rsidRPr="00F31693" w:rsidRDefault="00BC6A5B" w:rsidP="00A95E97">
      <w:r w:rsidRPr="00F31693">
        <w:t>The bank</w:t>
      </w:r>
      <w:r w:rsidR="00066D65" w:rsidRPr="00F31693">
        <w:t xml:space="preserve"> </w:t>
      </w:r>
      <w:r w:rsidRPr="00F31693">
        <w:t>incorporate</w:t>
      </w:r>
      <w:r w:rsidR="00066D65" w:rsidRPr="00F31693">
        <w:t>s</w:t>
      </w:r>
      <w:r w:rsidRPr="00F31693">
        <w:t xml:space="preserve"> an initial presentation on BSA regulations and policy as part of the initial employee orientation.</w:t>
      </w:r>
    </w:p>
    <w:p w14:paraId="45CC18E0" w14:textId="77777777" w:rsidR="00A95E97" w:rsidRPr="00F31693" w:rsidRDefault="00A95E97" w:rsidP="00A95E97">
      <w:pPr>
        <w:rPr>
          <w:b/>
          <w:u w:val="single"/>
        </w:rPr>
      </w:pPr>
      <w:r w:rsidRPr="00F31693">
        <w:rPr>
          <w:b/>
          <w:u w:val="single"/>
        </w:rPr>
        <w:t>BSA Staff Training / Professional Development</w:t>
      </w:r>
    </w:p>
    <w:p w14:paraId="41E33220" w14:textId="77777777" w:rsidR="00A95E97" w:rsidRPr="00F31693" w:rsidRDefault="00A95E97" w:rsidP="00A95E97">
      <w:r w:rsidRPr="00F31693">
        <w:t>Management continues to provide a</w:t>
      </w:r>
      <w:r w:rsidR="00BB73B0" w:rsidRPr="00F31693">
        <w:t>dequate</w:t>
      </w:r>
      <w:r w:rsidRPr="00F31693">
        <w:t xml:space="preserve"> resources to the BSA team for specialized training and professional development. The BSA Officer and staff attend the NJ Bankers Association Annual BSA AML Compliance Conference each year. All BSA staff </w:t>
      </w:r>
      <w:proofErr w:type="gramStart"/>
      <w:r w:rsidR="00554D63" w:rsidRPr="00F31693">
        <w:t>receives</w:t>
      </w:r>
      <w:proofErr w:type="gramEnd"/>
      <w:r w:rsidRPr="00F31693">
        <w:t xml:space="preserve"> at least one external training annually and webinars will also be arranged as needed. </w:t>
      </w:r>
    </w:p>
    <w:p w14:paraId="4406CCEB" w14:textId="77777777" w:rsidR="00A95E97" w:rsidRPr="00F31693" w:rsidRDefault="00A95E97" w:rsidP="00A95E97">
      <w:r w:rsidRPr="00F31693">
        <w:t>The BSA Officer also maintains a robust in-house training program for the BSA team, which includes BSA team meetings, ad-hoc training, ad-hoc discussions/current events, seminars/</w:t>
      </w:r>
      <w:proofErr w:type="gramStart"/>
      <w:r w:rsidRPr="00F31693">
        <w:t>webinars</w:t>
      </w:r>
      <w:proofErr w:type="gramEnd"/>
      <w:r w:rsidRPr="00F31693">
        <w:t xml:space="preserve"> and live training events.</w:t>
      </w:r>
    </w:p>
    <w:p w14:paraId="53F01E4C" w14:textId="77777777" w:rsidR="00314284" w:rsidRPr="00F31693" w:rsidRDefault="00314284" w:rsidP="0061698E">
      <w:pPr>
        <w:jc w:val="center"/>
        <w:rPr>
          <w:b/>
          <w:u w:val="single"/>
        </w:rPr>
      </w:pPr>
    </w:p>
    <w:p w14:paraId="3DC73C06" w14:textId="77777777" w:rsidR="00314284" w:rsidRPr="00F31693" w:rsidRDefault="00314284" w:rsidP="0061698E">
      <w:pPr>
        <w:jc w:val="center"/>
        <w:rPr>
          <w:b/>
          <w:u w:val="single"/>
        </w:rPr>
      </w:pPr>
    </w:p>
    <w:p w14:paraId="1F569A08" w14:textId="77777777" w:rsidR="00314284" w:rsidRPr="00F31693" w:rsidRDefault="00314284" w:rsidP="0061698E">
      <w:pPr>
        <w:jc w:val="center"/>
        <w:rPr>
          <w:b/>
          <w:u w:val="single"/>
        </w:rPr>
      </w:pPr>
    </w:p>
    <w:p w14:paraId="585FF54E" w14:textId="77777777" w:rsidR="00314284" w:rsidRPr="00F31693" w:rsidRDefault="00314284" w:rsidP="0061698E">
      <w:pPr>
        <w:jc w:val="center"/>
        <w:rPr>
          <w:b/>
          <w:u w:val="single"/>
        </w:rPr>
      </w:pPr>
    </w:p>
    <w:p w14:paraId="7452875A" w14:textId="77777777" w:rsidR="00314284" w:rsidRPr="00F31693" w:rsidRDefault="00314284" w:rsidP="0061698E">
      <w:pPr>
        <w:jc w:val="center"/>
        <w:rPr>
          <w:b/>
          <w:u w:val="single"/>
        </w:rPr>
      </w:pPr>
    </w:p>
    <w:p w14:paraId="1D1F759E" w14:textId="77777777" w:rsidR="00314284" w:rsidRPr="00F31693" w:rsidRDefault="00314284" w:rsidP="0061698E">
      <w:pPr>
        <w:jc w:val="center"/>
        <w:rPr>
          <w:b/>
          <w:u w:val="single"/>
        </w:rPr>
      </w:pPr>
    </w:p>
    <w:p w14:paraId="5AEFF3DB" w14:textId="77777777" w:rsidR="00314284" w:rsidRPr="00F31693" w:rsidRDefault="00314284" w:rsidP="0061698E">
      <w:pPr>
        <w:jc w:val="center"/>
        <w:rPr>
          <w:b/>
          <w:u w:val="single"/>
        </w:rPr>
      </w:pPr>
    </w:p>
    <w:p w14:paraId="426B0102" w14:textId="77777777" w:rsidR="00314284" w:rsidRPr="00F31693" w:rsidRDefault="00314284" w:rsidP="0061698E">
      <w:pPr>
        <w:jc w:val="center"/>
        <w:rPr>
          <w:b/>
          <w:u w:val="single"/>
        </w:rPr>
      </w:pPr>
    </w:p>
    <w:p w14:paraId="1E128B83" w14:textId="77777777" w:rsidR="00314284" w:rsidRPr="00F31693" w:rsidRDefault="00314284" w:rsidP="0061698E">
      <w:pPr>
        <w:jc w:val="center"/>
        <w:rPr>
          <w:b/>
          <w:u w:val="single"/>
        </w:rPr>
      </w:pPr>
    </w:p>
    <w:p w14:paraId="487ED5A4" w14:textId="77777777" w:rsidR="00314284" w:rsidRPr="00F31693" w:rsidRDefault="00314284" w:rsidP="0061698E">
      <w:pPr>
        <w:jc w:val="center"/>
        <w:rPr>
          <w:b/>
          <w:u w:val="single"/>
        </w:rPr>
      </w:pPr>
    </w:p>
    <w:p w14:paraId="44D6BF22" w14:textId="77777777" w:rsidR="00314284" w:rsidRPr="00F31693" w:rsidRDefault="00314284" w:rsidP="0061698E">
      <w:pPr>
        <w:jc w:val="center"/>
        <w:rPr>
          <w:b/>
          <w:u w:val="single"/>
        </w:rPr>
      </w:pPr>
    </w:p>
    <w:p w14:paraId="7D6F4AEC" w14:textId="77777777" w:rsidR="00314284" w:rsidRPr="00F31693" w:rsidRDefault="00314284" w:rsidP="0061698E">
      <w:pPr>
        <w:jc w:val="center"/>
        <w:rPr>
          <w:b/>
          <w:u w:val="single"/>
        </w:rPr>
      </w:pPr>
    </w:p>
    <w:p w14:paraId="319A3C31" w14:textId="77777777" w:rsidR="00314284" w:rsidRPr="00F31693" w:rsidRDefault="00314284" w:rsidP="0061698E">
      <w:pPr>
        <w:jc w:val="center"/>
        <w:rPr>
          <w:b/>
          <w:u w:val="single"/>
        </w:rPr>
      </w:pPr>
    </w:p>
    <w:p w14:paraId="0503F268" w14:textId="77777777" w:rsidR="00314284" w:rsidRPr="00F31693" w:rsidRDefault="00314284" w:rsidP="0061698E">
      <w:pPr>
        <w:jc w:val="center"/>
        <w:rPr>
          <w:b/>
          <w:u w:val="single"/>
        </w:rPr>
      </w:pPr>
    </w:p>
    <w:p w14:paraId="037721A7" w14:textId="77777777" w:rsidR="00314284" w:rsidRPr="00F31693" w:rsidRDefault="00314284" w:rsidP="0061698E">
      <w:pPr>
        <w:jc w:val="center"/>
        <w:rPr>
          <w:b/>
          <w:u w:val="single"/>
        </w:rPr>
      </w:pPr>
    </w:p>
    <w:p w14:paraId="0C52BB0B" w14:textId="77777777" w:rsidR="00A95E97" w:rsidRPr="00F31693" w:rsidRDefault="00A95E97" w:rsidP="0061698E">
      <w:pPr>
        <w:jc w:val="center"/>
        <w:rPr>
          <w:b/>
          <w:u w:val="single"/>
        </w:rPr>
      </w:pPr>
      <w:r w:rsidRPr="00F31693">
        <w:rPr>
          <w:b/>
          <w:u w:val="single"/>
        </w:rPr>
        <w:lastRenderedPageBreak/>
        <w:t>OFAC Risk Assessment</w:t>
      </w:r>
    </w:p>
    <w:p w14:paraId="5CDE5163" w14:textId="77777777" w:rsidR="00A95E97" w:rsidRPr="00F31693" w:rsidRDefault="00A95E97" w:rsidP="00A95E97">
      <w:pPr>
        <w:rPr>
          <w:b/>
        </w:rPr>
      </w:pPr>
      <w:r w:rsidRPr="00F31693">
        <w:t xml:space="preserve"> </w:t>
      </w:r>
      <w:r w:rsidRPr="00F31693">
        <w:rPr>
          <w:b/>
        </w:rPr>
        <w:t>Geography</w:t>
      </w:r>
    </w:p>
    <w:p w14:paraId="57E52C3D" w14:textId="7557DE99" w:rsidR="00A95E97" w:rsidRPr="00F31693" w:rsidRDefault="006473DB" w:rsidP="00A95E97">
      <w:r>
        <w:t xml:space="preserve">J. Wallace </w:t>
      </w:r>
      <w:r w:rsidR="0052582D" w:rsidRPr="00F31693">
        <w:t xml:space="preserve">currently operates its </w:t>
      </w:r>
      <w:r w:rsidR="00491552">
        <w:t>99</w:t>
      </w:r>
      <w:r w:rsidR="00A95E97" w:rsidRPr="00F31693">
        <w:t xml:space="preserve"> </w:t>
      </w:r>
      <w:proofErr w:type="gramStart"/>
      <w:r w:rsidR="00A95E97" w:rsidRPr="00F31693">
        <w:t>full service</w:t>
      </w:r>
      <w:proofErr w:type="gramEnd"/>
      <w:r w:rsidR="00A95E97" w:rsidRPr="00F31693">
        <w:t xml:space="preserve"> branches </w:t>
      </w:r>
      <w:r w:rsidR="00A6609E" w:rsidRPr="00F31693">
        <w:t xml:space="preserve">which include the main office </w:t>
      </w:r>
      <w:r w:rsidR="00A95E97" w:rsidRPr="00F31693">
        <w:t>in the New Jersey Counties of Bergen, Hudson, Es</w:t>
      </w:r>
      <w:r w:rsidR="0052582D" w:rsidRPr="00F31693">
        <w:t>sex and Passaic. All twenty-six</w:t>
      </w:r>
      <w:r w:rsidR="00A95E97" w:rsidRPr="00F31693">
        <w:t xml:space="preserve"> branches operate in HIDTA / HIFCA regions. There has been no change to the bank’s operating locations since </w:t>
      </w:r>
      <w:proofErr w:type="gramStart"/>
      <w:r w:rsidR="00A95E97" w:rsidRPr="00F31693">
        <w:t>last</w:t>
      </w:r>
      <w:proofErr w:type="gramEnd"/>
      <w:r w:rsidR="00A95E97" w:rsidRPr="00F31693">
        <w:t xml:space="preserve"> assessment period.</w:t>
      </w:r>
      <w:r w:rsidR="009E4192" w:rsidRPr="00F31693">
        <w:t xml:space="preserve"> One branch was opened in Westwood NJ in April 2016.</w:t>
      </w:r>
    </w:p>
    <w:p w14:paraId="0DDF01DF" w14:textId="77777777" w:rsidR="00A95E97" w:rsidRPr="00F31693" w:rsidRDefault="00A95E97" w:rsidP="00A95E97">
      <w:r w:rsidRPr="00F31693">
        <w:t>During the assessment period, the bank has NOT:</w:t>
      </w:r>
    </w:p>
    <w:p w14:paraId="3F577618" w14:textId="77777777" w:rsidR="00C31662" w:rsidRPr="00F31693" w:rsidRDefault="00C31662" w:rsidP="00C31662">
      <w:r w:rsidRPr="00F31693">
        <w:t>Conducted business in, opened accounts for customers from, or facilitated transactions involving countries subject to OFAC sanctions, including state sponsors of terrorism.</w:t>
      </w:r>
    </w:p>
    <w:p w14:paraId="195A4565" w14:textId="77777777" w:rsidR="00C31662" w:rsidRPr="00F31693" w:rsidRDefault="00C31662" w:rsidP="00C31662">
      <w:r w:rsidRPr="00F31693">
        <w:t>Conducted business in, opened accounts for customers from, or facilitated transactions involving countries identified as supporting international terrorism under section 6(j) of the Export Administration Act of 1979, as determined by the Secretary of State.</w:t>
      </w:r>
    </w:p>
    <w:p w14:paraId="372502E4" w14:textId="77777777" w:rsidR="00C31662" w:rsidRPr="00F31693" w:rsidRDefault="00C31662" w:rsidP="00C31662">
      <w:r w:rsidRPr="00F31693">
        <w:t>Conducted business in, opened accounts for customers from, or facilitated transactions involving jurisdictions determined to be “of primary money laundering concern” by the Secretary of the Treasury, and jurisdictions subject to special measures imposed by the Secretary of the Treasury, through FinCEN, pursuant to section 311 of the USA PATRIOT Act.</w:t>
      </w:r>
    </w:p>
    <w:p w14:paraId="21ECBE72" w14:textId="77777777" w:rsidR="00C31662" w:rsidRPr="00F31693" w:rsidRDefault="00C31662" w:rsidP="00C31662">
      <w:r w:rsidRPr="00F31693">
        <w:t>Conducted business in, opened accounts for customers from, or facilitated transactions involving jurisdictions or countries monitored for deficiencies in their regimes to combat money laundering and terrorist financing identified as non-cooperative by international entities such as the Financial Action Task Force on Money Laundering (FATF).</w:t>
      </w:r>
    </w:p>
    <w:p w14:paraId="1252D82F" w14:textId="77777777" w:rsidR="001001A6" w:rsidRPr="00F31693" w:rsidRDefault="00C31662" w:rsidP="001001A6">
      <w:r w:rsidRPr="00F31693">
        <w:t xml:space="preserve">Conducted business in, opened accounts for customers from, or facilitated transactions involving most major money laundering countries and jurisdictions identified in the U.S. Department of State’s annual International Narcotics Control Strategy Report (INCSR), in particular, countries which are identified as </w:t>
      </w:r>
      <w:r w:rsidR="001001A6" w:rsidRPr="00F31693">
        <w:t>jurisdictions of primary concern. Wires were conducted through the following countries:</w:t>
      </w:r>
    </w:p>
    <w:tbl>
      <w:tblPr>
        <w:tblW w:w="7778" w:type="dxa"/>
        <w:tblInd w:w="95" w:type="dxa"/>
        <w:tblLook w:val="04A0" w:firstRow="1" w:lastRow="0" w:firstColumn="1" w:lastColumn="0" w:noHBand="0" w:noVBand="1"/>
      </w:tblPr>
      <w:tblGrid>
        <w:gridCol w:w="3260"/>
        <w:gridCol w:w="1059"/>
        <w:gridCol w:w="1340"/>
        <w:gridCol w:w="1059"/>
        <w:gridCol w:w="1060"/>
      </w:tblGrid>
      <w:tr w:rsidR="001001A6" w:rsidRPr="00F31693" w14:paraId="3A2B4493" w14:textId="77777777" w:rsidTr="009B071E">
        <w:trPr>
          <w:trHeight w:val="6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C4278" w14:textId="77777777" w:rsidR="001001A6" w:rsidRPr="00F31693" w:rsidRDefault="001001A6" w:rsidP="009B071E">
            <w:pPr>
              <w:spacing w:after="0" w:line="240" w:lineRule="auto"/>
              <w:jc w:val="center"/>
              <w:rPr>
                <w:rFonts w:ascii="Calibri" w:eastAsia="Times New Roman" w:hAnsi="Calibri" w:cs="Times New Roman"/>
                <w:b/>
                <w:bCs/>
                <w:color w:val="000000"/>
              </w:rPr>
            </w:pPr>
          </w:p>
          <w:p w14:paraId="15CE9C56" w14:textId="77777777" w:rsidR="001001A6" w:rsidRPr="00F31693" w:rsidRDefault="001001A6" w:rsidP="009B071E">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 Country</w:t>
            </w:r>
          </w:p>
        </w:tc>
        <w:tc>
          <w:tcPr>
            <w:tcW w:w="1059" w:type="dxa"/>
            <w:tcBorders>
              <w:top w:val="single" w:sz="4" w:space="0" w:color="auto"/>
              <w:left w:val="nil"/>
              <w:bottom w:val="single" w:sz="4" w:space="0" w:color="auto"/>
              <w:right w:val="single" w:sz="4" w:space="0" w:color="auto"/>
            </w:tcBorders>
            <w:shd w:val="clear" w:color="auto" w:fill="auto"/>
            <w:noWrap/>
            <w:vAlign w:val="bottom"/>
            <w:hideMark/>
          </w:tcPr>
          <w:p w14:paraId="32503F33" w14:textId="77777777" w:rsidR="001001A6" w:rsidRPr="00F31693" w:rsidRDefault="001001A6" w:rsidP="009B071E">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Incoming</w:t>
            </w:r>
          </w:p>
        </w:tc>
        <w:tc>
          <w:tcPr>
            <w:tcW w:w="1340" w:type="dxa"/>
            <w:tcBorders>
              <w:top w:val="single" w:sz="4" w:space="0" w:color="auto"/>
              <w:left w:val="nil"/>
              <w:bottom w:val="single" w:sz="4" w:space="0" w:color="auto"/>
              <w:right w:val="single" w:sz="4" w:space="0" w:color="auto"/>
            </w:tcBorders>
            <w:shd w:val="clear" w:color="auto" w:fill="auto"/>
            <w:vAlign w:val="bottom"/>
            <w:hideMark/>
          </w:tcPr>
          <w:p w14:paraId="4B954498" w14:textId="77777777" w:rsidR="001001A6" w:rsidRPr="00F31693" w:rsidRDefault="001001A6" w:rsidP="009B071E">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Incoming</w:t>
            </w:r>
            <w:r w:rsidRPr="00F31693">
              <w:rPr>
                <w:rFonts w:ascii="Calibri" w:eastAsia="Times New Roman" w:hAnsi="Calibri" w:cs="Times New Roman"/>
                <w:b/>
                <w:bCs/>
                <w:color w:val="000000"/>
              </w:rPr>
              <w:br/>
              <w:t xml:space="preserve"> Amount</w:t>
            </w:r>
          </w:p>
        </w:tc>
        <w:tc>
          <w:tcPr>
            <w:tcW w:w="1059" w:type="dxa"/>
            <w:tcBorders>
              <w:top w:val="single" w:sz="4" w:space="0" w:color="auto"/>
              <w:left w:val="nil"/>
              <w:bottom w:val="single" w:sz="4" w:space="0" w:color="auto"/>
              <w:right w:val="single" w:sz="4" w:space="0" w:color="auto"/>
            </w:tcBorders>
            <w:shd w:val="clear" w:color="auto" w:fill="auto"/>
            <w:noWrap/>
            <w:vAlign w:val="bottom"/>
            <w:hideMark/>
          </w:tcPr>
          <w:p w14:paraId="3875567B" w14:textId="77777777" w:rsidR="001001A6" w:rsidRPr="00F31693" w:rsidRDefault="001001A6" w:rsidP="009B071E">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Outgoing</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08838FAB" w14:textId="77777777" w:rsidR="001001A6" w:rsidRPr="00F31693" w:rsidRDefault="001001A6" w:rsidP="009B071E">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Outgoing Amount</w:t>
            </w:r>
          </w:p>
        </w:tc>
      </w:tr>
      <w:tr w:rsidR="001001A6" w:rsidRPr="00F31693" w14:paraId="0FFC62E9"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28F290BF"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Canada</w:t>
            </w:r>
          </w:p>
        </w:tc>
        <w:tc>
          <w:tcPr>
            <w:tcW w:w="1059" w:type="dxa"/>
            <w:tcBorders>
              <w:top w:val="nil"/>
              <w:left w:val="nil"/>
              <w:bottom w:val="single" w:sz="4" w:space="0" w:color="auto"/>
              <w:right w:val="single" w:sz="4" w:space="0" w:color="auto"/>
            </w:tcBorders>
            <w:shd w:val="clear" w:color="auto" w:fill="auto"/>
            <w:noWrap/>
            <w:vAlign w:val="bottom"/>
            <w:hideMark/>
          </w:tcPr>
          <w:p w14:paraId="7CA7C4F4"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6</w:t>
            </w:r>
          </w:p>
        </w:tc>
        <w:tc>
          <w:tcPr>
            <w:tcW w:w="1340" w:type="dxa"/>
            <w:tcBorders>
              <w:top w:val="nil"/>
              <w:left w:val="nil"/>
              <w:bottom w:val="single" w:sz="4" w:space="0" w:color="auto"/>
              <w:right w:val="single" w:sz="4" w:space="0" w:color="auto"/>
            </w:tcBorders>
            <w:shd w:val="clear" w:color="auto" w:fill="auto"/>
            <w:noWrap/>
            <w:vAlign w:val="bottom"/>
            <w:hideMark/>
          </w:tcPr>
          <w:p w14:paraId="4B3BAF1D"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$117,310.99</w:t>
            </w:r>
          </w:p>
        </w:tc>
        <w:tc>
          <w:tcPr>
            <w:tcW w:w="1059" w:type="dxa"/>
            <w:tcBorders>
              <w:top w:val="nil"/>
              <w:left w:val="nil"/>
              <w:bottom w:val="single" w:sz="4" w:space="0" w:color="auto"/>
              <w:right w:val="single" w:sz="4" w:space="0" w:color="auto"/>
            </w:tcBorders>
            <w:shd w:val="clear" w:color="auto" w:fill="auto"/>
            <w:noWrap/>
            <w:vAlign w:val="bottom"/>
            <w:hideMark/>
          </w:tcPr>
          <w:p w14:paraId="4BB9C9B8"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317C7E0C"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0FD4F63A"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606B423C"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China</w:t>
            </w:r>
          </w:p>
        </w:tc>
        <w:tc>
          <w:tcPr>
            <w:tcW w:w="1059" w:type="dxa"/>
            <w:tcBorders>
              <w:top w:val="nil"/>
              <w:left w:val="nil"/>
              <w:bottom w:val="single" w:sz="4" w:space="0" w:color="auto"/>
              <w:right w:val="single" w:sz="4" w:space="0" w:color="auto"/>
            </w:tcBorders>
            <w:shd w:val="clear" w:color="auto" w:fill="auto"/>
            <w:noWrap/>
            <w:vAlign w:val="bottom"/>
            <w:hideMark/>
          </w:tcPr>
          <w:p w14:paraId="0DD8DD7A"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12</w:t>
            </w:r>
          </w:p>
        </w:tc>
        <w:tc>
          <w:tcPr>
            <w:tcW w:w="1340" w:type="dxa"/>
            <w:tcBorders>
              <w:top w:val="nil"/>
              <w:left w:val="nil"/>
              <w:bottom w:val="single" w:sz="4" w:space="0" w:color="auto"/>
              <w:right w:val="single" w:sz="4" w:space="0" w:color="auto"/>
            </w:tcBorders>
            <w:shd w:val="clear" w:color="auto" w:fill="auto"/>
            <w:noWrap/>
            <w:vAlign w:val="bottom"/>
            <w:hideMark/>
          </w:tcPr>
          <w:p w14:paraId="53B55774"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$83,107.42</w:t>
            </w:r>
          </w:p>
        </w:tc>
        <w:tc>
          <w:tcPr>
            <w:tcW w:w="1059" w:type="dxa"/>
            <w:tcBorders>
              <w:top w:val="nil"/>
              <w:left w:val="nil"/>
              <w:bottom w:val="single" w:sz="4" w:space="0" w:color="auto"/>
              <w:right w:val="single" w:sz="4" w:space="0" w:color="auto"/>
            </w:tcBorders>
            <w:shd w:val="clear" w:color="auto" w:fill="auto"/>
            <w:noWrap/>
            <w:vAlign w:val="bottom"/>
            <w:hideMark/>
          </w:tcPr>
          <w:p w14:paraId="6EE8D794"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75A32BD1"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4E305248"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77F6C7F0"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Colombia</w:t>
            </w:r>
          </w:p>
        </w:tc>
        <w:tc>
          <w:tcPr>
            <w:tcW w:w="1059" w:type="dxa"/>
            <w:tcBorders>
              <w:top w:val="nil"/>
              <w:left w:val="nil"/>
              <w:bottom w:val="single" w:sz="4" w:space="0" w:color="auto"/>
              <w:right w:val="single" w:sz="4" w:space="0" w:color="auto"/>
            </w:tcBorders>
            <w:shd w:val="clear" w:color="auto" w:fill="auto"/>
            <w:noWrap/>
            <w:vAlign w:val="bottom"/>
            <w:hideMark/>
          </w:tcPr>
          <w:p w14:paraId="51613D38"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6</w:t>
            </w:r>
          </w:p>
        </w:tc>
        <w:tc>
          <w:tcPr>
            <w:tcW w:w="1340" w:type="dxa"/>
            <w:tcBorders>
              <w:top w:val="nil"/>
              <w:left w:val="nil"/>
              <w:bottom w:val="single" w:sz="4" w:space="0" w:color="auto"/>
              <w:right w:val="single" w:sz="4" w:space="0" w:color="auto"/>
            </w:tcBorders>
            <w:shd w:val="clear" w:color="auto" w:fill="auto"/>
            <w:noWrap/>
            <w:vAlign w:val="bottom"/>
            <w:hideMark/>
          </w:tcPr>
          <w:p w14:paraId="1A767113"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$4,562.82</w:t>
            </w:r>
          </w:p>
        </w:tc>
        <w:tc>
          <w:tcPr>
            <w:tcW w:w="1059" w:type="dxa"/>
            <w:tcBorders>
              <w:top w:val="nil"/>
              <w:left w:val="nil"/>
              <w:bottom w:val="single" w:sz="4" w:space="0" w:color="auto"/>
              <w:right w:val="single" w:sz="4" w:space="0" w:color="auto"/>
            </w:tcBorders>
            <w:shd w:val="clear" w:color="auto" w:fill="auto"/>
            <w:noWrap/>
            <w:vAlign w:val="bottom"/>
            <w:hideMark/>
          </w:tcPr>
          <w:p w14:paraId="4CDCB6AD"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4A58DD58"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2DCD0D61"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2ED181C7"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Costa Rica</w:t>
            </w:r>
          </w:p>
        </w:tc>
        <w:tc>
          <w:tcPr>
            <w:tcW w:w="1059" w:type="dxa"/>
            <w:tcBorders>
              <w:top w:val="nil"/>
              <w:left w:val="nil"/>
              <w:bottom w:val="single" w:sz="4" w:space="0" w:color="auto"/>
              <w:right w:val="single" w:sz="4" w:space="0" w:color="auto"/>
            </w:tcBorders>
            <w:shd w:val="clear" w:color="auto" w:fill="auto"/>
            <w:noWrap/>
            <w:vAlign w:val="bottom"/>
            <w:hideMark/>
          </w:tcPr>
          <w:p w14:paraId="366C7F2B"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4</w:t>
            </w:r>
          </w:p>
        </w:tc>
        <w:tc>
          <w:tcPr>
            <w:tcW w:w="1340" w:type="dxa"/>
            <w:tcBorders>
              <w:top w:val="nil"/>
              <w:left w:val="nil"/>
              <w:bottom w:val="single" w:sz="4" w:space="0" w:color="auto"/>
              <w:right w:val="single" w:sz="4" w:space="0" w:color="auto"/>
            </w:tcBorders>
            <w:shd w:val="clear" w:color="auto" w:fill="auto"/>
            <w:noWrap/>
            <w:vAlign w:val="bottom"/>
            <w:hideMark/>
          </w:tcPr>
          <w:p w14:paraId="7B576038"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$2,000.00</w:t>
            </w:r>
          </w:p>
        </w:tc>
        <w:tc>
          <w:tcPr>
            <w:tcW w:w="1059" w:type="dxa"/>
            <w:tcBorders>
              <w:top w:val="nil"/>
              <w:left w:val="nil"/>
              <w:bottom w:val="single" w:sz="4" w:space="0" w:color="auto"/>
              <w:right w:val="single" w:sz="4" w:space="0" w:color="auto"/>
            </w:tcBorders>
            <w:shd w:val="clear" w:color="auto" w:fill="auto"/>
            <w:noWrap/>
            <w:vAlign w:val="bottom"/>
            <w:hideMark/>
          </w:tcPr>
          <w:p w14:paraId="62134F1C"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19CECE4D"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11D591F8"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2E871EED"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Croatia</w:t>
            </w:r>
          </w:p>
        </w:tc>
        <w:tc>
          <w:tcPr>
            <w:tcW w:w="1059" w:type="dxa"/>
            <w:tcBorders>
              <w:top w:val="nil"/>
              <w:left w:val="nil"/>
              <w:bottom w:val="single" w:sz="4" w:space="0" w:color="auto"/>
              <w:right w:val="single" w:sz="4" w:space="0" w:color="auto"/>
            </w:tcBorders>
            <w:shd w:val="clear" w:color="auto" w:fill="auto"/>
            <w:noWrap/>
            <w:vAlign w:val="bottom"/>
            <w:hideMark/>
          </w:tcPr>
          <w:p w14:paraId="10BA3807"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10</w:t>
            </w:r>
          </w:p>
        </w:tc>
        <w:tc>
          <w:tcPr>
            <w:tcW w:w="1340" w:type="dxa"/>
            <w:tcBorders>
              <w:top w:val="nil"/>
              <w:left w:val="nil"/>
              <w:bottom w:val="single" w:sz="4" w:space="0" w:color="auto"/>
              <w:right w:val="single" w:sz="4" w:space="0" w:color="auto"/>
            </w:tcBorders>
            <w:shd w:val="clear" w:color="auto" w:fill="auto"/>
            <w:noWrap/>
            <w:vAlign w:val="bottom"/>
            <w:hideMark/>
          </w:tcPr>
          <w:p w14:paraId="5304146C"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$9,868.54</w:t>
            </w:r>
          </w:p>
        </w:tc>
        <w:tc>
          <w:tcPr>
            <w:tcW w:w="1059" w:type="dxa"/>
            <w:tcBorders>
              <w:top w:val="nil"/>
              <w:left w:val="nil"/>
              <w:bottom w:val="single" w:sz="4" w:space="0" w:color="auto"/>
              <w:right w:val="single" w:sz="4" w:space="0" w:color="auto"/>
            </w:tcBorders>
            <w:shd w:val="clear" w:color="auto" w:fill="auto"/>
            <w:noWrap/>
            <w:vAlign w:val="bottom"/>
            <w:hideMark/>
          </w:tcPr>
          <w:p w14:paraId="5E904FB2"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614E3F0C"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1521B04D"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494D8C11"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Dominican Republic</w:t>
            </w:r>
          </w:p>
        </w:tc>
        <w:tc>
          <w:tcPr>
            <w:tcW w:w="1059" w:type="dxa"/>
            <w:tcBorders>
              <w:top w:val="nil"/>
              <w:left w:val="nil"/>
              <w:bottom w:val="single" w:sz="4" w:space="0" w:color="auto"/>
              <w:right w:val="single" w:sz="4" w:space="0" w:color="auto"/>
            </w:tcBorders>
            <w:shd w:val="clear" w:color="auto" w:fill="auto"/>
            <w:noWrap/>
            <w:vAlign w:val="bottom"/>
            <w:hideMark/>
          </w:tcPr>
          <w:p w14:paraId="3F035220"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w:t>
            </w:r>
          </w:p>
        </w:tc>
        <w:tc>
          <w:tcPr>
            <w:tcW w:w="1340" w:type="dxa"/>
            <w:tcBorders>
              <w:top w:val="nil"/>
              <w:left w:val="nil"/>
              <w:bottom w:val="single" w:sz="4" w:space="0" w:color="auto"/>
              <w:right w:val="single" w:sz="4" w:space="0" w:color="auto"/>
            </w:tcBorders>
            <w:shd w:val="clear" w:color="auto" w:fill="auto"/>
            <w:noWrap/>
            <w:vAlign w:val="bottom"/>
            <w:hideMark/>
          </w:tcPr>
          <w:p w14:paraId="7D726951"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$16,100.00</w:t>
            </w:r>
          </w:p>
        </w:tc>
        <w:tc>
          <w:tcPr>
            <w:tcW w:w="1059" w:type="dxa"/>
            <w:tcBorders>
              <w:top w:val="nil"/>
              <w:left w:val="nil"/>
              <w:bottom w:val="single" w:sz="4" w:space="0" w:color="auto"/>
              <w:right w:val="single" w:sz="4" w:space="0" w:color="auto"/>
            </w:tcBorders>
            <w:shd w:val="clear" w:color="auto" w:fill="auto"/>
            <w:noWrap/>
            <w:vAlign w:val="bottom"/>
            <w:hideMark/>
          </w:tcPr>
          <w:p w14:paraId="293F4482"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7B340145"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57EF709C"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487533BE"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Ecuador</w:t>
            </w:r>
          </w:p>
        </w:tc>
        <w:tc>
          <w:tcPr>
            <w:tcW w:w="1059" w:type="dxa"/>
            <w:tcBorders>
              <w:top w:val="nil"/>
              <w:left w:val="nil"/>
              <w:bottom w:val="single" w:sz="4" w:space="0" w:color="auto"/>
              <w:right w:val="single" w:sz="4" w:space="0" w:color="auto"/>
            </w:tcBorders>
            <w:shd w:val="clear" w:color="auto" w:fill="auto"/>
            <w:noWrap/>
            <w:vAlign w:val="bottom"/>
            <w:hideMark/>
          </w:tcPr>
          <w:p w14:paraId="534EDB96"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134AE1FC"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$9,454.00</w:t>
            </w:r>
          </w:p>
        </w:tc>
        <w:tc>
          <w:tcPr>
            <w:tcW w:w="1059" w:type="dxa"/>
            <w:tcBorders>
              <w:top w:val="nil"/>
              <w:left w:val="nil"/>
              <w:bottom w:val="single" w:sz="4" w:space="0" w:color="auto"/>
              <w:right w:val="single" w:sz="4" w:space="0" w:color="auto"/>
            </w:tcBorders>
            <w:shd w:val="clear" w:color="auto" w:fill="auto"/>
            <w:noWrap/>
            <w:vAlign w:val="bottom"/>
            <w:hideMark/>
          </w:tcPr>
          <w:p w14:paraId="3ACC47E1"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49EE5994"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3C9C6C9F"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17BFF574"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El Salvador</w:t>
            </w:r>
          </w:p>
        </w:tc>
        <w:tc>
          <w:tcPr>
            <w:tcW w:w="1059" w:type="dxa"/>
            <w:tcBorders>
              <w:top w:val="nil"/>
              <w:left w:val="nil"/>
              <w:bottom w:val="single" w:sz="4" w:space="0" w:color="auto"/>
              <w:right w:val="single" w:sz="4" w:space="0" w:color="auto"/>
            </w:tcBorders>
            <w:shd w:val="clear" w:color="auto" w:fill="auto"/>
            <w:noWrap/>
            <w:vAlign w:val="bottom"/>
            <w:hideMark/>
          </w:tcPr>
          <w:p w14:paraId="3A382261"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168BC8C5"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$6,775.00</w:t>
            </w:r>
          </w:p>
        </w:tc>
        <w:tc>
          <w:tcPr>
            <w:tcW w:w="1059" w:type="dxa"/>
            <w:tcBorders>
              <w:top w:val="nil"/>
              <w:left w:val="nil"/>
              <w:bottom w:val="single" w:sz="4" w:space="0" w:color="auto"/>
              <w:right w:val="single" w:sz="4" w:space="0" w:color="auto"/>
            </w:tcBorders>
            <w:shd w:val="clear" w:color="auto" w:fill="auto"/>
            <w:noWrap/>
            <w:vAlign w:val="bottom"/>
            <w:hideMark/>
          </w:tcPr>
          <w:p w14:paraId="0BA1E5C4"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5CF84C85"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656A219A"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57FFF597"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India</w:t>
            </w:r>
          </w:p>
        </w:tc>
        <w:tc>
          <w:tcPr>
            <w:tcW w:w="1059" w:type="dxa"/>
            <w:tcBorders>
              <w:top w:val="nil"/>
              <w:left w:val="nil"/>
              <w:bottom w:val="single" w:sz="4" w:space="0" w:color="auto"/>
              <w:right w:val="single" w:sz="4" w:space="0" w:color="auto"/>
            </w:tcBorders>
            <w:shd w:val="clear" w:color="auto" w:fill="auto"/>
            <w:noWrap/>
            <w:vAlign w:val="bottom"/>
            <w:hideMark/>
          </w:tcPr>
          <w:p w14:paraId="117D75EE"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14:paraId="1521D74C"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$78,128.85</w:t>
            </w:r>
          </w:p>
        </w:tc>
        <w:tc>
          <w:tcPr>
            <w:tcW w:w="1059" w:type="dxa"/>
            <w:tcBorders>
              <w:top w:val="nil"/>
              <w:left w:val="nil"/>
              <w:bottom w:val="single" w:sz="4" w:space="0" w:color="auto"/>
              <w:right w:val="single" w:sz="4" w:space="0" w:color="auto"/>
            </w:tcBorders>
            <w:shd w:val="clear" w:color="auto" w:fill="auto"/>
            <w:noWrap/>
            <w:vAlign w:val="bottom"/>
            <w:hideMark/>
          </w:tcPr>
          <w:p w14:paraId="4E4D3C0D"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04059678"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7909A142"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33981100"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Italy</w:t>
            </w:r>
          </w:p>
        </w:tc>
        <w:tc>
          <w:tcPr>
            <w:tcW w:w="1059" w:type="dxa"/>
            <w:tcBorders>
              <w:top w:val="nil"/>
              <w:left w:val="nil"/>
              <w:bottom w:val="single" w:sz="4" w:space="0" w:color="auto"/>
              <w:right w:val="single" w:sz="4" w:space="0" w:color="auto"/>
            </w:tcBorders>
            <w:shd w:val="clear" w:color="auto" w:fill="auto"/>
            <w:noWrap/>
            <w:vAlign w:val="bottom"/>
            <w:hideMark/>
          </w:tcPr>
          <w:p w14:paraId="6BD0F0BC"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14:paraId="49B03DEE"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$1,882.11</w:t>
            </w:r>
          </w:p>
        </w:tc>
        <w:tc>
          <w:tcPr>
            <w:tcW w:w="1059" w:type="dxa"/>
            <w:tcBorders>
              <w:top w:val="nil"/>
              <w:left w:val="nil"/>
              <w:bottom w:val="single" w:sz="4" w:space="0" w:color="auto"/>
              <w:right w:val="single" w:sz="4" w:space="0" w:color="auto"/>
            </w:tcBorders>
            <w:shd w:val="clear" w:color="auto" w:fill="auto"/>
            <w:noWrap/>
            <w:vAlign w:val="bottom"/>
            <w:hideMark/>
          </w:tcPr>
          <w:p w14:paraId="0944A104"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28E1C9DB"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4AF07128"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017C64DB"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lastRenderedPageBreak/>
              <w:t>Korea, Republic of</w:t>
            </w:r>
          </w:p>
        </w:tc>
        <w:tc>
          <w:tcPr>
            <w:tcW w:w="1059" w:type="dxa"/>
            <w:tcBorders>
              <w:top w:val="nil"/>
              <w:left w:val="nil"/>
              <w:bottom w:val="single" w:sz="4" w:space="0" w:color="auto"/>
              <w:right w:val="single" w:sz="4" w:space="0" w:color="auto"/>
            </w:tcBorders>
            <w:shd w:val="clear" w:color="auto" w:fill="auto"/>
            <w:noWrap/>
            <w:vAlign w:val="bottom"/>
            <w:hideMark/>
          </w:tcPr>
          <w:p w14:paraId="1C35CD0C"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570814A2"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$600.00</w:t>
            </w:r>
          </w:p>
        </w:tc>
        <w:tc>
          <w:tcPr>
            <w:tcW w:w="1059" w:type="dxa"/>
            <w:tcBorders>
              <w:top w:val="nil"/>
              <w:left w:val="nil"/>
              <w:bottom w:val="single" w:sz="4" w:space="0" w:color="auto"/>
              <w:right w:val="single" w:sz="4" w:space="0" w:color="auto"/>
            </w:tcBorders>
            <w:shd w:val="clear" w:color="auto" w:fill="auto"/>
            <w:noWrap/>
            <w:vAlign w:val="bottom"/>
            <w:hideMark/>
          </w:tcPr>
          <w:p w14:paraId="6C0C76EF"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353B9C85"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5938D9F9"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0531F961"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Peru</w:t>
            </w:r>
          </w:p>
        </w:tc>
        <w:tc>
          <w:tcPr>
            <w:tcW w:w="1059" w:type="dxa"/>
            <w:tcBorders>
              <w:top w:val="nil"/>
              <w:left w:val="nil"/>
              <w:bottom w:val="single" w:sz="4" w:space="0" w:color="auto"/>
              <w:right w:val="single" w:sz="4" w:space="0" w:color="auto"/>
            </w:tcBorders>
            <w:shd w:val="clear" w:color="auto" w:fill="auto"/>
            <w:noWrap/>
            <w:vAlign w:val="bottom"/>
            <w:hideMark/>
          </w:tcPr>
          <w:p w14:paraId="6938BCA7"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40AA3845"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$8,670.00</w:t>
            </w:r>
          </w:p>
        </w:tc>
        <w:tc>
          <w:tcPr>
            <w:tcW w:w="1059" w:type="dxa"/>
            <w:tcBorders>
              <w:top w:val="nil"/>
              <w:left w:val="nil"/>
              <w:bottom w:val="single" w:sz="4" w:space="0" w:color="auto"/>
              <w:right w:val="single" w:sz="4" w:space="0" w:color="auto"/>
            </w:tcBorders>
            <w:shd w:val="clear" w:color="auto" w:fill="auto"/>
            <w:noWrap/>
            <w:vAlign w:val="bottom"/>
            <w:hideMark/>
          </w:tcPr>
          <w:p w14:paraId="5D3D9498"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1E7A69C8"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09D7B6BD"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750F07C3"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Trinidad and Tobago</w:t>
            </w:r>
          </w:p>
        </w:tc>
        <w:tc>
          <w:tcPr>
            <w:tcW w:w="1059" w:type="dxa"/>
            <w:tcBorders>
              <w:top w:val="nil"/>
              <w:left w:val="nil"/>
              <w:bottom w:val="single" w:sz="4" w:space="0" w:color="auto"/>
              <w:right w:val="single" w:sz="4" w:space="0" w:color="auto"/>
            </w:tcBorders>
            <w:shd w:val="clear" w:color="auto" w:fill="auto"/>
            <w:noWrap/>
            <w:vAlign w:val="bottom"/>
            <w:hideMark/>
          </w:tcPr>
          <w:p w14:paraId="5CA9A9AA"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11</w:t>
            </w:r>
          </w:p>
        </w:tc>
        <w:tc>
          <w:tcPr>
            <w:tcW w:w="1340" w:type="dxa"/>
            <w:tcBorders>
              <w:top w:val="nil"/>
              <w:left w:val="nil"/>
              <w:bottom w:val="single" w:sz="4" w:space="0" w:color="auto"/>
              <w:right w:val="single" w:sz="4" w:space="0" w:color="auto"/>
            </w:tcBorders>
            <w:shd w:val="clear" w:color="auto" w:fill="auto"/>
            <w:noWrap/>
            <w:vAlign w:val="bottom"/>
            <w:hideMark/>
          </w:tcPr>
          <w:p w14:paraId="73DED943"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$8,461.79</w:t>
            </w:r>
          </w:p>
        </w:tc>
        <w:tc>
          <w:tcPr>
            <w:tcW w:w="1059" w:type="dxa"/>
            <w:tcBorders>
              <w:top w:val="nil"/>
              <w:left w:val="nil"/>
              <w:bottom w:val="single" w:sz="4" w:space="0" w:color="auto"/>
              <w:right w:val="single" w:sz="4" w:space="0" w:color="auto"/>
            </w:tcBorders>
            <w:shd w:val="clear" w:color="auto" w:fill="auto"/>
            <w:noWrap/>
            <w:vAlign w:val="bottom"/>
            <w:hideMark/>
          </w:tcPr>
          <w:p w14:paraId="4741DEDE"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450FCA7B"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1A49A841"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338A3346"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United Kingdom</w:t>
            </w:r>
          </w:p>
        </w:tc>
        <w:tc>
          <w:tcPr>
            <w:tcW w:w="1059" w:type="dxa"/>
            <w:tcBorders>
              <w:top w:val="nil"/>
              <w:left w:val="nil"/>
              <w:bottom w:val="single" w:sz="4" w:space="0" w:color="auto"/>
              <w:right w:val="single" w:sz="4" w:space="0" w:color="auto"/>
            </w:tcBorders>
            <w:shd w:val="clear" w:color="auto" w:fill="auto"/>
            <w:noWrap/>
            <w:vAlign w:val="bottom"/>
            <w:hideMark/>
          </w:tcPr>
          <w:p w14:paraId="57DDCA43"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22</w:t>
            </w:r>
          </w:p>
        </w:tc>
        <w:tc>
          <w:tcPr>
            <w:tcW w:w="1340" w:type="dxa"/>
            <w:tcBorders>
              <w:top w:val="nil"/>
              <w:left w:val="nil"/>
              <w:bottom w:val="single" w:sz="4" w:space="0" w:color="auto"/>
              <w:right w:val="single" w:sz="4" w:space="0" w:color="auto"/>
            </w:tcBorders>
            <w:shd w:val="clear" w:color="auto" w:fill="auto"/>
            <w:noWrap/>
            <w:vAlign w:val="bottom"/>
            <w:hideMark/>
          </w:tcPr>
          <w:p w14:paraId="72A55144"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$290,066.08</w:t>
            </w:r>
          </w:p>
        </w:tc>
        <w:tc>
          <w:tcPr>
            <w:tcW w:w="1059" w:type="dxa"/>
            <w:tcBorders>
              <w:top w:val="nil"/>
              <w:left w:val="nil"/>
              <w:bottom w:val="single" w:sz="4" w:space="0" w:color="auto"/>
              <w:right w:val="single" w:sz="4" w:space="0" w:color="auto"/>
            </w:tcBorders>
            <w:shd w:val="clear" w:color="auto" w:fill="auto"/>
            <w:noWrap/>
            <w:vAlign w:val="bottom"/>
            <w:hideMark/>
          </w:tcPr>
          <w:p w14:paraId="4B2B913E"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616FD4F5"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002E3917"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16C872A6"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Venezuela, Bolivarian Republic of</w:t>
            </w:r>
          </w:p>
        </w:tc>
        <w:tc>
          <w:tcPr>
            <w:tcW w:w="1059" w:type="dxa"/>
            <w:tcBorders>
              <w:top w:val="nil"/>
              <w:left w:val="nil"/>
              <w:bottom w:val="single" w:sz="4" w:space="0" w:color="auto"/>
              <w:right w:val="single" w:sz="4" w:space="0" w:color="auto"/>
            </w:tcBorders>
            <w:shd w:val="clear" w:color="auto" w:fill="auto"/>
            <w:noWrap/>
            <w:vAlign w:val="bottom"/>
            <w:hideMark/>
          </w:tcPr>
          <w:p w14:paraId="22E30427"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14:paraId="7A230855"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$1,850.00</w:t>
            </w:r>
          </w:p>
        </w:tc>
        <w:tc>
          <w:tcPr>
            <w:tcW w:w="1059" w:type="dxa"/>
            <w:tcBorders>
              <w:top w:val="nil"/>
              <w:left w:val="nil"/>
              <w:bottom w:val="single" w:sz="4" w:space="0" w:color="auto"/>
              <w:right w:val="single" w:sz="4" w:space="0" w:color="auto"/>
            </w:tcBorders>
            <w:shd w:val="clear" w:color="auto" w:fill="auto"/>
            <w:noWrap/>
            <w:vAlign w:val="bottom"/>
            <w:hideMark/>
          </w:tcPr>
          <w:p w14:paraId="2D039F9D"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7F0F11E3"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bl>
    <w:p w14:paraId="0850D225" w14:textId="77777777" w:rsidR="001001A6" w:rsidRPr="00F31693" w:rsidRDefault="001001A6" w:rsidP="001001A6">
      <w:pPr>
        <w:pStyle w:val="NoSpacing"/>
      </w:pPr>
    </w:p>
    <w:p w14:paraId="1F9A7E0E" w14:textId="77777777" w:rsidR="001001A6" w:rsidRPr="00F31693" w:rsidRDefault="001001A6" w:rsidP="001001A6">
      <w:r w:rsidRPr="00F31693">
        <w:t>Conducted business in, opened accounts for customers from, or facilitated transactions involving most offshore financial centers. Wires were conducted through the following countries:</w:t>
      </w:r>
    </w:p>
    <w:tbl>
      <w:tblPr>
        <w:tblW w:w="7580" w:type="dxa"/>
        <w:tblInd w:w="95" w:type="dxa"/>
        <w:tblLook w:val="04A0" w:firstRow="1" w:lastRow="0" w:firstColumn="1" w:lastColumn="0" w:noHBand="0" w:noVBand="1"/>
      </w:tblPr>
      <w:tblGrid>
        <w:gridCol w:w="3260"/>
        <w:gridCol w:w="1059"/>
        <w:gridCol w:w="1340"/>
        <w:gridCol w:w="1059"/>
        <w:gridCol w:w="1060"/>
      </w:tblGrid>
      <w:tr w:rsidR="001001A6" w:rsidRPr="00F31693" w14:paraId="04FA7155" w14:textId="77777777" w:rsidTr="009B071E">
        <w:trPr>
          <w:trHeight w:val="6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2B22D" w14:textId="77777777" w:rsidR="001001A6" w:rsidRPr="00F31693" w:rsidRDefault="001001A6" w:rsidP="009B071E">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 Country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DA1D70" w14:textId="77777777" w:rsidR="001001A6" w:rsidRPr="00F31693" w:rsidRDefault="001001A6" w:rsidP="009B071E">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Incoming</w:t>
            </w:r>
          </w:p>
        </w:tc>
        <w:tc>
          <w:tcPr>
            <w:tcW w:w="1340" w:type="dxa"/>
            <w:tcBorders>
              <w:top w:val="single" w:sz="4" w:space="0" w:color="auto"/>
              <w:left w:val="nil"/>
              <w:bottom w:val="single" w:sz="4" w:space="0" w:color="auto"/>
              <w:right w:val="single" w:sz="4" w:space="0" w:color="auto"/>
            </w:tcBorders>
            <w:shd w:val="clear" w:color="auto" w:fill="auto"/>
            <w:vAlign w:val="bottom"/>
            <w:hideMark/>
          </w:tcPr>
          <w:p w14:paraId="55A80C8B" w14:textId="77777777" w:rsidR="001001A6" w:rsidRPr="00F31693" w:rsidRDefault="001001A6" w:rsidP="009B071E">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Incoming</w:t>
            </w:r>
            <w:r w:rsidRPr="00F31693">
              <w:rPr>
                <w:rFonts w:ascii="Calibri" w:eastAsia="Times New Roman" w:hAnsi="Calibri" w:cs="Times New Roman"/>
                <w:b/>
                <w:bCs/>
                <w:color w:val="000000"/>
              </w:rPr>
              <w:br/>
              <w:t xml:space="preserve"> Amount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F61131" w14:textId="77777777" w:rsidR="001001A6" w:rsidRPr="00F31693" w:rsidRDefault="001001A6" w:rsidP="009B071E">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Outgoing</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3CFE5B1E" w14:textId="77777777" w:rsidR="001001A6" w:rsidRPr="00F31693" w:rsidRDefault="001001A6" w:rsidP="009B071E">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Outgoing Amount</w:t>
            </w:r>
          </w:p>
        </w:tc>
      </w:tr>
      <w:tr w:rsidR="001001A6" w:rsidRPr="00F31693" w14:paraId="2821CD7A"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16DA7EC8"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Anguilla</w:t>
            </w:r>
          </w:p>
        </w:tc>
        <w:tc>
          <w:tcPr>
            <w:tcW w:w="960" w:type="dxa"/>
            <w:tcBorders>
              <w:top w:val="nil"/>
              <w:left w:val="nil"/>
              <w:bottom w:val="single" w:sz="4" w:space="0" w:color="auto"/>
              <w:right w:val="single" w:sz="4" w:space="0" w:color="auto"/>
            </w:tcBorders>
            <w:shd w:val="clear" w:color="auto" w:fill="auto"/>
            <w:noWrap/>
            <w:vAlign w:val="bottom"/>
            <w:hideMark/>
          </w:tcPr>
          <w:p w14:paraId="573E7B46"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130C0440"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$1,298.00</w:t>
            </w:r>
          </w:p>
        </w:tc>
        <w:tc>
          <w:tcPr>
            <w:tcW w:w="960" w:type="dxa"/>
            <w:tcBorders>
              <w:top w:val="nil"/>
              <w:left w:val="nil"/>
              <w:bottom w:val="single" w:sz="4" w:space="0" w:color="auto"/>
              <w:right w:val="single" w:sz="4" w:space="0" w:color="auto"/>
            </w:tcBorders>
            <w:shd w:val="clear" w:color="auto" w:fill="auto"/>
            <w:noWrap/>
            <w:vAlign w:val="bottom"/>
            <w:hideMark/>
          </w:tcPr>
          <w:p w14:paraId="4F0BBA3B"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0FF43F01"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08CB9F51"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33D47911"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Barbados</w:t>
            </w:r>
          </w:p>
        </w:tc>
        <w:tc>
          <w:tcPr>
            <w:tcW w:w="960" w:type="dxa"/>
            <w:tcBorders>
              <w:top w:val="nil"/>
              <w:left w:val="nil"/>
              <w:bottom w:val="single" w:sz="4" w:space="0" w:color="auto"/>
              <w:right w:val="single" w:sz="4" w:space="0" w:color="auto"/>
            </w:tcBorders>
            <w:shd w:val="clear" w:color="auto" w:fill="auto"/>
            <w:noWrap/>
            <w:vAlign w:val="bottom"/>
            <w:hideMark/>
          </w:tcPr>
          <w:p w14:paraId="79356068"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w:t>
            </w:r>
          </w:p>
        </w:tc>
        <w:tc>
          <w:tcPr>
            <w:tcW w:w="1340" w:type="dxa"/>
            <w:tcBorders>
              <w:top w:val="nil"/>
              <w:left w:val="nil"/>
              <w:bottom w:val="single" w:sz="4" w:space="0" w:color="auto"/>
              <w:right w:val="single" w:sz="4" w:space="0" w:color="auto"/>
            </w:tcBorders>
            <w:shd w:val="clear" w:color="auto" w:fill="auto"/>
            <w:noWrap/>
            <w:vAlign w:val="bottom"/>
            <w:hideMark/>
          </w:tcPr>
          <w:p w14:paraId="0FC070D1"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$8,438.00</w:t>
            </w:r>
          </w:p>
        </w:tc>
        <w:tc>
          <w:tcPr>
            <w:tcW w:w="960" w:type="dxa"/>
            <w:tcBorders>
              <w:top w:val="nil"/>
              <w:left w:val="nil"/>
              <w:bottom w:val="single" w:sz="4" w:space="0" w:color="auto"/>
              <w:right w:val="single" w:sz="4" w:space="0" w:color="auto"/>
            </w:tcBorders>
            <w:shd w:val="clear" w:color="auto" w:fill="auto"/>
            <w:noWrap/>
            <w:vAlign w:val="bottom"/>
            <w:hideMark/>
          </w:tcPr>
          <w:p w14:paraId="64B4BF4A"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051B7106"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589C6EBC"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06AB9961"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Costa Rica</w:t>
            </w:r>
          </w:p>
        </w:tc>
        <w:tc>
          <w:tcPr>
            <w:tcW w:w="960" w:type="dxa"/>
            <w:tcBorders>
              <w:top w:val="nil"/>
              <w:left w:val="nil"/>
              <w:bottom w:val="single" w:sz="4" w:space="0" w:color="auto"/>
              <w:right w:val="single" w:sz="4" w:space="0" w:color="auto"/>
            </w:tcBorders>
            <w:shd w:val="clear" w:color="auto" w:fill="auto"/>
            <w:noWrap/>
            <w:vAlign w:val="bottom"/>
            <w:hideMark/>
          </w:tcPr>
          <w:p w14:paraId="0027E580"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4</w:t>
            </w:r>
          </w:p>
        </w:tc>
        <w:tc>
          <w:tcPr>
            <w:tcW w:w="1340" w:type="dxa"/>
            <w:tcBorders>
              <w:top w:val="nil"/>
              <w:left w:val="nil"/>
              <w:bottom w:val="single" w:sz="4" w:space="0" w:color="auto"/>
              <w:right w:val="single" w:sz="4" w:space="0" w:color="auto"/>
            </w:tcBorders>
            <w:shd w:val="clear" w:color="auto" w:fill="auto"/>
            <w:noWrap/>
            <w:vAlign w:val="bottom"/>
            <w:hideMark/>
          </w:tcPr>
          <w:p w14:paraId="159C0903"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$2,000.00</w:t>
            </w:r>
          </w:p>
        </w:tc>
        <w:tc>
          <w:tcPr>
            <w:tcW w:w="960" w:type="dxa"/>
            <w:tcBorders>
              <w:top w:val="nil"/>
              <w:left w:val="nil"/>
              <w:bottom w:val="single" w:sz="4" w:space="0" w:color="auto"/>
              <w:right w:val="single" w:sz="4" w:space="0" w:color="auto"/>
            </w:tcBorders>
            <w:shd w:val="clear" w:color="auto" w:fill="auto"/>
            <w:noWrap/>
            <w:vAlign w:val="bottom"/>
            <w:hideMark/>
          </w:tcPr>
          <w:p w14:paraId="1E1283B2"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47531012"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7367C38F"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0451073B"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Hong Kong</w:t>
            </w:r>
          </w:p>
        </w:tc>
        <w:tc>
          <w:tcPr>
            <w:tcW w:w="960" w:type="dxa"/>
            <w:tcBorders>
              <w:top w:val="nil"/>
              <w:left w:val="nil"/>
              <w:bottom w:val="single" w:sz="4" w:space="0" w:color="auto"/>
              <w:right w:val="single" w:sz="4" w:space="0" w:color="auto"/>
            </w:tcBorders>
            <w:shd w:val="clear" w:color="auto" w:fill="auto"/>
            <w:noWrap/>
            <w:vAlign w:val="bottom"/>
            <w:hideMark/>
          </w:tcPr>
          <w:p w14:paraId="338F093F"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11</w:t>
            </w:r>
          </w:p>
        </w:tc>
        <w:tc>
          <w:tcPr>
            <w:tcW w:w="1340" w:type="dxa"/>
            <w:tcBorders>
              <w:top w:val="nil"/>
              <w:left w:val="nil"/>
              <w:bottom w:val="single" w:sz="4" w:space="0" w:color="auto"/>
              <w:right w:val="single" w:sz="4" w:space="0" w:color="auto"/>
            </w:tcBorders>
            <w:shd w:val="clear" w:color="auto" w:fill="auto"/>
            <w:noWrap/>
            <w:vAlign w:val="bottom"/>
            <w:hideMark/>
          </w:tcPr>
          <w:p w14:paraId="1162932D"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$136,086.17</w:t>
            </w:r>
          </w:p>
        </w:tc>
        <w:tc>
          <w:tcPr>
            <w:tcW w:w="960" w:type="dxa"/>
            <w:tcBorders>
              <w:top w:val="nil"/>
              <w:left w:val="nil"/>
              <w:bottom w:val="single" w:sz="4" w:space="0" w:color="auto"/>
              <w:right w:val="single" w:sz="4" w:space="0" w:color="auto"/>
            </w:tcBorders>
            <w:shd w:val="clear" w:color="auto" w:fill="auto"/>
            <w:noWrap/>
            <w:vAlign w:val="bottom"/>
            <w:hideMark/>
          </w:tcPr>
          <w:p w14:paraId="0DB4DE4C"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6EC0BEE2"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1F4B5DC1"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6EC62EAC"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Seychelles</w:t>
            </w:r>
          </w:p>
        </w:tc>
        <w:tc>
          <w:tcPr>
            <w:tcW w:w="960" w:type="dxa"/>
            <w:tcBorders>
              <w:top w:val="nil"/>
              <w:left w:val="nil"/>
              <w:bottom w:val="single" w:sz="4" w:space="0" w:color="auto"/>
              <w:right w:val="single" w:sz="4" w:space="0" w:color="auto"/>
            </w:tcBorders>
            <w:shd w:val="clear" w:color="auto" w:fill="auto"/>
            <w:noWrap/>
            <w:vAlign w:val="bottom"/>
            <w:hideMark/>
          </w:tcPr>
          <w:p w14:paraId="43F961B6"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51266C3E"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$2,006.00</w:t>
            </w:r>
          </w:p>
        </w:tc>
        <w:tc>
          <w:tcPr>
            <w:tcW w:w="960" w:type="dxa"/>
            <w:tcBorders>
              <w:top w:val="nil"/>
              <w:left w:val="nil"/>
              <w:bottom w:val="single" w:sz="4" w:space="0" w:color="auto"/>
              <w:right w:val="single" w:sz="4" w:space="0" w:color="auto"/>
            </w:tcBorders>
            <w:shd w:val="clear" w:color="auto" w:fill="auto"/>
            <w:noWrap/>
            <w:vAlign w:val="bottom"/>
            <w:hideMark/>
          </w:tcPr>
          <w:p w14:paraId="4A135A4B"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637BCBEE"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6B792149"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295864FF"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Switzerland</w:t>
            </w:r>
          </w:p>
        </w:tc>
        <w:tc>
          <w:tcPr>
            <w:tcW w:w="960" w:type="dxa"/>
            <w:tcBorders>
              <w:top w:val="nil"/>
              <w:left w:val="nil"/>
              <w:bottom w:val="single" w:sz="4" w:space="0" w:color="auto"/>
              <w:right w:val="single" w:sz="4" w:space="0" w:color="auto"/>
            </w:tcBorders>
            <w:shd w:val="clear" w:color="auto" w:fill="auto"/>
            <w:noWrap/>
            <w:vAlign w:val="bottom"/>
            <w:hideMark/>
          </w:tcPr>
          <w:p w14:paraId="3F2740BC"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33</w:t>
            </w:r>
          </w:p>
        </w:tc>
        <w:tc>
          <w:tcPr>
            <w:tcW w:w="1340" w:type="dxa"/>
            <w:tcBorders>
              <w:top w:val="nil"/>
              <w:left w:val="nil"/>
              <w:bottom w:val="single" w:sz="4" w:space="0" w:color="auto"/>
              <w:right w:val="single" w:sz="4" w:space="0" w:color="auto"/>
            </w:tcBorders>
            <w:shd w:val="clear" w:color="auto" w:fill="auto"/>
            <w:noWrap/>
            <w:vAlign w:val="bottom"/>
            <w:hideMark/>
          </w:tcPr>
          <w:p w14:paraId="5FEB4BAE"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$51,574.56</w:t>
            </w:r>
          </w:p>
        </w:tc>
        <w:tc>
          <w:tcPr>
            <w:tcW w:w="960" w:type="dxa"/>
            <w:tcBorders>
              <w:top w:val="nil"/>
              <w:left w:val="nil"/>
              <w:bottom w:val="single" w:sz="4" w:space="0" w:color="auto"/>
              <w:right w:val="single" w:sz="4" w:space="0" w:color="auto"/>
            </w:tcBorders>
            <w:shd w:val="clear" w:color="auto" w:fill="auto"/>
            <w:noWrap/>
            <w:vAlign w:val="bottom"/>
            <w:hideMark/>
          </w:tcPr>
          <w:p w14:paraId="60C334D1"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3BCE1144"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1001A6" w:rsidRPr="00F31693" w14:paraId="028F4E52" w14:textId="77777777" w:rsidTr="009B071E">
        <w:trPr>
          <w:trHeight w:val="300"/>
        </w:trPr>
        <w:tc>
          <w:tcPr>
            <w:tcW w:w="3260" w:type="dxa"/>
            <w:tcBorders>
              <w:top w:val="nil"/>
              <w:left w:val="single" w:sz="4" w:space="0" w:color="auto"/>
              <w:bottom w:val="single" w:sz="4" w:space="0" w:color="auto"/>
              <w:right w:val="single" w:sz="4" w:space="0" w:color="auto"/>
            </w:tcBorders>
            <w:shd w:val="clear" w:color="000000" w:fill="FFFF00"/>
            <w:noWrap/>
            <w:vAlign w:val="bottom"/>
            <w:hideMark/>
          </w:tcPr>
          <w:p w14:paraId="20FEE794" w14:textId="77777777" w:rsidR="001001A6" w:rsidRPr="00F31693" w:rsidRDefault="001001A6"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Virgin Islands, British</w:t>
            </w:r>
          </w:p>
        </w:tc>
        <w:tc>
          <w:tcPr>
            <w:tcW w:w="960" w:type="dxa"/>
            <w:tcBorders>
              <w:top w:val="nil"/>
              <w:left w:val="nil"/>
              <w:bottom w:val="single" w:sz="4" w:space="0" w:color="auto"/>
              <w:right w:val="single" w:sz="4" w:space="0" w:color="auto"/>
            </w:tcBorders>
            <w:shd w:val="clear" w:color="auto" w:fill="auto"/>
            <w:noWrap/>
            <w:vAlign w:val="bottom"/>
            <w:hideMark/>
          </w:tcPr>
          <w:p w14:paraId="6E06EE8E"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1AFABCF7"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$109,000.00</w:t>
            </w:r>
          </w:p>
        </w:tc>
        <w:tc>
          <w:tcPr>
            <w:tcW w:w="960" w:type="dxa"/>
            <w:tcBorders>
              <w:top w:val="nil"/>
              <w:left w:val="nil"/>
              <w:bottom w:val="single" w:sz="4" w:space="0" w:color="auto"/>
              <w:right w:val="single" w:sz="4" w:space="0" w:color="auto"/>
            </w:tcBorders>
            <w:shd w:val="clear" w:color="auto" w:fill="auto"/>
            <w:noWrap/>
            <w:vAlign w:val="bottom"/>
            <w:hideMark/>
          </w:tcPr>
          <w:p w14:paraId="2030217B"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718125AD" w14:textId="77777777" w:rsidR="001001A6" w:rsidRPr="00F31693" w:rsidRDefault="001001A6" w:rsidP="009B071E">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bl>
    <w:p w14:paraId="4EBC45A1" w14:textId="77777777" w:rsidR="001001A6" w:rsidRPr="00F31693" w:rsidRDefault="001001A6" w:rsidP="001001A6">
      <w:pPr>
        <w:pStyle w:val="NoSpacing"/>
      </w:pPr>
    </w:p>
    <w:p w14:paraId="27C800EB" w14:textId="77777777" w:rsidR="00A95E97" w:rsidRPr="00F31693" w:rsidRDefault="00A95E97" w:rsidP="001001A6">
      <w:pPr>
        <w:rPr>
          <w:b/>
        </w:rPr>
      </w:pPr>
      <w:r w:rsidRPr="00F31693">
        <w:rPr>
          <w:b/>
        </w:rPr>
        <w:t>Customer Base</w:t>
      </w:r>
    </w:p>
    <w:p w14:paraId="3ED7F02B" w14:textId="2B6D9DF0" w:rsidR="00126398" w:rsidRPr="00F31693" w:rsidRDefault="00A95E97" w:rsidP="00A95E97">
      <w:r w:rsidRPr="00F31693">
        <w:t xml:space="preserve">Most </w:t>
      </w:r>
      <w:r w:rsidR="006473DB">
        <w:t xml:space="preserve">J. Wallace </w:t>
      </w:r>
      <w:r w:rsidRPr="00F31693">
        <w:t xml:space="preserve">customers are U.S. citizens &amp; residents and small to mid-size domestic businesses. The Bank considered the nature of its customers and the type of account opening activity, longevity of accounts, and transitory nature of its customers.  In addition, the commercial lending department has expanded our market area to surrounding states. </w:t>
      </w:r>
    </w:p>
    <w:p w14:paraId="7D256F51" w14:textId="77777777" w:rsidR="00A95E97" w:rsidRPr="00F31693" w:rsidRDefault="00A95E97" w:rsidP="00A95E97">
      <w:pPr>
        <w:rPr>
          <w:b/>
        </w:rPr>
      </w:pPr>
      <w:r w:rsidRPr="00F31693">
        <w:rPr>
          <w:b/>
        </w:rPr>
        <w:t>Customer Risk</w:t>
      </w:r>
    </w:p>
    <w:p w14:paraId="202C847E" w14:textId="77777777" w:rsidR="00A95E97" w:rsidRPr="00F31693" w:rsidRDefault="00A95E97" w:rsidP="00A95E97">
      <w:r w:rsidRPr="00F31693">
        <w:t>The Bank has established a risk rating and monitoring frequency system to mitigate the risks associated with money laundering and terrorist financing activity. The BSA Dep</w:t>
      </w:r>
      <w:r w:rsidR="000C3642" w:rsidRPr="00F31693">
        <w:t>ar</w:t>
      </w:r>
      <w:r w:rsidRPr="00F31693">
        <w:t>t</w:t>
      </w:r>
      <w:r w:rsidR="000C3642" w:rsidRPr="00F31693">
        <w:t>ment</w:t>
      </w:r>
      <w:r w:rsidRPr="00F31693">
        <w:t xml:space="preserve"> determines the risk rating on every type of account by reviewing new and/or existing account criteria.</w:t>
      </w:r>
    </w:p>
    <w:p w14:paraId="66E3983C" w14:textId="77777777" w:rsidR="00114765" w:rsidRPr="00F31693" w:rsidRDefault="00114765" w:rsidP="00114765">
      <w:r w:rsidRPr="00F31693">
        <w:t xml:space="preserve">When a new account is opened the procedures in the Branch Administration Procedures –New Deposit Accounts will be followed using the ChexSystems (DDA only) and Bridger Insight (all accounts) on-line programs. </w:t>
      </w:r>
      <w:proofErr w:type="gramStart"/>
      <w:r w:rsidRPr="00F31693">
        <w:t>In the event that</w:t>
      </w:r>
      <w:proofErr w:type="gramEnd"/>
      <w:r w:rsidRPr="00F31693">
        <w:t xml:space="preserve"> a match is found an individual at the bank will follow the steps in the “Processing an OFAC Hit” section of these procedures.</w:t>
      </w:r>
    </w:p>
    <w:p w14:paraId="4454140F" w14:textId="77777777" w:rsidR="003C77D4" w:rsidRPr="00F31693" w:rsidRDefault="003C77D4" w:rsidP="003C77D4">
      <w:r w:rsidRPr="00F31693">
        <w:t>The Bank’s use of the Lexis/Nex</w:t>
      </w:r>
      <w:r w:rsidR="0083105C" w:rsidRPr="00F31693">
        <w:t>i</w:t>
      </w:r>
      <w:r w:rsidRPr="00F31693">
        <w:t>s Bridger Insight automated system provides immediate results when verifying that new customers are or are not on the Government’s Specially Designated Nations (SDN) or Palestinian Legislative Council (NS-PLC) Lists or any of the other 25+ Watch Lists the system monitors. Updates to the SDN and NS-PLC lists are compared to the Bank’s customer base within five (5) business days after each time those lists are updated.</w:t>
      </w:r>
    </w:p>
    <w:p w14:paraId="68924A41" w14:textId="77777777" w:rsidR="00314284" w:rsidRPr="00F31693" w:rsidRDefault="00314284" w:rsidP="00114765">
      <w:pPr>
        <w:rPr>
          <w:b/>
        </w:rPr>
      </w:pPr>
    </w:p>
    <w:p w14:paraId="4F379267" w14:textId="77777777" w:rsidR="00114765" w:rsidRPr="00F31693" w:rsidRDefault="00114765" w:rsidP="00114765">
      <w:pPr>
        <w:rPr>
          <w:b/>
        </w:rPr>
      </w:pPr>
      <w:r w:rsidRPr="00F31693">
        <w:rPr>
          <w:b/>
        </w:rPr>
        <w:lastRenderedPageBreak/>
        <w:t>Other Departments</w:t>
      </w:r>
    </w:p>
    <w:p w14:paraId="21F85DC0" w14:textId="77777777" w:rsidR="00114765" w:rsidRPr="00F31693" w:rsidRDefault="00114765" w:rsidP="00114765">
      <w:r w:rsidRPr="00F31693">
        <w:t xml:space="preserve">Loan Accounts, wire transfers in and wire transfers out, requests for donations, all require that a check of the OFAC list is performed prior to completion of the transaction. In the event that a match is found, the department should follow the steps outlined below in “Processing an OFAC </w:t>
      </w:r>
      <w:proofErr w:type="gramStart"/>
      <w:r w:rsidRPr="00F31693">
        <w:t>Hit</w:t>
      </w:r>
      <w:proofErr w:type="gramEnd"/>
      <w:r w:rsidRPr="00F31693">
        <w:t>”</w:t>
      </w:r>
    </w:p>
    <w:p w14:paraId="50314A8B" w14:textId="77777777" w:rsidR="00A95E97" w:rsidRPr="00F31693" w:rsidRDefault="00A95E97" w:rsidP="00A95E97">
      <w:r w:rsidRPr="00F31693">
        <w:t>By assigning a risk rating and monitoring frequency, the BSA Dep</w:t>
      </w:r>
      <w:r w:rsidR="000C3642" w:rsidRPr="00F31693">
        <w:t>artment</w:t>
      </w:r>
      <w:r w:rsidRPr="00F31693">
        <w:t xml:space="preserve">. </w:t>
      </w:r>
      <w:proofErr w:type="gramStart"/>
      <w:r w:rsidRPr="00F31693">
        <w:t>is able to</w:t>
      </w:r>
      <w:proofErr w:type="gramEnd"/>
      <w:r w:rsidRPr="00F31693">
        <w:t xml:space="preserve"> maintain control of unusual or high-risk account activity. This system allows the BSA Dep</w:t>
      </w:r>
      <w:r w:rsidR="000C3642" w:rsidRPr="00F31693">
        <w:t>ar</w:t>
      </w:r>
      <w:r w:rsidRPr="00F31693">
        <w:t>t</w:t>
      </w:r>
      <w:r w:rsidR="000C3642" w:rsidRPr="00F31693">
        <w:t>ment</w:t>
      </w:r>
      <w:r w:rsidRPr="00F31693">
        <w:t xml:space="preserve"> to effectively manage accounts and identify those accounts that may require enhanced due diligence (EDD).</w:t>
      </w:r>
    </w:p>
    <w:p w14:paraId="0E058E64" w14:textId="77777777" w:rsidR="0053499E" w:rsidRPr="00F31693" w:rsidRDefault="008344BF" w:rsidP="00A95E97">
      <w:r w:rsidRPr="00F31693">
        <w:rPr>
          <w:noProof/>
        </w:rPr>
        <w:drawing>
          <wp:inline distT="0" distB="0" distL="0" distR="0" wp14:anchorId="503EA949" wp14:editId="0EF13D4C">
            <wp:extent cx="5943600" cy="170261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702610"/>
                    </a:xfrm>
                    <a:prstGeom prst="rect">
                      <a:avLst/>
                    </a:prstGeom>
                    <a:noFill/>
                    <a:ln w="9525">
                      <a:noFill/>
                      <a:miter lim="800000"/>
                      <a:headEnd/>
                      <a:tailEnd/>
                    </a:ln>
                  </pic:spPr>
                </pic:pic>
              </a:graphicData>
            </a:graphic>
          </wp:inline>
        </w:drawing>
      </w:r>
    </w:p>
    <w:p w14:paraId="06344848" w14:textId="77777777" w:rsidR="00A95E97" w:rsidRPr="00F31693" w:rsidRDefault="00A95E97" w:rsidP="00A95E97">
      <w:r w:rsidRPr="00F31693">
        <w:t xml:space="preserve">There are no overseas </w:t>
      </w:r>
      <w:proofErr w:type="gramStart"/>
      <w:r w:rsidRPr="00F31693">
        <w:t>borrowers</w:t>
      </w:r>
      <w:proofErr w:type="gramEnd"/>
      <w:r w:rsidRPr="00F31693">
        <w:t xml:space="preserve"> and all loan collateral is located in the U.S.A.</w:t>
      </w:r>
    </w:p>
    <w:p w14:paraId="1EC59D3E" w14:textId="77777777" w:rsidR="00A95E97" w:rsidRPr="00F31693" w:rsidRDefault="00A95E97" w:rsidP="00A95E97">
      <w:r w:rsidRPr="00F31693">
        <w:t xml:space="preserve">The BSA team checks on OFAC compliance </w:t>
      </w:r>
      <w:r w:rsidR="00432C77" w:rsidRPr="00F31693">
        <w:t xml:space="preserve">every time FinCEN </w:t>
      </w:r>
      <w:r w:rsidR="00EE33B5" w:rsidRPr="00F31693">
        <w:t>publishes an update (usually</w:t>
      </w:r>
      <w:r w:rsidR="00432C77" w:rsidRPr="00F31693">
        <w:t xml:space="preserve"> </w:t>
      </w:r>
      <w:r w:rsidRPr="00F31693">
        <w:t>daily</w:t>
      </w:r>
      <w:r w:rsidR="00EE33B5" w:rsidRPr="00F31693">
        <w:t>)</w:t>
      </w:r>
      <w:r w:rsidRPr="00F31693">
        <w:t xml:space="preserve"> and reviews on-going OFAC screening results weekly.</w:t>
      </w:r>
    </w:p>
    <w:p w14:paraId="1E2E1803" w14:textId="77777777" w:rsidR="00A95E97" w:rsidRPr="00F31693" w:rsidRDefault="00A95E97" w:rsidP="00A95E97">
      <w:r w:rsidRPr="00F31693">
        <w:t xml:space="preserve">Customer profiles may change over </w:t>
      </w:r>
      <w:proofErr w:type="gramStart"/>
      <w:r w:rsidRPr="00F31693">
        <w:t>time</w:t>
      </w:r>
      <w:proofErr w:type="gramEnd"/>
      <w:r w:rsidRPr="00F31693">
        <w:t xml:space="preserve"> and it is important that a periodic review be performed so that risk rating and monitoring frequency reflects the risk profile of the relationship. Reviews by the BSA Dep</w:t>
      </w:r>
      <w:r w:rsidR="000C3642" w:rsidRPr="00F31693">
        <w:t>artment</w:t>
      </w:r>
      <w:r w:rsidRPr="00F31693">
        <w:t xml:space="preserve"> determine if the risk factors have significantly changed and whether a more appropriate risk rating and or monitoring frequency should be assigned.</w:t>
      </w:r>
    </w:p>
    <w:p w14:paraId="695BDF50" w14:textId="77777777" w:rsidR="00A95E97" w:rsidRPr="00F31693" w:rsidRDefault="00A95E97" w:rsidP="00A95E97">
      <w:r w:rsidRPr="00F31693">
        <w:t xml:space="preserve">When a customer relationship is reviewed, it is important to review all factors including, but not limited to customer type, transactional activity, and volume or </w:t>
      </w:r>
      <w:proofErr w:type="gramStart"/>
      <w:r w:rsidRPr="00F31693">
        <w:t>amount</w:t>
      </w:r>
      <w:proofErr w:type="gramEnd"/>
      <w:r w:rsidRPr="00F31693">
        <w:t xml:space="preserve"> of transactions that influence the risk rating.</w:t>
      </w:r>
    </w:p>
    <w:p w14:paraId="0492F10F" w14:textId="77777777" w:rsidR="0053499E" w:rsidRPr="00F31693" w:rsidRDefault="008344BF" w:rsidP="00A95E97">
      <w:r w:rsidRPr="00F31693">
        <w:rPr>
          <w:noProof/>
        </w:rPr>
        <w:lastRenderedPageBreak/>
        <w:drawing>
          <wp:inline distT="0" distB="0" distL="0" distR="0" wp14:anchorId="57C9560A" wp14:editId="61F697C5">
            <wp:extent cx="5943600" cy="3937541"/>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937541"/>
                    </a:xfrm>
                    <a:prstGeom prst="rect">
                      <a:avLst/>
                    </a:prstGeom>
                    <a:noFill/>
                    <a:ln w="9525">
                      <a:noFill/>
                      <a:miter lim="800000"/>
                      <a:headEnd/>
                      <a:tailEnd/>
                    </a:ln>
                  </pic:spPr>
                </pic:pic>
              </a:graphicData>
            </a:graphic>
          </wp:inline>
        </w:drawing>
      </w:r>
    </w:p>
    <w:p w14:paraId="14367CA2" w14:textId="77777777" w:rsidR="00A95E97" w:rsidRPr="00F31693" w:rsidRDefault="00A95E97" w:rsidP="00A95E97">
      <w:pPr>
        <w:rPr>
          <w:b/>
        </w:rPr>
      </w:pPr>
      <w:r w:rsidRPr="00F31693">
        <w:rPr>
          <w:b/>
        </w:rPr>
        <w:t>Overseas Branches / Correspondent Accounts with Foreign Banks</w:t>
      </w:r>
    </w:p>
    <w:p w14:paraId="0957FE77" w14:textId="2750D2AF" w:rsidR="00A95E97" w:rsidRPr="00F31693" w:rsidRDefault="006473DB" w:rsidP="00A95E97">
      <w:r>
        <w:t xml:space="preserve">J. Wallace </w:t>
      </w:r>
      <w:r w:rsidR="00A95E97" w:rsidRPr="00F31693">
        <w:t xml:space="preserve">is a </w:t>
      </w:r>
      <w:r w:rsidR="005742D0" w:rsidRPr="00F31693">
        <w:t xml:space="preserve">Northeast US </w:t>
      </w:r>
      <w:r w:rsidR="00A95E97" w:rsidRPr="00F31693">
        <w:t>regional bank and as such does not have or maintain any foreign branches or foreign correspondent bank accounts.</w:t>
      </w:r>
    </w:p>
    <w:p w14:paraId="0FC9C3C5" w14:textId="77777777" w:rsidR="00A95E97" w:rsidRPr="00F31693" w:rsidRDefault="00A95E97" w:rsidP="00A95E97">
      <w:pPr>
        <w:rPr>
          <w:b/>
        </w:rPr>
      </w:pPr>
      <w:r w:rsidRPr="00F31693">
        <w:rPr>
          <w:b/>
        </w:rPr>
        <w:t>Electronic Banking</w:t>
      </w:r>
    </w:p>
    <w:p w14:paraId="4A681A4F" w14:textId="62AF5CE3" w:rsidR="00A95E97" w:rsidRPr="00F31693" w:rsidRDefault="006473DB" w:rsidP="00A95E97">
      <w:r>
        <w:t xml:space="preserve">J. Wallace </w:t>
      </w:r>
      <w:r w:rsidR="00A95E97" w:rsidRPr="00F31693">
        <w:t xml:space="preserve">offers electronic banking services, </w:t>
      </w:r>
      <w:proofErr w:type="gramStart"/>
      <w:r w:rsidR="00A95E97" w:rsidRPr="00F31693">
        <w:t>including;</w:t>
      </w:r>
      <w:proofErr w:type="gramEnd"/>
      <w:r w:rsidR="00A95E97" w:rsidRPr="00F31693">
        <w:t xml:space="preserve"> ATM/Debit Cards to consumers</w:t>
      </w:r>
      <w:r w:rsidR="00F0557E" w:rsidRPr="00F31693">
        <w:t xml:space="preserve"> and authorized signors of businesses</w:t>
      </w:r>
      <w:r w:rsidR="00A95E97" w:rsidRPr="00F31693">
        <w:t xml:space="preserve"> only (</w:t>
      </w:r>
      <w:r w:rsidR="003D6852" w:rsidRPr="00F31693">
        <w:t>11,414</w:t>
      </w:r>
      <w:r w:rsidR="00A95E97" w:rsidRPr="00F31693">
        <w:t>), and Remote Deposit Capture to established U.S. business customers only (</w:t>
      </w:r>
      <w:r w:rsidR="003D6852" w:rsidRPr="00F31693">
        <w:t>96</w:t>
      </w:r>
      <w:r w:rsidR="00A95E97" w:rsidRPr="00F31693">
        <w:t>). Online banking services include account inquiry and transfer between own accounts only. No account opening, wire transfer or ACH initiation services are offered via the Internet banking system. Third-party transfers cannot be performed over the internet. Industry standard security practices are adhered to, and the bank follows specific procedures in approving applications.</w:t>
      </w:r>
    </w:p>
    <w:p w14:paraId="16C615F4" w14:textId="77777777" w:rsidR="00A95E97" w:rsidRPr="00F31693" w:rsidRDefault="00A95E97" w:rsidP="00A95E97">
      <w:pPr>
        <w:rPr>
          <w:b/>
        </w:rPr>
      </w:pPr>
      <w:r w:rsidRPr="00F31693">
        <w:rPr>
          <w:b/>
        </w:rPr>
        <w:t>NRA</w:t>
      </w:r>
    </w:p>
    <w:p w14:paraId="4844EF88" w14:textId="77777777" w:rsidR="00554D63" w:rsidRPr="00F31693" w:rsidRDefault="00A95E97" w:rsidP="00A95E97">
      <w:r w:rsidRPr="00F31693">
        <w:t xml:space="preserve">The Bank has a total of </w:t>
      </w:r>
      <w:r w:rsidR="00442B09" w:rsidRPr="00F31693">
        <w:t>6</w:t>
      </w:r>
      <w:r w:rsidRPr="00F31693">
        <w:t xml:space="preserve"> Non</w:t>
      </w:r>
      <w:r w:rsidR="001B4851" w:rsidRPr="00F31693">
        <w:t>r</w:t>
      </w:r>
      <w:r w:rsidRPr="00F31693">
        <w:t>esident Alien account owners</w:t>
      </w:r>
      <w:r w:rsidR="00875F0E" w:rsidRPr="00F31693">
        <w:t xml:space="preserve"> with </w:t>
      </w:r>
      <w:r w:rsidR="00442B09" w:rsidRPr="00F31693">
        <w:t>6</w:t>
      </w:r>
      <w:r w:rsidR="00875F0E" w:rsidRPr="00F31693">
        <w:t xml:space="preserve"> accounts</w:t>
      </w:r>
      <w:r w:rsidR="003B0CB1" w:rsidRPr="00F31693">
        <w:t xml:space="preserve"> (</w:t>
      </w:r>
      <w:r w:rsidR="00442B09" w:rsidRPr="00F31693">
        <w:t>2</w:t>
      </w:r>
      <w:r w:rsidR="007F202E" w:rsidRPr="00F31693">
        <w:t xml:space="preserve"> checking, </w:t>
      </w:r>
      <w:r w:rsidR="00442B09" w:rsidRPr="00F31693">
        <w:t>4</w:t>
      </w:r>
      <w:r w:rsidR="007F202E" w:rsidRPr="00F31693">
        <w:t xml:space="preserve"> savings)</w:t>
      </w:r>
      <w:r w:rsidRPr="00F31693">
        <w:t xml:space="preserve">. All but </w:t>
      </w:r>
      <w:r w:rsidR="00442B09" w:rsidRPr="00F31693">
        <w:t xml:space="preserve">current W8 Certifications. </w:t>
      </w:r>
      <w:r w:rsidRPr="00F31693">
        <w:t>These accounts are opened only when prescribed written criteria are met</w:t>
      </w:r>
      <w:r w:rsidR="008414BF" w:rsidRPr="00F31693">
        <w:t>. There has been no growth in NRA accounts during the assessment period and as such there is no increased risk for the Bank</w:t>
      </w:r>
      <w:r w:rsidRPr="00F31693">
        <w:t xml:space="preserve">.  </w:t>
      </w:r>
    </w:p>
    <w:p w14:paraId="17A60F99" w14:textId="7C8B5E15" w:rsidR="009E4F22" w:rsidRPr="00F31693" w:rsidRDefault="009E4F22" w:rsidP="009E4F22">
      <w:r w:rsidRPr="00F31693">
        <w:t>Non</w:t>
      </w:r>
      <w:r w:rsidR="001B4851" w:rsidRPr="00F31693">
        <w:t>r</w:t>
      </w:r>
      <w:r w:rsidRPr="00F31693">
        <w:t xml:space="preserve">esident Aliens (NRAs) who can be qualified as current US students or who have an ITIN (Individual Tax Identification Number), may open or be party to an account at </w:t>
      </w:r>
      <w:r w:rsidR="006473DB">
        <w:t xml:space="preserve">J. Wallace </w:t>
      </w:r>
      <w:r w:rsidRPr="00F31693">
        <w:t xml:space="preserve">without a tax id provided </w:t>
      </w:r>
      <w:r w:rsidRPr="00F31693">
        <w:lastRenderedPageBreak/>
        <w:t xml:space="preserve">they certify their status as a </w:t>
      </w:r>
      <w:r w:rsidR="001B4851" w:rsidRPr="00F31693">
        <w:t>N</w:t>
      </w:r>
      <w:r w:rsidRPr="00F31693">
        <w:t xml:space="preserve">onresident </w:t>
      </w:r>
      <w:r w:rsidR="001B4851" w:rsidRPr="00F31693">
        <w:t>A</w:t>
      </w:r>
      <w:r w:rsidRPr="00F31693">
        <w:t>lien on Form ‘W-8BEN - Certificate of Foreign Status of Beneficial Owner for United States Tax Withholding’ (W-8BEN). We require documentation of the student status and the institution where they are enrolled.</w:t>
      </w:r>
    </w:p>
    <w:p w14:paraId="58B1163B" w14:textId="77777777" w:rsidR="00702703" w:rsidRPr="00F31693" w:rsidRDefault="009E4F22" w:rsidP="009E4F22">
      <w:r w:rsidRPr="00F31693">
        <w:t xml:space="preserve">An individual is a </w:t>
      </w:r>
      <w:r w:rsidR="001B4851" w:rsidRPr="00F31693">
        <w:t>N</w:t>
      </w:r>
      <w:r w:rsidRPr="00F31693">
        <w:t xml:space="preserve">onresident </w:t>
      </w:r>
      <w:r w:rsidR="001B4851" w:rsidRPr="00F31693">
        <w:t>A</w:t>
      </w:r>
      <w:r w:rsidRPr="00F31693">
        <w:t xml:space="preserve">lien if they are neither a US citizen nor a Resident Alien. Generally, </w:t>
      </w:r>
      <w:r w:rsidR="001B4851" w:rsidRPr="00F31693">
        <w:t>N</w:t>
      </w:r>
      <w:r w:rsidRPr="00F31693">
        <w:t xml:space="preserve">onresident </w:t>
      </w:r>
      <w:r w:rsidR="001B4851" w:rsidRPr="00F31693">
        <w:t>A</w:t>
      </w:r>
      <w:r w:rsidRPr="00F31693">
        <w:t xml:space="preserve">liens do not have tax ID numbers. However, in some cases where the </w:t>
      </w:r>
      <w:r w:rsidR="001B4851" w:rsidRPr="00F31693">
        <w:t>A</w:t>
      </w:r>
      <w:r w:rsidRPr="00F31693">
        <w:t xml:space="preserve">lien files or is named in a US tax return, they are issued an ITIN (they usually </w:t>
      </w:r>
      <w:proofErr w:type="gramStart"/>
      <w:r w:rsidRPr="00F31693">
        <w:t>begins</w:t>
      </w:r>
      <w:proofErr w:type="gramEnd"/>
      <w:r w:rsidRPr="00F31693">
        <w:t xml:space="preserve"> with the # 9 and are issued after 1995).</w:t>
      </w:r>
    </w:p>
    <w:p w14:paraId="1CAEB160" w14:textId="77777777" w:rsidR="00440910" w:rsidRPr="00F31693" w:rsidRDefault="00440910" w:rsidP="00440910">
      <w:r w:rsidRPr="00F31693">
        <w:t>Criteria:</w:t>
      </w:r>
    </w:p>
    <w:p w14:paraId="74D75E7A" w14:textId="77777777" w:rsidR="00440910" w:rsidRPr="00F31693" w:rsidRDefault="00440910" w:rsidP="00440910">
      <w:pPr>
        <w:pStyle w:val="ListParagraph"/>
        <w:numPr>
          <w:ilvl w:val="0"/>
          <w:numId w:val="18"/>
        </w:numPr>
      </w:pPr>
      <w:r w:rsidRPr="00F31693">
        <w:t>The individual has a verifiable NJ mailing address that is their current residence, and</w:t>
      </w:r>
    </w:p>
    <w:p w14:paraId="05506DC7" w14:textId="77777777" w:rsidR="00440910" w:rsidRPr="00F31693" w:rsidRDefault="00440910" w:rsidP="00440910">
      <w:pPr>
        <w:pStyle w:val="ListParagraph"/>
        <w:numPr>
          <w:ilvl w:val="0"/>
          <w:numId w:val="18"/>
        </w:numPr>
      </w:pPr>
      <w:r w:rsidRPr="00F31693">
        <w:t>The individual provides a documented permanent (foreign) address, and</w:t>
      </w:r>
    </w:p>
    <w:p w14:paraId="79901DB7" w14:textId="77777777" w:rsidR="00440910" w:rsidRPr="00F31693" w:rsidRDefault="00440910" w:rsidP="00440910">
      <w:pPr>
        <w:pStyle w:val="ListParagraph"/>
        <w:numPr>
          <w:ilvl w:val="0"/>
          <w:numId w:val="18"/>
        </w:numPr>
      </w:pPr>
      <w:r w:rsidRPr="00F31693">
        <w:t xml:space="preserve">The individual is a student with a current valid student ID from an identifiable school, or is a </w:t>
      </w:r>
      <w:r w:rsidR="001B4851" w:rsidRPr="00F31693">
        <w:t>N</w:t>
      </w:r>
      <w:r w:rsidRPr="00F31693">
        <w:t>on</w:t>
      </w:r>
      <w:r w:rsidR="001B4851" w:rsidRPr="00F31693">
        <w:t>r</w:t>
      </w:r>
      <w:r w:rsidRPr="00F31693">
        <w:t xml:space="preserve">esident </w:t>
      </w:r>
      <w:r w:rsidR="001B4851" w:rsidRPr="00F31693">
        <w:t>A</w:t>
      </w:r>
      <w:r w:rsidRPr="00F31693">
        <w:t xml:space="preserve">lien with </w:t>
      </w:r>
      <w:proofErr w:type="gramStart"/>
      <w:r w:rsidRPr="00F31693">
        <w:t>a</w:t>
      </w:r>
      <w:proofErr w:type="gramEnd"/>
      <w:r w:rsidRPr="00F31693">
        <w:t xml:space="preserve"> ITIN, and</w:t>
      </w:r>
    </w:p>
    <w:p w14:paraId="28D0FF0D" w14:textId="77777777" w:rsidR="00702703" w:rsidRPr="00F31693" w:rsidRDefault="00440910" w:rsidP="00440910">
      <w:pPr>
        <w:pStyle w:val="ListParagraph"/>
        <w:numPr>
          <w:ilvl w:val="0"/>
          <w:numId w:val="18"/>
        </w:numPr>
      </w:pPr>
      <w:r w:rsidRPr="00F31693">
        <w:t>A photocopy of either their current passport or Visa must be attached to our records.</w:t>
      </w:r>
    </w:p>
    <w:p w14:paraId="74D55C14" w14:textId="77777777" w:rsidR="0069392C" w:rsidRPr="007C3873" w:rsidRDefault="0069392C" w:rsidP="0069392C">
      <w:pPr>
        <w:autoSpaceDE w:val="0"/>
        <w:autoSpaceDN w:val="0"/>
        <w:adjustRightInd w:val="0"/>
        <w:spacing w:after="0" w:line="240" w:lineRule="auto"/>
        <w:rPr>
          <w:rFonts w:cs="Arial"/>
          <w:color w:val="000000"/>
        </w:rPr>
      </w:pPr>
      <w:r w:rsidRPr="007C3873">
        <w:rPr>
          <w:rFonts w:cs="Arial"/>
          <w:color w:val="000000"/>
        </w:rPr>
        <w:t xml:space="preserve">Rules for Form W-8: </w:t>
      </w:r>
    </w:p>
    <w:p w14:paraId="383A5A9C" w14:textId="77777777" w:rsidR="009F45E1" w:rsidRPr="007C3873" w:rsidRDefault="009F45E1" w:rsidP="0069392C">
      <w:pPr>
        <w:autoSpaceDE w:val="0"/>
        <w:autoSpaceDN w:val="0"/>
        <w:adjustRightInd w:val="0"/>
        <w:spacing w:after="0" w:line="240" w:lineRule="auto"/>
        <w:rPr>
          <w:rFonts w:cs="Arial"/>
          <w:color w:val="000000"/>
        </w:rPr>
      </w:pPr>
    </w:p>
    <w:p w14:paraId="31B2E984" w14:textId="77777777" w:rsidR="0069392C" w:rsidRPr="007C3873" w:rsidRDefault="0069392C" w:rsidP="0069392C">
      <w:pPr>
        <w:autoSpaceDE w:val="0"/>
        <w:autoSpaceDN w:val="0"/>
        <w:adjustRightInd w:val="0"/>
        <w:spacing w:after="0" w:line="240" w:lineRule="auto"/>
        <w:rPr>
          <w:rFonts w:cs="Arial"/>
          <w:color w:val="000000"/>
        </w:rPr>
      </w:pPr>
      <w:r w:rsidRPr="007C3873">
        <w:rPr>
          <w:rFonts w:cs="Arial"/>
          <w:color w:val="000000"/>
        </w:rPr>
        <w:t xml:space="preserve">1. Valid for only three calendar years – year received and two subsequent years </w:t>
      </w:r>
    </w:p>
    <w:p w14:paraId="37B53470" w14:textId="77777777" w:rsidR="0069392C" w:rsidRPr="007C3873" w:rsidRDefault="0069392C" w:rsidP="0069392C">
      <w:pPr>
        <w:autoSpaceDE w:val="0"/>
        <w:autoSpaceDN w:val="0"/>
        <w:adjustRightInd w:val="0"/>
        <w:spacing w:after="0" w:line="240" w:lineRule="auto"/>
        <w:rPr>
          <w:rFonts w:cs="Arial"/>
          <w:color w:val="000000"/>
        </w:rPr>
      </w:pPr>
      <w:r w:rsidRPr="007C3873">
        <w:rPr>
          <w:rFonts w:cs="Arial"/>
          <w:color w:val="000000"/>
        </w:rPr>
        <w:t xml:space="preserve">2. Recertification must be </w:t>
      </w:r>
      <w:proofErr w:type="spellStart"/>
      <w:r w:rsidRPr="007C3873">
        <w:rPr>
          <w:rFonts w:cs="Arial"/>
          <w:color w:val="000000"/>
        </w:rPr>
        <w:t>preformed</w:t>
      </w:r>
      <w:proofErr w:type="spellEnd"/>
      <w:r w:rsidRPr="007C3873">
        <w:rPr>
          <w:rFonts w:cs="Arial"/>
          <w:color w:val="000000"/>
        </w:rPr>
        <w:t xml:space="preserve"> every </w:t>
      </w:r>
      <w:proofErr w:type="gramStart"/>
      <w:r w:rsidRPr="007C3873">
        <w:rPr>
          <w:rFonts w:cs="Arial"/>
          <w:color w:val="000000"/>
        </w:rPr>
        <w:t>third year</w:t>
      </w:r>
      <w:proofErr w:type="gramEnd"/>
      <w:r w:rsidRPr="007C3873">
        <w:rPr>
          <w:rFonts w:cs="Arial"/>
          <w:color w:val="000000"/>
        </w:rPr>
        <w:t xml:space="preserve"> anniversary and on file by December 31st of that year. </w:t>
      </w:r>
    </w:p>
    <w:p w14:paraId="3DA96B1A" w14:textId="77777777" w:rsidR="0069392C" w:rsidRPr="007C3873" w:rsidRDefault="0069392C" w:rsidP="0069392C">
      <w:pPr>
        <w:autoSpaceDE w:val="0"/>
        <w:autoSpaceDN w:val="0"/>
        <w:adjustRightInd w:val="0"/>
        <w:spacing w:after="0" w:line="240" w:lineRule="auto"/>
        <w:rPr>
          <w:rFonts w:cs="Arial"/>
          <w:color w:val="000000"/>
        </w:rPr>
      </w:pPr>
      <w:r w:rsidRPr="007C3873">
        <w:rPr>
          <w:rFonts w:cs="Arial"/>
          <w:color w:val="000000"/>
        </w:rPr>
        <w:t xml:space="preserve">3. A valid Form W-8 must be on file prior to interest being paid. If not, the interest paid is subject to IRS reporting and back-up withholding. </w:t>
      </w:r>
    </w:p>
    <w:p w14:paraId="277EAA0D" w14:textId="77777777" w:rsidR="0069392C" w:rsidRPr="007C3873" w:rsidRDefault="0069392C" w:rsidP="0069392C">
      <w:pPr>
        <w:autoSpaceDE w:val="0"/>
        <w:autoSpaceDN w:val="0"/>
        <w:adjustRightInd w:val="0"/>
        <w:spacing w:after="0" w:line="240" w:lineRule="auto"/>
        <w:rPr>
          <w:rFonts w:cs="Arial"/>
          <w:color w:val="000000"/>
        </w:rPr>
      </w:pPr>
      <w:r w:rsidRPr="007C3873">
        <w:rPr>
          <w:rFonts w:cs="Arial"/>
          <w:color w:val="000000"/>
        </w:rPr>
        <w:t xml:space="preserve">4. The Form W-8 must be completed in full by the customer </w:t>
      </w:r>
    </w:p>
    <w:p w14:paraId="414E73E3" w14:textId="77777777" w:rsidR="0069392C" w:rsidRPr="007C3873" w:rsidRDefault="0069392C" w:rsidP="0069392C">
      <w:pPr>
        <w:autoSpaceDE w:val="0"/>
        <w:autoSpaceDN w:val="0"/>
        <w:adjustRightInd w:val="0"/>
        <w:spacing w:after="0" w:line="240" w:lineRule="auto"/>
        <w:rPr>
          <w:rFonts w:cs="Arial"/>
          <w:color w:val="000000"/>
        </w:rPr>
      </w:pPr>
      <w:r w:rsidRPr="007C3873">
        <w:rPr>
          <w:rFonts w:cs="Arial"/>
          <w:color w:val="000000"/>
        </w:rPr>
        <w:t xml:space="preserve">a. Customer’s name and permanent (foreign) address </w:t>
      </w:r>
    </w:p>
    <w:p w14:paraId="79C0AA05" w14:textId="77777777" w:rsidR="0069392C" w:rsidRPr="007C3873" w:rsidRDefault="0069392C" w:rsidP="0069392C">
      <w:pPr>
        <w:autoSpaceDE w:val="0"/>
        <w:autoSpaceDN w:val="0"/>
        <w:adjustRightInd w:val="0"/>
        <w:spacing w:after="0" w:line="240" w:lineRule="auto"/>
        <w:rPr>
          <w:rFonts w:cs="Arial"/>
          <w:color w:val="000000"/>
        </w:rPr>
      </w:pPr>
      <w:r w:rsidRPr="007C3873">
        <w:rPr>
          <w:rFonts w:cs="Arial"/>
          <w:color w:val="000000"/>
        </w:rPr>
        <w:t xml:space="preserve">b. Check all appropriate </w:t>
      </w:r>
      <w:proofErr w:type="gramStart"/>
      <w:r w:rsidRPr="007C3873">
        <w:rPr>
          <w:rFonts w:cs="Arial"/>
          <w:color w:val="000000"/>
        </w:rPr>
        <w:t>boxes</w:t>
      </w:r>
      <w:proofErr w:type="gramEnd"/>
      <w:r w:rsidRPr="007C3873">
        <w:rPr>
          <w:rFonts w:cs="Arial"/>
          <w:color w:val="000000"/>
        </w:rPr>
        <w:t xml:space="preserve"> </w:t>
      </w:r>
    </w:p>
    <w:p w14:paraId="6F478ADC" w14:textId="77777777" w:rsidR="0069392C" w:rsidRPr="007C3873" w:rsidRDefault="0069392C" w:rsidP="0069392C">
      <w:pPr>
        <w:autoSpaceDE w:val="0"/>
        <w:autoSpaceDN w:val="0"/>
        <w:adjustRightInd w:val="0"/>
        <w:spacing w:after="0" w:line="240" w:lineRule="auto"/>
        <w:rPr>
          <w:rFonts w:cs="Arial"/>
          <w:color w:val="000000"/>
        </w:rPr>
      </w:pPr>
      <w:r w:rsidRPr="007C3873">
        <w:rPr>
          <w:rFonts w:cs="Arial"/>
          <w:color w:val="000000"/>
        </w:rPr>
        <w:t xml:space="preserve">c. Signed and dated by </w:t>
      </w:r>
      <w:proofErr w:type="gramStart"/>
      <w:r w:rsidRPr="007C3873">
        <w:rPr>
          <w:rFonts w:cs="Arial"/>
          <w:color w:val="000000"/>
        </w:rPr>
        <w:t>customer</w:t>
      </w:r>
      <w:proofErr w:type="gramEnd"/>
      <w:r w:rsidRPr="007C3873">
        <w:rPr>
          <w:rFonts w:cs="Arial"/>
          <w:color w:val="000000"/>
        </w:rPr>
        <w:t xml:space="preserve"> </w:t>
      </w:r>
    </w:p>
    <w:p w14:paraId="26A6FC4E" w14:textId="77777777" w:rsidR="0069392C" w:rsidRPr="007C3873" w:rsidRDefault="0069392C" w:rsidP="0069392C">
      <w:pPr>
        <w:autoSpaceDE w:val="0"/>
        <w:autoSpaceDN w:val="0"/>
        <w:adjustRightInd w:val="0"/>
        <w:spacing w:after="0" w:line="240" w:lineRule="auto"/>
        <w:rPr>
          <w:rFonts w:cs="Arial"/>
          <w:color w:val="000000"/>
        </w:rPr>
      </w:pPr>
    </w:p>
    <w:p w14:paraId="6F2A02D7" w14:textId="77777777" w:rsidR="00B244D0" w:rsidRPr="007C3873" w:rsidRDefault="0069392C" w:rsidP="0069392C">
      <w:pPr>
        <w:autoSpaceDE w:val="0"/>
        <w:autoSpaceDN w:val="0"/>
        <w:adjustRightInd w:val="0"/>
        <w:spacing w:after="0" w:line="240" w:lineRule="auto"/>
        <w:rPr>
          <w:rFonts w:cs="Arial"/>
          <w:color w:val="000000"/>
        </w:rPr>
      </w:pPr>
      <w:r w:rsidRPr="007C3873">
        <w:rPr>
          <w:rFonts w:cs="Arial"/>
          <w:color w:val="000000"/>
        </w:rPr>
        <w:t xml:space="preserve">Despite the decrease in NRA accounts our risk exposure remains </w:t>
      </w:r>
      <w:r w:rsidRPr="007C3873">
        <w:rPr>
          <w:rFonts w:cs="Arial"/>
          <w:b/>
          <w:color w:val="000000"/>
        </w:rPr>
        <w:t>Moderate</w:t>
      </w:r>
      <w:r w:rsidRPr="007C3873">
        <w:rPr>
          <w:rFonts w:cs="Arial"/>
          <w:color w:val="000000"/>
        </w:rPr>
        <w:t>.</w:t>
      </w:r>
    </w:p>
    <w:p w14:paraId="39BBEF63" w14:textId="77777777" w:rsidR="00294187" w:rsidRPr="007C3873" w:rsidRDefault="00294187" w:rsidP="00294187">
      <w:pPr>
        <w:pStyle w:val="NoSpacing"/>
      </w:pPr>
    </w:p>
    <w:p w14:paraId="79DB7769" w14:textId="77777777" w:rsidR="00A95E97" w:rsidRPr="007C3873" w:rsidRDefault="00A95E97" w:rsidP="00A95E97">
      <w:r w:rsidRPr="007C3873">
        <w:rPr>
          <w:b/>
        </w:rPr>
        <w:t>International Transactions</w:t>
      </w:r>
    </w:p>
    <w:p w14:paraId="7380FE2A" w14:textId="77777777" w:rsidR="00A95E97" w:rsidRPr="007C3873" w:rsidRDefault="00A95E97" w:rsidP="00A95E97">
      <w:r w:rsidRPr="007C3873">
        <w:t xml:space="preserve">The Bank considered the nature of fund transfer activity including customers, locations, frequency, and currency amounts. No transfers are performed for non-customers and foreign wire transfers for customers are performed on an incoming basis only. All wire transfers are also entered manually through FSI’s Patriot Officer Wire Transfer Module. This enables staff to ensure all Foreign Wire Transfers received through US correspondent financial institutions are entered as Foreign Wires in the system. Wire transfers are monitored through the Patriot Officer Anti-Money Laundering System.  </w:t>
      </w:r>
    </w:p>
    <w:p w14:paraId="36A37763" w14:textId="77777777" w:rsidR="00A95E97" w:rsidRPr="007C3873" w:rsidRDefault="00A95E97" w:rsidP="00A95E97">
      <w:r w:rsidRPr="007C3873">
        <w:t xml:space="preserve">The Bank performs OFAC / Watch List Checks for all parties named on outgoing wire transfers which would include the receiving financial institution, beneficiary and any other individual or entity named in the wire transfer instructions before the wire transfer is processed. </w:t>
      </w:r>
    </w:p>
    <w:p w14:paraId="3827DA9F" w14:textId="77777777" w:rsidR="00C20437" w:rsidRPr="007C3873" w:rsidRDefault="00C20437" w:rsidP="005407F4">
      <w:pPr>
        <w:rPr>
          <w:b/>
          <w:u w:val="single"/>
        </w:rPr>
      </w:pPr>
    </w:p>
    <w:p w14:paraId="6BFACE71" w14:textId="77777777" w:rsidR="009F103E" w:rsidRPr="00F31693" w:rsidRDefault="00A95E97" w:rsidP="005407F4">
      <w:pPr>
        <w:rPr>
          <w:b/>
          <w:u w:val="single"/>
        </w:rPr>
      </w:pPr>
      <w:r w:rsidRPr="00F31693">
        <w:rPr>
          <w:b/>
          <w:u w:val="single"/>
        </w:rPr>
        <w:lastRenderedPageBreak/>
        <w:t>International Wire Transfer</w:t>
      </w:r>
    </w:p>
    <w:p w14:paraId="0FCEA63C" w14:textId="77777777" w:rsidR="00C20437" w:rsidRPr="00F31693" w:rsidRDefault="005407F4" w:rsidP="00C20437">
      <w:r w:rsidRPr="00F31693">
        <w:t xml:space="preserve">The Wire Transfer Department was transferred from the Accounting Department to the </w:t>
      </w:r>
      <w:proofErr w:type="spellStart"/>
      <w:r w:rsidRPr="00F31693">
        <w:t>eBanking</w:t>
      </w:r>
      <w:proofErr w:type="spellEnd"/>
      <w:r w:rsidRPr="00F31693">
        <w:t xml:space="preserve"> Department during the</w:t>
      </w:r>
      <w:r w:rsidR="001A41A6" w:rsidRPr="00F31693">
        <w:t xml:space="preserve"> previous assessment period</w:t>
      </w:r>
      <w:r w:rsidRPr="00F31693">
        <w:t xml:space="preserve"> with its personnel.</w:t>
      </w:r>
      <w:r w:rsidR="001A41A6" w:rsidRPr="00F31693">
        <w:t xml:space="preserve"> </w:t>
      </w:r>
      <w:r w:rsidR="00A95E97" w:rsidRPr="00F31693">
        <w:t xml:space="preserve">Foreign wires are monitored separately on a quarterly basis. Each review encompasses wire transfers for each customer for the previous </w:t>
      </w:r>
      <w:proofErr w:type="gramStart"/>
      <w:r w:rsidR="00A95E97" w:rsidRPr="00F31693">
        <w:t>6 month</w:t>
      </w:r>
      <w:proofErr w:type="gramEnd"/>
      <w:r w:rsidR="00A95E97" w:rsidRPr="00F31693">
        <w:t xml:space="preserve"> period. All </w:t>
      </w:r>
      <w:proofErr w:type="gramStart"/>
      <w:r w:rsidR="00A95E97" w:rsidRPr="00F31693">
        <w:t>customer</w:t>
      </w:r>
      <w:proofErr w:type="gramEnd"/>
      <w:r w:rsidR="00A95E97" w:rsidRPr="00F31693">
        <w:t xml:space="preserve"> domestic and foreign wire transfers are monitored in the same manner.</w:t>
      </w:r>
    </w:p>
    <w:p w14:paraId="05CC15E8" w14:textId="77777777" w:rsidR="00881D34" w:rsidRPr="00F31693" w:rsidRDefault="00881D34" w:rsidP="00881D34">
      <w:r w:rsidRPr="00F31693">
        <w:t>For fiscal year 201</w:t>
      </w:r>
      <w:r w:rsidR="00C20437" w:rsidRPr="00F31693">
        <w:t>6</w:t>
      </w:r>
      <w:r w:rsidRPr="00F31693">
        <w:t xml:space="preserve"> the Bank processed </w:t>
      </w:r>
      <w:r w:rsidR="00C20437" w:rsidRPr="00F31693">
        <w:t>175</w:t>
      </w:r>
      <w:r w:rsidRPr="00F31693">
        <w:t xml:space="preserve"> international wire transfers</w:t>
      </w:r>
      <w:r w:rsidR="00145EFB" w:rsidRPr="00F31693">
        <w:t xml:space="preserve"> totaling $</w:t>
      </w:r>
      <w:r w:rsidR="00C20437" w:rsidRPr="00F31693">
        <w:t>1,305,571</w:t>
      </w:r>
      <w:r w:rsidRPr="00F31693">
        <w:t xml:space="preserve"> for customers</w:t>
      </w:r>
      <w:r w:rsidR="00145EFB" w:rsidRPr="00F31693">
        <w:t xml:space="preserve">. </w:t>
      </w:r>
      <w:proofErr w:type="gramStart"/>
      <w:r w:rsidR="00145EFB" w:rsidRPr="00F31693">
        <w:t>All of</w:t>
      </w:r>
      <w:proofErr w:type="gramEnd"/>
      <w:r w:rsidR="00145EFB" w:rsidRPr="00F31693">
        <w:t xml:space="preserve"> the wire transfers were </w:t>
      </w:r>
      <w:r w:rsidR="00D6446F" w:rsidRPr="00F31693">
        <w:t>incoming</w:t>
      </w:r>
      <w:r w:rsidRPr="00F31693">
        <w:t xml:space="preserve">. </w:t>
      </w:r>
    </w:p>
    <w:tbl>
      <w:tblPr>
        <w:tblW w:w="8700" w:type="dxa"/>
        <w:tblInd w:w="95" w:type="dxa"/>
        <w:tblLook w:val="04A0" w:firstRow="1" w:lastRow="0" w:firstColumn="1" w:lastColumn="0" w:noHBand="0" w:noVBand="1"/>
      </w:tblPr>
      <w:tblGrid>
        <w:gridCol w:w="3020"/>
        <w:gridCol w:w="1820"/>
        <w:gridCol w:w="1880"/>
        <w:gridCol w:w="1980"/>
      </w:tblGrid>
      <w:tr w:rsidR="00F909F5" w:rsidRPr="00F31693" w14:paraId="3C9D6AC5" w14:textId="77777777" w:rsidTr="00F909F5">
        <w:trPr>
          <w:trHeight w:val="255"/>
        </w:trPr>
        <w:tc>
          <w:tcPr>
            <w:tcW w:w="3020" w:type="dxa"/>
            <w:tcBorders>
              <w:top w:val="single" w:sz="4" w:space="0" w:color="auto"/>
              <w:left w:val="single" w:sz="4" w:space="0" w:color="auto"/>
              <w:bottom w:val="single" w:sz="4" w:space="0" w:color="auto"/>
              <w:right w:val="single" w:sz="4" w:space="0" w:color="auto"/>
            </w:tcBorders>
            <w:shd w:val="clear" w:color="auto" w:fill="auto"/>
            <w:noWrap/>
            <w:hideMark/>
          </w:tcPr>
          <w:p w14:paraId="01710B0D" w14:textId="77777777" w:rsidR="00F909F5" w:rsidRPr="00F31693" w:rsidRDefault="00F909F5" w:rsidP="00C20437">
            <w:pPr>
              <w:spacing w:after="0" w:line="240" w:lineRule="auto"/>
              <w:rPr>
                <w:rFonts w:eastAsia="Times New Roman" w:cs="Times New Roman"/>
                <w:b/>
                <w:bCs/>
                <w:color w:val="000000"/>
              </w:rPr>
            </w:pPr>
            <w:r w:rsidRPr="00F31693">
              <w:rPr>
                <w:rFonts w:eastAsia="Times New Roman" w:cs="Times New Roman"/>
                <w:b/>
                <w:bCs/>
                <w:color w:val="000000"/>
              </w:rPr>
              <w:t>FY</w:t>
            </w:r>
            <w:r w:rsidR="0059409A">
              <w:rPr>
                <w:rFonts w:eastAsia="Times New Roman" w:cs="Times New Roman"/>
                <w:b/>
                <w:bCs/>
                <w:color w:val="000000"/>
              </w:rPr>
              <w:t>E</w:t>
            </w:r>
            <w:r w:rsidRPr="00F31693">
              <w:rPr>
                <w:rFonts w:eastAsia="Times New Roman" w:cs="Times New Roman"/>
                <w:b/>
                <w:bCs/>
                <w:color w:val="000000"/>
              </w:rPr>
              <w:t xml:space="preserve"> 201</w:t>
            </w:r>
            <w:r w:rsidR="00C20437" w:rsidRPr="00F31693">
              <w:rPr>
                <w:rFonts w:eastAsia="Times New Roman" w:cs="Times New Roman"/>
                <w:b/>
                <w:bCs/>
                <w:color w:val="000000"/>
              </w:rPr>
              <w:t>6</w:t>
            </w:r>
          </w:p>
        </w:tc>
        <w:tc>
          <w:tcPr>
            <w:tcW w:w="1820" w:type="dxa"/>
            <w:tcBorders>
              <w:top w:val="single" w:sz="4" w:space="0" w:color="auto"/>
              <w:left w:val="nil"/>
              <w:bottom w:val="single" w:sz="4" w:space="0" w:color="auto"/>
              <w:right w:val="single" w:sz="4" w:space="0" w:color="auto"/>
            </w:tcBorders>
            <w:shd w:val="clear" w:color="auto" w:fill="auto"/>
            <w:noWrap/>
            <w:hideMark/>
          </w:tcPr>
          <w:p w14:paraId="68C193D0" w14:textId="77777777" w:rsidR="00F909F5" w:rsidRPr="00F31693" w:rsidRDefault="00F909F5" w:rsidP="00F909F5">
            <w:pPr>
              <w:spacing w:after="0" w:line="240" w:lineRule="auto"/>
              <w:rPr>
                <w:rFonts w:eastAsia="Times New Roman" w:cs="Times New Roman"/>
                <w:color w:val="000000"/>
              </w:rPr>
            </w:pPr>
            <w:r w:rsidRPr="00F31693">
              <w:rPr>
                <w:rFonts w:eastAsia="Times New Roman" w:cs="Times New Roman"/>
                <w:color w:val="000000"/>
              </w:rPr>
              <w:t> </w:t>
            </w:r>
          </w:p>
        </w:tc>
        <w:tc>
          <w:tcPr>
            <w:tcW w:w="1880" w:type="dxa"/>
            <w:tcBorders>
              <w:top w:val="single" w:sz="4" w:space="0" w:color="auto"/>
              <w:left w:val="nil"/>
              <w:bottom w:val="single" w:sz="4" w:space="0" w:color="auto"/>
              <w:right w:val="single" w:sz="4" w:space="0" w:color="auto"/>
            </w:tcBorders>
            <w:shd w:val="clear" w:color="auto" w:fill="auto"/>
            <w:noWrap/>
            <w:hideMark/>
          </w:tcPr>
          <w:p w14:paraId="65508534" w14:textId="77777777" w:rsidR="00F909F5" w:rsidRPr="00F31693" w:rsidRDefault="00F909F5" w:rsidP="00F909F5">
            <w:pPr>
              <w:spacing w:after="0" w:line="240" w:lineRule="auto"/>
              <w:rPr>
                <w:rFonts w:eastAsia="Times New Roman" w:cs="Times New Roman"/>
                <w:color w:val="000000"/>
              </w:rPr>
            </w:pPr>
            <w:r w:rsidRPr="00F31693">
              <w:rPr>
                <w:rFonts w:eastAsia="Times New Roman" w:cs="Times New Roman"/>
                <w:color w:val="000000"/>
              </w:rPr>
              <w:t> </w:t>
            </w:r>
          </w:p>
        </w:tc>
        <w:tc>
          <w:tcPr>
            <w:tcW w:w="1980" w:type="dxa"/>
            <w:tcBorders>
              <w:top w:val="single" w:sz="4" w:space="0" w:color="auto"/>
              <w:left w:val="nil"/>
              <w:bottom w:val="single" w:sz="4" w:space="0" w:color="auto"/>
              <w:right w:val="single" w:sz="4" w:space="0" w:color="auto"/>
            </w:tcBorders>
            <w:shd w:val="clear" w:color="auto" w:fill="auto"/>
            <w:noWrap/>
            <w:hideMark/>
          </w:tcPr>
          <w:p w14:paraId="5D12FDBF" w14:textId="77777777" w:rsidR="00F909F5" w:rsidRPr="00F31693" w:rsidRDefault="00F909F5" w:rsidP="00F909F5">
            <w:pPr>
              <w:spacing w:after="0" w:line="240" w:lineRule="auto"/>
              <w:rPr>
                <w:rFonts w:eastAsia="Times New Roman" w:cs="Times New Roman"/>
                <w:color w:val="000000"/>
              </w:rPr>
            </w:pPr>
            <w:r w:rsidRPr="00F31693">
              <w:rPr>
                <w:rFonts w:eastAsia="Times New Roman" w:cs="Times New Roman"/>
                <w:color w:val="000000"/>
              </w:rPr>
              <w:t> </w:t>
            </w:r>
          </w:p>
        </w:tc>
      </w:tr>
      <w:tr w:rsidR="00F909F5" w:rsidRPr="00F31693" w14:paraId="386EB1ED"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7E15CDFF" w14:textId="77777777" w:rsidR="00F909F5" w:rsidRPr="00F31693" w:rsidRDefault="00F909F5" w:rsidP="00F909F5">
            <w:pPr>
              <w:spacing w:after="0" w:line="240" w:lineRule="auto"/>
              <w:rPr>
                <w:rFonts w:eastAsia="Times New Roman" w:cs="Times New Roman"/>
                <w:b/>
                <w:bCs/>
                <w:color w:val="000000"/>
              </w:rPr>
            </w:pPr>
            <w:r w:rsidRPr="00F31693">
              <w:rPr>
                <w:rFonts w:eastAsia="Times New Roman" w:cs="Times New Roman"/>
                <w:b/>
                <w:bCs/>
                <w:color w:val="000000"/>
              </w:rPr>
              <w:t>COUNTRY</w:t>
            </w:r>
          </w:p>
        </w:tc>
        <w:tc>
          <w:tcPr>
            <w:tcW w:w="1820" w:type="dxa"/>
            <w:tcBorders>
              <w:top w:val="nil"/>
              <w:left w:val="nil"/>
              <w:bottom w:val="single" w:sz="4" w:space="0" w:color="auto"/>
              <w:right w:val="single" w:sz="4" w:space="0" w:color="auto"/>
            </w:tcBorders>
            <w:shd w:val="clear" w:color="auto" w:fill="auto"/>
            <w:noWrap/>
            <w:hideMark/>
          </w:tcPr>
          <w:p w14:paraId="258CA5F3" w14:textId="77777777" w:rsidR="00F909F5" w:rsidRPr="00F31693" w:rsidRDefault="00F909F5" w:rsidP="00F909F5">
            <w:pPr>
              <w:spacing w:after="0" w:line="240" w:lineRule="auto"/>
              <w:rPr>
                <w:rFonts w:eastAsia="Times New Roman" w:cs="Times New Roman"/>
                <w:color w:val="000000"/>
              </w:rPr>
            </w:pPr>
            <w:r w:rsidRPr="00F31693">
              <w:rPr>
                <w:rFonts w:eastAsia="Times New Roman" w:cs="Times New Roman"/>
                <w:color w:val="000000"/>
              </w:rPr>
              <w:t>INCOMING COUNT</w:t>
            </w:r>
          </w:p>
        </w:tc>
        <w:tc>
          <w:tcPr>
            <w:tcW w:w="1880" w:type="dxa"/>
            <w:tcBorders>
              <w:top w:val="nil"/>
              <w:left w:val="nil"/>
              <w:bottom w:val="single" w:sz="4" w:space="0" w:color="auto"/>
              <w:right w:val="single" w:sz="4" w:space="0" w:color="auto"/>
            </w:tcBorders>
            <w:shd w:val="clear" w:color="auto" w:fill="auto"/>
            <w:noWrap/>
            <w:hideMark/>
          </w:tcPr>
          <w:p w14:paraId="1FC72DED" w14:textId="77777777" w:rsidR="00F909F5" w:rsidRPr="00F31693" w:rsidRDefault="00F909F5" w:rsidP="00F909F5">
            <w:pPr>
              <w:spacing w:after="0" w:line="240" w:lineRule="auto"/>
              <w:rPr>
                <w:rFonts w:eastAsia="Times New Roman" w:cs="Times New Roman"/>
                <w:color w:val="000000"/>
              </w:rPr>
            </w:pPr>
            <w:r w:rsidRPr="00F31693">
              <w:rPr>
                <w:rFonts w:eastAsia="Times New Roman" w:cs="Times New Roman"/>
                <w:color w:val="000000"/>
              </w:rPr>
              <w:t>OUTGOING COUNT</w:t>
            </w:r>
          </w:p>
        </w:tc>
        <w:tc>
          <w:tcPr>
            <w:tcW w:w="1980" w:type="dxa"/>
            <w:tcBorders>
              <w:top w:val="nil"/>
              <w:left w:val="nil"/>
              <w:bottom w:val="single" w:sz="4" w:space="0" w:color="auto"/>
              <w:right w:val="single" w:sz="4" w:space="0" w:color="auto"/>
            </w:tcBorders>
            <w:shd w:val="clear" w:color="auto" w:fill="auto"/>
            <w:noWrap/>
            <w:hideMark/>
          </w:tcPr>
          <w:p w14:paraId="37399DFD" w14:textId="77777777" w:rsidR="00F909F5" w:rsidRPr="00F31693" w:rsidRDefault="00F909F5" w:rsidP="00F909F5">
            <w:pPr>
              <w:spacing w:after="0" w:line="240" w:lineRule="auto"/>
              <w:rPr>
                <w:rFonts w:eastAsia="Times New Roman" w:cs="Times New Roman"/>
                <w:color w:val="000000"/>
              </w:rPr>
            </w:pPr>
            <w:r w:rsidRPr="00F31693">
              <w:rPr>
                <w:rFonts w:eastAsia="Times New Roman" w:cs="Times New Roman"/>
                <w:color w:val="000000"/>
              </w:rPr>
              <w:t>INCOMING AMOUNT</w:t>
            </w:r>
          </w:p>
        </w:tc>
      </w:tr>
      <w:tr w:rsidR="00F909F5" w:rsidRPr="00F31693" w14:paraId="25CAF240"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09ACA1B9" w14:textId="77777777" w:rsidR="00C20437"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ANGUILLA</w:t>
            </w:r>
          </w:p>
        </w:tc>
        <w:tc>
          <w:tcPr>
            <w:tcW w:w="1820" w:type="dxa"/>
            <w:tcBorders>
              <w:top w:val="nil"/>
              <w:left w:val="nil"/>
              <w:bottom w:val="single" w:sz="4" w:space="0" w:color="auto"/>
              <w:right w:val="single" w:sz="4" w:space="0" w:color="auto"/>
            </w:tcBorders>
            <w:shd w:val="clear" w:color="auto" w:fill="auto"/>
            <w:noWrap/>
            <w:hideMark/>
          </w:tcPr>
          <w:p w14:paraId="3EC4FAC4"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1</w:t>
            </w:r>
          </w:p>
        </w:tc>
        <w:tc>
          <w:tcPr>
            <w:tcW w:w="1880" w:type="dxa"/>
            <w:tcBorders>
              <w:top w:val="nil"/>
              <w:left w:val="nil"/>
              <w:bottom w:val="single" w:sz="4" w:space="0" w:color="auto"/>
              <w:right w:val="single" w:sz="4" w:space="0" w:color="auto"/>
            </w:tcBorders>
            <w:shd w:val="clear" w:color="auto" w:fill="auto"/>
            <w:noWrap/>
            <w:hideMark/>
          </w:tcPr>
          <w:p w14:paraId="25D512C3"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7A3D8958" w14:textId="77777777" w:rsidR="00F909F5" w:rsidRPr="00F31693" w:rsidRDefault="00A65F13" w:rsidP="000C3642">
            <w:pPr>
              <w:spacing w:after="0" w:line="240" w:lineRule="auto"/>
              <w:jc w:val="center"/>
              <w:rPr>
                <w:rFonts w:eastAsia="Times New Roman" w:cs="Times New Roman"/>
                <w:color w:val="000000"/>
              </w:rPr>
            </w:pPr>
            <w:r w:rsidRPr="00F31693">
              <w:rPr>
                <w:rFonts w:eastAsia="Times New Roman" w:cs="Times New Roman"/>
                <w:color w:val="000000"/>
              </w:rPr>
              <w:t>$1,298.00</w:t>
            </w:r>
          </w:p>
        </w:tc>
      </w:tr>
      <w:tr w:rsidR="00F909F5" w:rsidRPr="00F31693" w14:paraId="0B2DE12C"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75BC4FB2"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AUSTRALIA</w:t>
            </w:r>
          </w:p>
        </w:tc>
        <w:tc>
          <w:tcPr>
            <w:tcW w:w="1820" w:type="dxa"/>
            <w:tcBorders>
              <w:top w:val="nil"/>
              <w:left w:val="nil"/>
              <w:bottom w:val="single" w:sz="4" w:space="0" w:color="auto"/>
              <w:right w:val="single" w:sz="4" w:space="0" w:color="auto"/>
            </w:tcBorders>
            <w:shd w:val="clear" w:color="auto" w:fill="auto"/>
            <w:noWrap/>
            <w:hideMark/>
          </w:tcPr>
          <w:p w14:paraId="544A66AF" w14:textId="77777777" w:rsidR="00F909F5" w:rsidRPr="00F31693" w:rsidRDefault="00A65F13" w:rsidP="000C3642">
            <w:pPr>
              <w:spacing w:after="0" w:line="240" w:lineRule="auto"/>
              <w:jc w:val="center"/>
              <w:rPr>
                <w:rFonts w:eastAsia="Times New Roman" w:cs="Times New Roman"/>
                <w:color w:val="000000"/>
              </w:rPr>
            </w:pPr>
            <w:r w:rsidRPr="00F31693">
              <w:rPr>
                <w:rFonts w:eastAsia="Times New Roman" w:cs="Times New Roman"/>
                <w:color w:val="000000"/>
              </w:rPr>
              <w:t>5</w:t>
            </w:r>
          </w:p>
        </w:tc>
        <w:tc>
          <w:tcPr>
            <w:tcW w:w="1880" w:type="dxa"/>
            <w:tcBorders>
              <w:top w:val="nil"/>
              <w:left w:val="nil"/>
              <w:bottom w:val="single" w:sz="4" w:space="0" w:color="auto"/>
              <w:right w:val="single" w:sz="4" w:space="0" w:color="auto"/>
            </w:tcBorders>
            <w:shd w:val="clear" w:color="auto" w:fill="auto"/>
            <w:noWrap/>
            <w:hideMark/>
          </w:tcPr>
          <w:p w14:paraId="45522DB4"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7CB01BF8" w14:textId="77777777" w:rsidR="00F909F5" w:rsidRPr="00F31693" w:rsidRDefault="00A65F13" w:rsidP="000C3642">
            <w:pPr>
              <w:spacing w:after="0" w:line="240" w:lineRule="auto"/>
              <w:jc w:val="center"/>
              <w:rPr>
                <w:rFonts w:eastAsia="Times New Roman" w:cs="Times New Roman"/>
                <w:color w:val="000000"/>
              </w:rPr>
            </w:pPr>
            <w:r w:rsidRPr="00F31693">
              <w:rPr>
                <w:rFonts w:eastAsia="Times New Roman" w:cs="Times New Roman"/>
                <w:color w:val="000000"/>
              </w:rPr>
              <w:t>$8,220.38</w:t>
            </w:r>
          </w:p>
        </w:tc>
      </w:tr>
      <w:tr w:rsidR="00F909F5" w:rsidRPr="00F31693" w14:paraId="2DA83FDC"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7A2413FF"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BARBADOS</w:t>
            </w:r>
          </w:p>
        </w:tc>
        <w:tc>
          <w:tcPr>
            <w:tcW w:w="1820" w:type="dxa"/>
            <w:tcBorders>
              <w:top w:val="nil"/>
              <w:left w:val="nil"/>
              <w:bottom w:val="single" w:sz="4" w:space="0" w:color="auto"/>
              <w:right w:val="single" w:sz="4" w:space="0" w:color="auto"/>
            </w:tcBorders>
            <w:shd w:val="clear" w:color="auto" w:fill="auto"/>
            <w:noWrap/>
            <w:hideMark/>
          </w:tcPr>
          <w:p w14:paraId="5520149F" w14:textId="77777777" w:rsidR="00F909F5" w:rsidRPr="00F31693" w:rsidRDefault="00A65F13" w:rsidP="000C3642">
            <w:pPr>
              <w:spacing w:after="0" w:line="240" w:lineRule="auto"/>
              <w:jc w:val="center"/>
              <w:rPr>
                <w:rFonts w:eastAsia="Times New Roman" w:cs="Times New Roman"/>
                <w:color w:val="000000"/>
              </w:rPr>
            </w:pPr>
            <w:r w:rsidRPr="00F31693">
              <w:rPr>
                <w:rFonts w:eastAsia="Times New Roman" w:cs="Times New Roman"/>
                <w:color w:val="000000"/>
              </w:rPr>
              <w:t>3</w:t>
            </w:r>
          </w:p>
        </w:tc>
        <w:tc>
          <w:tcPr>
            <w:tcW w:w="1880" w:type="dxa"/>
            <w:tcBorders>
              <w:top w:val="nil"/>
              <w:left w:val="nil"/>
              <w:bottom w:val="single" w:sz="4" w:space="0" w:color="auto"/>
              <w:right w:val="single" w:sz="4" w:space="0" w:color="auto"/>
            </w:tcBorders>
            <w:shd w:val="clear" w:color="auto" w:fill="auto"/>
            <w:noWrap/>
            <w:hideMark/>
          </w:tcPr>
          <w:p w14:paraId="4AC402AF"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5CA7D521"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8,438.00</w:t>
            </w:r>
          </w:p>
        </w:tc>
      </w:tr>
      <w:tr w:rsidR="00F909F5" w:rsidRPr="00F31693" w14:paraId="44878782"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2AA6B1D7"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CANADA</w:t>
            </w:r>
          </w:p>
        </w:tc>
        <w:tc>
          <w:tcPr>
            <w:tcW w:w="1820" w:type="dxa"/>
            <w:tcBorders>
              <w:top w:val="nil"/>
              <w:left w:val="nil"/>
              <w:bottom w:val="single" w:sz="4" w:space="0" w:color="auto"/>
              <w:right w:val="single" w:sz="4" w:space="0" w:color="auto"/>
            </w:tcBorders>
            <w:shd w:val="clear" w:color="auto" w:fill="auto"/>
            <w:noWrap/>
            <w:hideMark/>
          </w:tcPr>
          <w:p w14:paraId="5801538E"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6</w:t>
            </w:r>
          </w:p>
        </w:tc>
        <w:tc>
          <w:tcPr>
            <w:tcW w:w="1880" w:type="dxa"/>
            <w:tcBorders>
              <w:top w:val="nil"/>
              <w:left w:val="nil"/>
              <w:bottom w:val="single" w:sz="4" w:space="0" w:color="auto"/>
              <w:right w:val="single" w:sz="4" w:space="0" w:color="auto"/>
            </w:tcBorders>
            <w:shd w:val="clear" w:color="auto" w:fill="auto"/>
            <w:noWrap/>
            <w:hideMark/>
          </w:tcPr>
          <w:p w14:paraId="45EF4F3E"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08BFE381"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117,310.99</w:t>
            </w:r>
          </w:p>
        </w:tc>
      </w:tr>
      <w:tr w:rsidR="00F909F5" w:rsidRPr="00F31693" w14:paraId="47FD3959"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1E66502F"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CHINA</w:t>
            </w:r>
          </w:p>
        </w:tc>
        <w:tc>
          <w:tcPr>
            <w:tcW w:w="1820" w:type="dxa"/>
            <w:tcBorders>
              <w:top w:val="nil"/>
              <w:left w:val="nil"/>
              <w:bottom w:val="single" w:sz="4" w:space="0" w:color="auto"/>
              <w:right w:val="single" w:sz="4" w:space="0" w:color="auto"/>
            </w:tcBorders>
            <w:shd w:val="clear" w:color="auto" w:fill="auto"/>
            <w:noWrap/>
            <w:hideMark/>
          </w:tcPr>
          <w:p w14:paraId="561ED944"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12</w:t>
            </w:r>
          </w:p>
        </w:tc>
        <w:tc>
          <w:tcPr>
            <w:tcW w:w="1880" w:type="dxa"/>
            <w:tcBorders>
              <w:top w:val="nil"/>
              <w:left w:val="nil"/>
              <w:bottom w:val="single" w:sz="4" w:space="0" w:color="auto"/>
              <w:right w:val="single" w:sz="4" w:space="0" w:color="auto"/>
            </w:tcBorders>
            <w:shd w:val="clear" w:color="auto" w:fill="auto"/>
            <w:noWrap/>
            <w:hideMark/>
          </w:tcPr>
          <w:p w14:paraId="7881D666"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280AF8F3"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83,107.42</w:t>
            </w:r>
          </w:p>
        </w:tc>
      </w:tr>
      <w:tr w:rsidR="00F909F5" w:rsidRPr="00F31693" w14:paraId="139B0031"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588DF894" w14:textId="77777777" w:rsidR="00F909F5" w:rsidRPr="00F31693" w:rsidRDefault="00C20437" w:rsidP="005C1813">
            <w:pPr>
              <w:spacing w:after="0" w:line="240" w:lineRule="auto"/>
              <w:rPr>
                <w:rFonts w:eastAsia="Times New Roman" w:cs="Times New Roman"/>
                <w:b/>
                <w:bCs/>
                <w:color w:val="000000"/>
              </w:rPr>
            </w:pPr>
            <w:r w:rsidRPr="00F31693">
              <w:rPr>
                <w:rFonts w:eastAsia="Times New Roman" w:cs="Times New Roman"/>
                <w:b/>
                <w:bCs/>
                <w:color w:val="000000"/>
              </w:rPr>
              <w:t>COL</w:t>
            </w:r>
            <w:r w:rsidR="005C1813" w:rsidRPr="00F31693">
              <w:rPr>
                <w:rFonts w:eastAsia="Times New Roman" w:cs="Times New Roman"/>
                <w:b/>
                <w:bCs/>
                <w:color w:val="000000"/>
              </w:rPr>
              <w:t>O</w:t>
            </w:r>
            <w:r w:rsidRPr="00F31693">
              <w:rPr>
                <w:rFonts w:eastAsia="Times New Roman" w:cs="Times New Roman"/>
                <w:b/>
                <w:bCs/>
                <w:color w:val="000000"/>
              </w:rPr>
              <w:t>MBIA</w:t>
            </w:r>
          </w:p>
        </w:tc>
        <w:tc>
          <w:tcPr>
            <w:tcW w:w="1820" w:type="dxa"/>
            <w:tcBorders>
              <w:top w:val="nil"/>
              <w:left w:val="nil"/>
              <w:bottom w:val="single" w:sz="4" w:space="0" w:color="auto"/>
              <w:right w:val="single" w:sz="4" w:space="0" w:color="auto"/>
            </w:tcBorders>
            <w:shd w:val="clear" w:color="auto" w:fill="auto"/>
            <w:noWrap/>
            <w:hideMark/>
          </w:tcPr>
          <w:p w14:paraId="59861929"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6</w:t>
            </w:r>
          </w:p>
        </w:tc>
        <w:tc>
          <w:tcPr>
            <w:tcW w:w="1880" w:type="dxa"/>
            <w:tcBorders>
              <w:top w:val="nil"/>
              <w:left w:val="nil"/>
              <w:bottom w:val="single" w:sz="4" w:space="0" w:color="auto"/>
              <w:right w:val="single" w:sz="4" w:space="0" w:color="auto"/>
            </w:tcBorders>
            <w:shd w:val="clear" w:color="auto" w:fill="auto"/>
            <w:noWrap/>
            <w:hideMark/>
          </w:tcPr>
          <w:p w14:paraId="08801A1B"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357639FA"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4,562.82</w:t>
            </w:r>
          </w:p>
        </w:tc>
      </w:tr>
      <w:tr w:rsidR="00F909F5" w:rsidRPr="00F31693" w14:paraId="78BD3A70"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3C631F82"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COSTA RICA</w:t>
            </w:r>
          </w:p>
        </w:tc>
        <w:tc>
          <w:tcPr>
            <w:tcW w:w="1820" w:type="dxa"/>
            <w:tcBorders>
              <w:top w:val="nil"/>
              <w:left w:val="nil"/>
              <w:bottom w:val="single" w:sz="4" w:space="0" w:color="auto"/>
              <w:right w:val="single" w:sz="4" w:space="0" w:color="auto"/>
            </w:tcBorders>
            <w:shd w:val="clear" w:color="auto" w:fill="auto"/>
            <w:noWrap/>
            <w:hideMark/>
          </w:tcPr>
          <w:p w14:paraId="41BC918C"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4</w:t>
            </w:r>
          </w:p>
        </w:tc>
        <w:tc>
          <w:tcPr>
            <w:tcW w:w="1880" w:type="dxa"/>
            <w:tcBorders>
              <w:top w:val="nil"/>
              <w:left w:val="nil"/>
              <w:bottom w:val="single" w:sz="4" w:space="0" w:color="auto"/>
              <w:right w:val="single" w:sz="4" w:space="0" w:color="auto"/>
            </w:tcBorders>
            <w:shd w:val="clear" w:color="auto" w:fill="auto"/>
            <w:noWrap/>
            <w:hideMark/>
          </w:tcPr>
          <w:p w14:paraId="7A288119"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7EED82BB"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2,000.00</w:t>
            </w:r>
          </w:p>
        </w:tc>
      </w:tr>
      <w:tr w:rsidR="00F909F5" w:rsidRPr="00F31693" w14:paraId="26055418"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0E77DA4B"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CROATIA</w:t>
            </w:r>
          </w:p>
        </w:tc>
        <w:tc>
          <w:tcPr>
            <w:tcW w:w="1820" w:type="dxa"/>
            <w:tcBorders>
              <w:top w:val="nil"/>
              <w:left w:val="nil"/>
              <w:bottom w:val="single" w:sz="4" w:space="0" w:color="auto"/>
              <w:right w:val="single" w:sz="4" w:space="0" w:color="auto"/>
            </w:tcBorders>
            <w:shd w:val="clear" w:color="auto" w:fill="auto"/>
            <w:noWrap/>
            <w:hideMark/>
          </w:tcPr>
          <w:p w14:paraId="26FE2F9D"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10</w:t>
            </w:r>
          </w:p>
        </w:tc>
        <w:tc>
          <w:tcPr>
            <w:tcW w:w="1880" w:type="dxa"/>
            <w:tcBorders>
              <w:top w:val="nil"/>
              <w:left w:val="nil"/>
              <w:bottom w:val="single" w:sz="4" w:space="0" w:color="auto"/>
              <w:right w:val="single" w:sz="4" w:space="0" w:color="auto"/>
            </w:tcBorders>
            <w:shd w:val="clear" w:color="auto" w:fill="auto"/>
            <w:noWrap/>
            <w:hideMark/>
          </w:tcPr>
          <w:p w14:paraId="00754EA4"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2F568A53"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9,868.54</w:t>
            </w:r>
          </w:p>
        </w:tc>
      </w:tr>
      <w:tr w:rsidR="00F909F5" w:rsidRPr="00F31693" w14:paraId="7B340631"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3577D5B4"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DOMINICAN REPUBLIC</w:t>
            </w:r>
          </w:p>
        </w:tc>
        <w:tc>
          <w:tcPr>
            <w:tcW w:w="1820" w:type="dxa"/>
            <w:tcBorders>
              <w:top w:val="nil"/>
              <w:left w:val="nil"/>
              <w:bottom w:val="single" w:sz="4" w:space="0" w:color="auto"/>
              <w:right w:val="single" w:sz="4" w:space="0" w:color="auto"/>
            </w:tcBorders>
            <w:shd w:val="clear" w:color="auto" w:fill="auto"/>
            <w:noWrap/>
            <w:hideMark/>
          </w:tcPr>
          <w:p w14:paraId="514E2654"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3</w:t>
            </w:r>
          </w:p>
        </w:tc>
        <w:tc>
          <w:tcPr>
            <w:tcW w:w="1880" w:type="dxa"/>
            <w:tcBorders>
              <w:top w:val="nil"/>
              <w:left w:val="nil"/>
              <w:bottom w:val="single" w:sz="4" w:space="0" w:color="auto"/>
              <w:right w:val="single" w:sz="4" w:space="0" w:color="auto"/>
            </w:tcBorders>
            <w:shd w:val="clear" w:color="auto" w:fill="auto"/>
            <w:noWrap/>
            <w:hideMark/>
          </w:tcPr>
          <w:p w14:paraId="3E21550F"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1FC8F38C"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16,100.00</w:t>
            </w:r>
          </w:p>
        </w:tc>
      </w:tr>
      <w:tr w:rsidR="00F909F5" w:rsidRPr="00F31693" w14:paraId="50425BD9"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15DE78D2"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ECUADOR</w:t>
            </w:r>
          </w:p>
        </w:tc>
        <w:tc>
          <w:tcPr>
            <w:tcW w:w="1820" w:type="dxa"/>
            <w:tcBorders>
              <w:top w:val="nil"/>
              <w:left w:val="nil"/>
              <w:bottom w:val="single" w:sz="4" w:space="0" w:color="auto"/>
              <w:right w:val="single" w:sz="4" w:space="0" w:color="auto"/>
            </w:tcBorders>
            <w:shd w:val="clear" w:color="auto" w:fill="auto"/>
            <w:noWrap/>
            <w:hideMark/>
          </w:tcPr>
          <w:p w14:paraId="12CDBCE0"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1</w:t>
            </w:r>
          </w:p>
        </w:tc>
        <w:tc>
          <w:tcPr>
            <w:tcW w:w="1880" w:type="dxa"/>
            <w:tcBorders>
              <w:top w:val="nil"/>
              <w:left w:val="nil"/>
              <w:bottom w:val="single" w:sz="4" w:space="0" w:color="auto"/>
              <w:right w:val="single" w:sz="4" w:space="0" w:color="auto"/>
            </w:tcBorders>
            <w:shd w:val="clear" w:color="auto" w:fill="auto"/>
            <w:noWrap/>
            <w:hideMark/>
          </w:tcPr>
          <w:p w14:paraId="79D393C5"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44D8E7D3"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9,454.00</w:t>
            </w:r>
          </w:p>
        </w:tc>
      </w:tr>
      <w:tr w:rsidR="00F909F5" w:rsidRPr="00F31693" w14:paraId="30C7F033"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1CCA77A4"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EL SALVADOR</w:t>
            </w:r>
          </w:p>
        </w:tc>
        <w:tc>
          <w:tcPr>
            <w:tcW w:w="1820" w:type="dxa"/>
            <w:tcBorders>
              <w:top w:val="nil"/>
              <w:left w:val="nil"/>
              <w:bottom w:val="single" w:sz="4" w:space="0" w:color="auto"/>
              <w:right w:val="single" w:sz="4" w:space="0" w:color="auto"/>
            </w:tcBorders>
            <w:shd w:val="clear" w:color="auto" w:fill="auto"/>
            <w:noWrap/>
            <w:hideMark/>
          </w:tcPr>
          <w:p w14:paraId="1E5C7FF5"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1</w:t>
            </w:r>
          </w:p>
        </w:tc>
        <w:tc>
          <w:tcPr>
            <w:tcW w:w="1880" w:type="dxa"/>
            <w:tcBorders>
              <w:top w:val="nil"/>
              <w:left w:val="nil"/>
              <w:bottom w:val="single" w:sz="4" w:space="0" w:color="auto"/>
              <w:right w:val="single" w:sz="4" w:space="0" w:color="auto"/>
            </w:tcBorders>
            <w:shd w:val="clear" w:color="auto" w:fill="auto"/>
            <w:noWrap/>
            <w:hideMark/>
          </w:tcPr>
          <w:p w14:paraId="5DA5A861"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37396AEE"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6,775.00</w:t>
            </w:r>
          </w:p>
        </w:tc>
      </w:tr>
      <w:tr w:rsidR="00F909F5" w:rsidRPr="00F31693" w14:paraId="5466C8D8"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01568FCD"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FINLAND</w:t>
            </w:r>
          </w:p>
        </w:tc>
        <w:tc>
          <w:tcPr>
            <w:tcW w:w="1820" w:type="dxa"/>
            <w:tcBorders>
              <w:top w:val="nil"/>
              <w:left w:val="nil"/>
              <w:bottom w:val="single" w:sz="4" w:space="0" w:color="auto"/>
              <w:right w:val="single" w:sz="4" w:space="0" w:color="auto"/>
            </w:tcBorders>
            <w:shd w:val="clear" w:color="auto" w:fill="auto"/>
            <w:noWrap/>
            <w:hideMark/>
          </w:tcPr>
          <w:p w14:paraId="70D75295"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1</w:t>
            </w:r>
          </w:p>
        </w:tc>
        <w:tc>
          <w:tcPr>
            <w:tcW w:w="1880" w:type="dxa"/>
            <w:tcBorders>
              <w:top w:val="nil"/>
              <w:left w:val="nil"/>
              <w:bottom w:val="single" w:sz="4" w:space="0" w:color="auto"/>
              <w:right w:val="single" w:sz="4" w:space="0" w:color="auto"/>
            </w:tcBorders>
            <w:shd w:val="clear" w:color="auto" w:fill="auto"/>
            <w:noWrap/>
            <w:hideMark/>
          </w:tcPr>
          <w:p w14:paraId="0F88174B"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72F24C52"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1,525.00</w:t>
            </w:r>
          </w:p>
        </w:tc>
      </w:tr>
      <w:tr w:rsidR="00F909F5" w:rsidRPr="00F31693" w14:paraId="6C076D49"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0633E568"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FRANCE</w:t>
            </w:r>
          </w:p>
        </w:tc>
        <w:tc>
          <w:tcPr>
            <w:tcW w:w="1820" w:type="dxa"/>
            <w:tcBorders>
              <w:top w:val="nil"/>
              <w:left w:val="nil"/>
              <w:bottom w:val="single" w:sz="4" w:space="0" w:color="auto"/>
              <w:right w:val="single" w:sz="4" w:space="0" w:color="auto"/>
            </w:tcBorders>
            <w:shd w:val="clear" w:color="auto" w:fill="auto"/>
            <w:noWrap/>
            <w:hideMark/>
          </w:tcPr>
          <w:p w14:paraId="0FF47F95"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8</w:t>
            </w:r>
          </w:p>
        </w:tc>
        <w:tc>
          <w:tcPr>
            <w:tcW w:w="1880" w:type="dxa"/>
            <w:tcBorders>
              <w:top w:val="nil"/>
              <w:left w:val="nil"/>
              <w:bottom w:val="single" w:sz="4" w:space="0" w:color="auto"/>
              <w:right w:val="single" w:sz="4" w:space="0" w:color="auto"/>
            </w:tcBorders>
            <w:shd w:val="clear" w:color="auto" w:fill="auto"/>
            <w:noWrap/>
            <w:hideMark/>
          </w:tcPr>
          <w:p w14:paraId="31CF1E78"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71D0A2EE"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4,674.66</w:t>
            </w:r>
          </w:p>
        </w:tc>
      </w:tr>
      <w:tr w:rsidR="00F909F5" w:rsidRPr="00F31693" w14:paraId="76DCA50A"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73F867DA"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GERMANY</w:t>
            </w:r>
          </w:p>
        </w:tc>
        <w:tc>
          <w:tcPr>
            <w:tcW w:w="1820" w:type="dxa"/>
            <w:tcBorders>
              <w:top w:val="nil"/>
              <w:left w:val="nil"/>
              <w:bottom w:val="single" w:sz="4" w:space="0" w:color="auto"/>
              <w:right w:val="single" w:sz="4" w:space="0" w:color="auto"/>
            </w:tcBorders>
            <w:shd w:val="clear" w:color="auto" w:fill="auto"/>
            <w:noWrap/>
            <w:hideMark/>
          </w:tcPr>
          <w:p w14:paraId="1BB50A69"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12</w:t>
            </w:r>
          </w:p>
        </w:tc>
        <w:tc>
          <w:tcPr>
            <w:tcW w:w="1880" w:type="dxa"/>
            <w:tcBorders>
              <w:top w:val="nil"/>
              <w:left w:val="nil"/>
              <w:bottom w:val="single" w:sz="4" w:space="0" w:color="auto"/>
              <w:right w:val="single" w:sz="4" w:space="0" w:color="auto"/>
            </w:tcBorders>
            <w:shd w:val="clear" w:color="auto" w:fill="auto"/>
            <w:noWrap/>
            <w:hideMark/>
          </w:tcPr>
          <w:p w14:paraId="0B5D2D7F"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10A72254"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5,788.35</w:t>
            </w:r>
          </w:p>
        </w:tc>
      </w:tr>
      <w:tr w:rsidR="00F909F5" w:rsidRPr="00F31693" w14:paraId="5A49F7D8"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09B45723" w14:textId="77777777" w:rsidR="00F909F5" w:rsidRPr="00F31693" w:rsidRDefault="00F909F5" w:rsidP="00F909F5">
            <w:pPr>
              <w:spacing w:after="0" w:line="240" w:lineRule="auto"/>
              <w:rPr>
                <w:rFonts w:eastAsia="Times New Roman" w:cs="Times New Roman"/>
                <w:b/>
                <w:bCs/>
                <w:color w:val="000000"/>
              </w:rPr>
            </w:pPr>
            <w:r w:rsidRPr="00F31693">
              <w:rPr>
                <w:rFonts w:eastAsia="Times New Roman" w:cs="Times New Roman"/>
                <w:b/>
                <w:bCs/>
                <w:color w:val="000000"/>
              </w:rPr>
              <w:t>HONG KONG</w:t>
            </w:r>
          </w:p>
        </w:tc>
        <w:tc>
          <w:tcPr>
            <w:tcW w:w="1820" w:type="dxa"/>
            <w:tcBorders>
              <w:top w:val="nil"/>
              <w:left w:val="nil"/>
              <w:bottom w:val="single" w:sz="4" w:space="0" w:color="auto"/>
              <w:right w:val="single" w:sz="4" w:space="0" w:color="auto"/>
            </w:tcBorders>
            <w:shd w:val="clear" w:color="auto" w:fill="auto"/>
            <w:noWrap/>
            <w:hideMark/>
          </w:tcPr>
          <w:p w14:paraId="667F9FC5"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11</w:t>
            </w:r>
          </w:p>
        </w:tc>
        <w:tc>
          <w:tcPr>
            <w:tcW w:w="1880" w:type="dxa"/>
            <w:tcBorders>
              <w:top w:val="nil"/>
              <w:left w:val="nil"/>
              <w:bottom w:val="single" w:sz="4" w:space="0" w:color="auto"/>
              <w:right w:val="single" w:sz="4" w:space="0" w:color="auto"/>
            </w:tcBorders>
            <w:shd w:val="clear" w:color="auto" w:fill="auto"/>
            <w:noWrap/>
            <w:hideMark/>
          </w:tcPr>
          <w:p w14:paraId="49214266"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1BFD2A3C"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136,086.17</w:t>
            </w:r>
          </w:p>
        </w:tc>
      </w:tr>
      <w:tr w:rsidR="00F909F5" w:rsidRPr="00F31693" w14:paraId="226E660D"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62B5EE36"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ICELAND</w:t>
            </w:r>
          </w:p>
        </w:tc>
        <w:tc>
          <w:tcPr>
            <w:tcW w:w="1820" w:type="dxa"/>
            <w:tcBorders>
              <w:top w:val="nil"/>
              <w:left w:val="nil"/>
              <w:bottom w:val="single" w:sz="4" w:space="0" w:color="auto"/>
              <w:right w:val="single" w:sz="4" w:space="0" w:color="auto"/>
            </w:tcBorders>
            <w:shd w:val="clear" w:color="auto" w:fill="auto"/>
            <w:noWrap/>
            <w:hideMark/>
          </w:tcPr>
          <w:p w14:paraId="78807829"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1</w:t>
            </w:r>
          </w:p>
        </w:tc>
        <w:tc>
          <w:tcPr>
            <w:tcW w:w="1880" w:type="dxa"/>
            <w:tcBorders>
              <w:top w:val="nil"/>
              <w:left w:val="nil"/>
              <w:bottom w:val="single" w:sz="4" w:space="0" w:color="auto"/>
              <w:right w:val="single" w:sz="4" w:space="0" w:color="auto"/>
            </w:tcBorders>
            <w:shd w:val="clear" w:color="auto" w:fill="auto"/>
            <w:noWrap/>
            <w:hideMark/>
          </w:tcPr>
          <w:p w14:paraId="738EC855"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47A8666E"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176.00</w:t>
            </w:r>
          </w:p>
        </w:tc>
      </w:tr>
      <w:tr w:rsidR="00F909F5" w:rsidRPr="00F31693" w14:paraId="2F52A428"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004DBD45"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INDIA</w:t>
            </w:r>
          </w:p>
        </w:tc>
        <w:tc>
          <w:tcPr>
            <w:tcW w:w="1820" w:type="dxa"/>
            <w:tcBorders>
              <w:top w:val="nil"/>
              <w:left w:val="nil"/>
              <w:bottom w:val="single" w:sz="4" w:space="0" w:color="auto"/>
              <w:right w:val="single" w:sz="4" w:space="0" w:color="auto"/>
            </w:tcBorders>
            <w:shd w:val="clear" w:color="auto" w:fill="auto"/>
            <w:noWrap/>
            <w:hideMark/>
          </w:tcPr>
          <w:p w14:paraId="4162AA8D"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2</w:t>
            </w:r>
          </w:p>
        </w:tc>
        <w:tc>
          <w:tcPr>
            <w:tcW w:w="1880" w:type="dxa"/>
            <w:tcBorders>
              <w:top w:val="nil"/>
              <w:left w:val="nil"/>
              <w:bottom w:val="single" w:sz="4" w:space="0" w:color="auto"/>
              <w:right w:val="single" w:sz="4" w:space="0" w:color="auto"/>
            </w:tcBorders>
            <w:shd w:val="clear" w:color="auto" w:fill="auto"/>
            <w:noWrap/>
            <w:hideMark/>
          </w:tcPr>
          <w:p w14:paraId="0135BCB1"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05948F85"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78,128.85</w:t>
            </w:r>
          </w:p>
        </w:tc>
      </w:tr>
      <w:tr w:rsidR="00F909F5" w:rsidRPr="00F31693" w14:paraId="095C9357"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10705268"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IRELAND</w:t>
            </w:r>
          </w:p>
        </w:tc>
        <w:tc>
          <w:tcPr>
            <w:tcW w:w="1820" w:type="dxa"/>
            <w:tcBorders>
              <w:top w:val="nil"/>
              <w:left w:val="nil"/>
              <w:bottom w:val="single" w:sz="4" w:space="0" w:color="auto"/>
              <w:right w:val="single" w:sz="4" w:space="0" w:color="auto"/>
            </w:tcBorders>
            <w:shd w:val="clear" w:color="auto" w:fill="auto"/>
            <w:noWrap/>
            <w:hideMark/>
          </w:tcPr>
          <w:p w14:paraId="401618FD"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1</w:t>
            </w:r>
          </w:p>
        </w:tc>
        <w:tc>
          <w:tcPr>
            <w:tcW w:w="1880" w:type="dxa"/>
            <w:tcBorders>
              <w:top w:val="nil"/>
              <w:left w:val="nil"/>
              <w:bottom w:val="single" w:sz="4" w:space="0" w:color="auto"/>
              <w:right w:val="single" w:sz="4" w:space="0" w:color="auto"/>
            </w:tcBorders>
            <w:shd w:val="clear" w:color="auto" w:fill="auto"/>
            <w:noWrap/>
            <w:hideMark/>
          </w:tcPr>
          <w:p w14:paraId="2AC982C2"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0FAA0A5F"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263,112.40</w:t>
            </w:r>
          </w:p>
        </w:tc>
      </w:tr>
      <w:tr w:rsidR="00F909F5" w:rsidRPr="00F31693" w14:paraId="116B9C8C"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3F8D2641"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ISRAEL</w:t>
            </w:r>
          </w:p>
        </w:tc>
        <w:tc>
          <w:tcPr>
            <w:tcW w:w="1820" w:type="dxa"/>
            <w:tcBorders>
              <w:top w:val="nil"/>
              <w:left w:val="nil"/>
              <w:bottom w:val="single" w:sz="4" w:space="0" w:color="auto"/>
              <w:right w:val="single" w:sz="4" w:space="0" w:color="auto"/>
            </w:tcBorders>
            <w:shd w:val="clear" w:color="auto" w:fill="auto"/>
            <w:noWrap/>
            <w:hideMark/>
          </w:tcPr>
          <w:p w14:paraId="2501678D"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1</w:t>
            </w:r>
          </w:p>
        </w:tc>
        <w:tc>
          <w:tcPr>
            <w:tcW w:w="1880" w:type="dxa"/>
            <w:tcBorders>
              <w:top w:val="nil"/>
              <w:left w:val="nil"/>
              <w:bottom w:val="single" w:sz="4" w:space="0" w:color="auto"/>
              <w:right w:val="single" w:sz="4" w:space="0" w:color="auto"/>
            </w:tcBorders>
            <w:shd w:val="clear" w:color="auto" w:fill="auto"/>
            <w:noWrap/>
            <w:hideMark/>
          </w:tcPr>
          <w:p w14:paraId="41EE6131"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71136DE3" w14:textId="77777777" w:rsidR="00F909F5" w:rsidRPr="00F31693" w:rsidRDefault="00F909F5" w:rsidP="005C1813">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9,96</w:t>
            </w:r>
            <w:r w:rsidR="005C1813" w:rsidRPr="00F31693">
              <w:rPr>
                <w:rFonts w:eastAsia="Times New Roman" w:cs="Times New Roman"/>
                <w:color w:val="000000"/>
              </w:rPr>
              <w:t>8</w:t>
            </w:r>
            <w:r w:rsidR="001B28A1" w:rsidRPr="00F31693">
              <w:rPr>
                <w:rFonts w:eastAsia="Times New Roman" w:cs="Times New Roman"/>
                <w:color w:val="000000"/>
              </w:rPr>
              <w:t>.00</w:t>
            </w:r>
          </w:p>
        </w:tc>
      </w:tr>
      <w:tr w:rsidR="00F909F5" w:rsidRPr="00F31693" w14:paraId="5D057496"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68615CBB"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ITALY</w:t>
            </w:r>
          </w:p>
        </w:tc>
        <w:tc>
          <w:tcPr>
            <w:tcW w:w="1820" w:type="dxa"/>
            <w:tcBorders>
              <w:top w:val="nil"/>
              <w:left w:val="nil"/>
              <w:bottom w:val="single" w:sz="4" w:space="0" w:color="auto"/>
              <w:right w:val="single" w:sz="4" w:space="0" w:color="auto"/>
            </w:tcBorders>
            <w:shd w:val="clear" w:color="auto" w:fill="auto"/>
            <w:noWrap/>
            <w:hideMark/>
          </w:tcPr>
          <w:p w14:paraId="7A2F62C6"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2</w:t>
            </w:r>
          </w:p>
        </w:tc>
        <w:tc>
          <w:tcPr>
            <w:tcW w:w="1880" w:type="dxa"/>
            <w:tcBorders>
              <w:top w:val="nil"/>
              <w:left w:val="nil"/>
              <w:bottom w:val="single" w:sz="4" w:space="0" w:color="auto"/>
              <w:right w:val="single" w:sz="4" w:space="0" w:color="auto"/>
            </w:tcBorders>
            <w:shd w:val="clear" w:color="auto" w:fill="auto"/>
            <w:noWrap/>
            <w:hideMark/>
          </w:tcPr>
          <w:p w14:paraId="06ED34E7"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551335D8"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1,882.11</w:t>
            </w:r>
          </w:p>
        </w:tc>
      </w:tr>
      <w:tr w:rsidR="00F909F5" w:rsidRPr="00F31693" w14:paraId="320AD009"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35568585"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JAPAN</w:t>
            </w:r>
          </w:p>
        </w:tc>
        <w:tc>
          <w:tcPr>
            <w:tcW w:w="1820" w:type="dxa"/>
            <w:tcBorders>
              <w:top w:val="nil"/>
              <w:left w:val="nil"/>
              <w:bottom w:val="single" w:sz="4" w:space="0" w:color="auto"/>
              <w:right w:val="single" w:sz="4" w:space="0" w:color="auto"/>
            </w:tcBorders>
            <w:shd w:val="clear" w:color="auto" w:fill="auto"/>
            <w:noWrap/>
            <w:hideMark/>
          </w:tcPr>
          <w:p w14:paraId="534D0FCA"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1</w:t>
            </w:r>
          </w:p>
        </w:tc>
        <w:tc>
          <w:tcPr>
            <w:tcW w:w="1880" w:type="dxa"/>
            <w:tcBorders>
              <w:top w:val="nil"/>
              <w:left w:val="nil"/>
              <w:bottom w:val="single" w:sz="4" w:space="0" w:color="auto"/>
              <w:right w:val="single" w:sz="4" w:space="0" w:color="auto"/>
            </w:tcBorders>
            <w:shd w:val="clear" w:color="auto" w:fill="auto"/>
            <w:noWrap/>
            <w:hideMark/>
          </w:tcPr>
          <w:p w14:paraId="4E63955E"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5D6620F2"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600.00</w:t>
            </w:r>
          </w:p>
        </w:tc>
      </w:tr>
      <w:tr w:rsidR="00F909F5" w:rsidRPr="00F31693" w14:paraId="104D2D52"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63DBC73A"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KOREA REPUBLIC OF</w:t>
            </w:r>
          </w:p>
        </w:tc>
        <w:tc>
          <w:tcPr>
            <w:tcW w:w="1820" w:type="dxa"/>
            <w:tcBorders>
              <w:top w:val="nil"/>
              <w:left w:val="nil"/>
              <w:bottom w:val="single" w:sz="4" w:space="0" w:color="auto"/>
              <w:right w:val="single" w:sz="4" w:space="0" w:color="auto"/>
            </w:tcBorders>
            <w:shd w:val="clear" w:color="auto" w:fill="auto"/>
            <w:noWrap/>
            <w:hideMark/>
          </w:tcPr>
          <w:p w14:paraId="0176F3BC"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3</w:t>
            </w:r>
          </w:p>
        </w:tc>
        <w:tc>
          <w:tcPr>
            <w:tcW w:w="1880" w:type="dxa"/>
            <w:tcBorders>
              <w:top w:val="nil"/>
              <w:left w:val="nil"/>
              <w:bottom w:val="single" w:sz="4" w:space="0" w:color="auto"/>
              <w:right w:val="single" w:sz="4" w:space="0" w:color="auto"/>
            </w:tcBorders>
            <w:shd w:val="clear" w:color="auto" w:fill="auto"/>
            <w:noWrap/>
            <w:hideMark/>
          </w:tcPr>
          <w:p w14:paraId="4B7129D8"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4F5F264D"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58,036.92</w:t>
            </w:r>
          </w:p>
        </w:tc>
      </w:tr>
      <w:tr w:rsidR="00F909F5" w:rsidRPr="00F31693" w14:paraId="4716A526"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7BD051FE"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PERU</w:t>
            </w:r>
          </w:p>
        </w:tc>
        <w:tc>
          <w:tcPr>
            <w:tcW w:w="1820" w:type="dxa"/>
            <w:tcBorders>
              <w:top w:val="nil"/>
              <w:left w:val="nil"/>
              <w:bottom w:val="single" w:sz="4" w:space="0" w:color="auto"/>
              <w:right w:val="single" w:sz="4" w:space="0" w:color="auto"/>
            </w:tcBorders>
            <w:shd w:val="clear" w:color="auto" w:fill="auto"/>
            <w:noWrap/>
            <w:hideMark/>
          </w:tcPr>
          <w:p w14:paraId="01E667C0"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1</w:t>
            </w:r>
          </w:p>
        </w:tc>
        <w:tc>
          <w:tcPr>
            <w:tcW w:w="1880" w:type="dxa"/>
            <w:tcBorders>
              <w:top w:val="nil"/>
              <w:left w:val="nil"/>
              <w:bottom w:val="single" w:sz="4" w:space="0" w:color="auto"/>
              <w:right w:val="single" w:sz="4" w:space="0" w:color="auto"/>
            </w:tcBorders>
            <w:shd w:val="clear" w:color="auto" w:fill="auto"/>
            <w:noWrap/>
            <w:hideMark/>
          </w:tcPr>
          <w:p w14:paraId="7F26E891"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12B50F3F"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8,670.00</w:t>
            </w:r>
          </w:p>
        </w:tc>
      </w:tr>
      <w:tr w:rsidR="00F909F5" w:rsidRPr="00F31693" w14:paraId="4C2478E3"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4ACA84A9"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SEYCHELLES</w:t>
            </w:r>
          </w:p>
        </w:tc>
        <w:tc>
          <w:tcPr>
            <w:tcW w:w="1820" w:type="dxa"/>
            <w:tcBorders>
              <w:top w:val="nil"/>
              <w:left w:val="nil"/>
              <w:bottom w:val="single" w:sz="4" w:space="0" w:color="auto"/>
              <w:right w:val="single" w:sz="4" w:space="0" w:color="auto"/>
            </w:tcBorders>
            <w:shd w:val="clear" w:color="auto" w:fill="auto"/>
            <w:noWrap/>
            <w:hideMark/>
          </w:tcPr>
          <w:p w14:paraId="565029C6"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1</w:t>
            </w:r>
          </w:p>
        </w:tc>
        <w:tc>
          <w:tcPr>
            <w:tcW w:w="1880" w:type="dxa"/>
            <w:tcBorders>
              <w:top w:val="nil"/>
              <w:left w:val="nil"/>
              <w:bottom w:val="single" w:sz="4" w:space="0" w:color="auto"/>
              <w:right w:val="single" w:sz="4" w:space="0" w:color="auto"/>
            </w:tcBorders>
            <w:shd w:val="clear" w:color="auto" w:fill="auto"/>
            <w:noWrap/>
            <w:hideMark/>
          </w:tcPr>
          <w:p w14:paraId="5C5F7DB9"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56671885"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2,006.00</w:t>
            </w:r>
          </w:p>
        </w:tc>
      </w:tr>
      <w:tr w:rsidR="00F909F5" w:rsidRPr="00F31693" w14:paraId="7DB4A01C"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2E3E7CC0"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SLOVAKIA</w:t>
            </w:r>
          </w:p>
        </w:tc>
        <w:tc>
          <w:tcPr>
            <w:tcW w:w="1820" w:type="dxa"/>
            <w:tcBorders>
              <w:top w:val="nil"/>
              <w:left w:val="nil"/>
              <w:bottom w:val="single" w:sz="4" w:space="0" w:color="auto"/>
              <w:right w:val="single" w:sz="4" w:space="0" w:color="auto"/>
            </w:tcBorders>
            <w:shd w:val="clear" w:color="auto" w:fill="auto"/>
            <w:noWrap/>
            <w:hideMark/>
          </w:tcPr>
          <w:p w14:paraId="2E4494E3"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9</w:t>
            </w:r>
          </w:p>
        </w:tc>
        <w:tc>
          <w:tcPr>
            <w:tcW w:w="1880" w:type="dxa"/>
            <w:tcBorders>
              <w:top w:val="nil"/>
              <w:left w:val="nil"/>
              <w:bottom w:val="single" w:sz="4" w:space="0" w:color="auto"/>
              <w:right w:val="single" w:sz="4" w:space="0" w:color="auto"/>
            </w:tcBorders>
            <w:shd w:val="clear" w:color="auto" w:fill="auto"/>
            <w:noWrap/>
            <w:hideMark/>
          </w:tcPr>
          <w:p w14:paraId="181098B7"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4FBF6C90" w14:textId="77777777" w:rsidR="00F909F5" w:rsidRPr="00F31693" w:rsidRDefault="00F909F5" w:rsidP="001B28A1">
            <w:pPr>
              <w:spacing w:after="0" w:line="240" w:lineRule="auto"/>
              <w:jc w:val="center"/>
              <w:rPr>
                <w:rFonts w:eastAsia="Times New Roman" w:cs="Times New Roman"/>
                <w:color w:val="000000"/>
              </w:rPr>
            </w:pPr>
            <w:r w:rsidRPr="00F31693">
              <w:rPr>
                <w:rFonts w:eastAsia="Times New Roman" w:cs="Times New Roman"/>
                <w:color w:val="000000"/>
              </w:rPr>
              <w:t>$</w:t>
            </w:r>
            <w:r w:rsidR="001B28A1" w:rsidRPr="00F31693">
              <w:rPr>
                <w:rFonts w:eastAsia="Times New Roman" w:cs="Times New Roman"/>
                <w:color w:val="000000"/>
              </w:rPr>
              <w:t>6,829.39</w:t>
            </w:r>
          </w:p>
        </w:tc>
      </w:tr>
      <w:tr w:rsidR="00F909F5" w:rsidRPr="00F31693" w14:paraId="128D19A6"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156F3D2C"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SWITZERLAND</w:t>
            </w:r>
          </w:p>
        </w:tc>
        <w:tc>
          <w:tcPr>
            <w:tcW w:w="1820" w:type="dxa"/>
            <w:tcBorders>
              <w:top w:val="nil"/>
              <w:left w:val="nil"/>
              <w:bottom w:val="single" w:sz="4" w:space="0" w:color="auto"/>
              <w:right w:val="single" w:sz="4" w:space="0" w:color="auto"/>
            </w:tcBorders>
            <w:shd w:val="clear" w:color="auto" w:fill="auto"/>
            <w:noWrap/>
            <w:hideMark/>
          </w:tcPr>
          <w:p w14:paraId="678A8325"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33</w:t>
            </w:r>
          </w:p>
        </w:tc>
        <w:tc>
          <w:tcPr>
            <w:tcW w:w="1880" w:type="dxa"/>
            <w:tcBorders>
              <w:top w:val="nil"/>
              <w:left w:val="nil"/>
              <w:bottom w:val="single" w:sz="4" w:space="0" w:color="auto"/>
              <w:right w:val="single" w:sz="4" w:space="0" w:color="auto"/>
            </w:tcBorders>
            <w:shd w:val="clear" w:color="auto" w:fill="auto"/>
            <w:noWrap/>
            <w:hideMark/>
          </w:tcPr>
          <w:p w14:paraId="47D60B31"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79782E17" w14:textId="77777777" w:rsidR="00F909F5" w:rsidRPr="00F31693" w:rsidRDefault="00F909F5" w:rsidP="00F31330">
            <w:pPr>
              <w:spacing w:after="0" w:line="240" w:lineRule="auto"/>
              <w:jc w:val="center"/>
              <w:rPr>
                <w:rFonts w:eastAsia="Times New Roman" w:cs="Times New Roman"/>
                <w:color w:val="000000"/>
              </w:rPr>
            </w:pPr>
            <w:r w:rsidRPr="00F31693">
              <w:rPr>
                <w:rFonts w:eastAsia="Times New Roman" w:cs="Times New Roman"/>
                <w:color w:val="000000"/>
              </w:rPr>
              <w:t>$</w:t>
            </w:r>
            <w:r w:rsidR="00F31330" w:rsidRPr="00F31693">
              <w:rPr>
                <w:rFonts w:eastAsia="Times New Roman" w:cs="Times New Roman"/>
                <w:color w:val="000000"/>
              </w:rPr>
              <w:t>51,574.56</w:t>
            </w:r>
          </w:p>
        </w:tc>
      </w:tr>
      <w:tr w:rsidR="00F909F5" w:rsidRPr="00F31693" w14:paraId="4C8A62E1"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4A1DC15B"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TRINIDAD AND TOBAGO</w:t>
            </w:r>
          </w:p>
        </w:tc>
        <w:tc>
          <w:tcPr>
            <w:tcW w:w="1820" w:type="dxa"/>
            <w:tcBorders>
              <w:top w:val="nil"/>
              <w:left w:val="nil"/>
              <w:bottom w:val="single" w:sz="4" w:space="0" w:color="auto"/>
              <w:right w:val="single" w:sz="4" w:space="0" w:color="auto"/>
            </w:tcBorders>
            <w:shd w:val="clear" w:color="auto" w:fill="auto"/>
            <w:noWrap/>
            <w:hideMark/>
          </w:tcPr>
          <w:p w14:paraId="728FA7E8"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11</w:t>
            </w:r>
          </w:p>
        </w:tc>
        <w:tc>
          <w:tcPr>
            <w:tcW w:w="1880" w:type="dxa"/>
            <w:tcBorders>
              <w:top w:val="nil"/>
              <w:left w:val="nil"/>
              <w:bottom w:val="single" w:sz="4" w:space="0" w:color="auto"/>
              <w:right w:val="single" w:sz="4" w:space="0" w:color="auto"/>
            </w:tcBorders>
            <w:shd w:val="clear" w:color="auto" w:fill="auto"/>
            <w:noWrap/>
            <w:hideMark/>
          </w:tcPr>
          <w:p w14:paraId="0C29660C"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2B3C8A17" w14:textId="77777777" w:rsidR="00F909F5" w:rsidRPr="00F31693" w:rsidRDefault="00F909F5" w:rsidP="00F31330">
            <w:pPr>
              <w:spacing w:after="0" w:line="240" w:lineRule="auto"/>
              <w:jc w:val="center"/>
              <w:rPr>
                <w:rFonts w:eastAsia="Times New Roman" w:cs="Times New Roman"/>
                <w:color w:val="000000"/>
              </w:rPr>
            </w:pPr>
            <w:r w:rsidRPr="00F31693">
              <w:rPr>
                <w:rFonts w:eastAsia="Times New Roman" w:cs="Times New Roman"/>
                <w:color w:val="000000"/>
              </w:rPr>
              <w:t>$</w:t>
            </w:r>
            <w:r w:rsidR="00F31330" w:rsidRPr="00F31693">
              <w:rPr>
                <w:rFonts w:eastAsia="Times New Roman" w:cs="Times New Roman"/>
                <w:color w:val="000000"/>
              </w:rPr>
              <w:t>8,461.79</w:t>
            </w:r>
          </w:p>
        </w:tc>
      </w:tr>
      <w:tr w:rsidR="00F909F5" w:rsidRPr="00F31693" w14:paraId="22A80E34"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7400395C"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UNITED KINGDOM</w:t>
            </w:r>
          </w:p>
        </w:tc>
        <w:tc>
          <w:tcPr>
            <w:tcW w:w="1820" w:type="dxa"/>
            <w:tcBorders>
              <w:top w:val="nil"/>
              <w:left w:val="nil"/>
              <w:bottom w:val="single" w:sz="4" w:space="0" w:color="auto"/>
              <w:right w:val="single" w:sz="4" w:space="0" w:color="auto"/>
            </w:tcBorders>
            <w:shd w:val="clear" w:color="auto" w:fill="auto"/>
            <w:noWrap/>
            <w:hideMark/>
          </w:tcPr>
          <w:p w14:paraId="47A586A4"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22</w:t>
            </w:r>
          </w:p>
        </w:tc>
        <w:tc>
          <w:tcPr>
            <w:tcW w:w="1880" w:type="dxa"/>
            <w:tcBorders>
              <w:top w:val="nil"/>
              <w:left w:val="nil"/>
              <w:bottom w:val="single" w:sz="4" w:space="0" w:color="auto"/>
              <w:right w:val="single" w:sz="4" w:space="0" w:color="auto"/>
            </w:tcBorders>
            <w:shd w:val="clear" w:color="auto" w:fill="auto"/>
            <w:noWrap/>
            <w:hideMark/>
          </w:tcPr>
          <w:p w14:paraId="342B241C"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76151A8A" w14:textId="77777777" w:rsidR="00F909F5" w:rsidRPr="00F31693" w:rsidRDefault="00F909F5" w:rsidP="00F31330">
            <w:pPr>
              <w:spacing w:after="0" w:line="240" w:lineRule="auto"/>
              <w:jc w:val="center"/>
              <w:rPr>
                <w:rFonts w:eastAsia="Times New Roman" w:cs="Times New Roman"/>
                <w:color w:val="000000"/>
              </w:rPr>
            </w:pPr>
            <w:r w:rsidRPr="00F31693">
              <w:rPr>
                <w:rFonts w:eastAsia="Times New Roman" w:cs="Times New Roman"/>
                <w:color w:val="000000"/>
              </w:rPr>
              <w:t>$</w:t>
            </w:r>
            <w:r w:rsidR="00F31330" w:rsidRPr="00F31693">
              <w:rPr>
                <w:rFonts w:eastAsia="Times New Roman" w:cs="Times New Roman"/>
                <w:color w:val="000000"/>
              </w:rPr>
              <w:t>290,066.08</w:t>
            </w:r>
          </w:p>
        </w:tc>
      </w:tr>
      <w:tr w:rsidR="00F909F5" w:rsidRPr="00F31693" w14:paraId="512AA4A2"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2435B44A"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VENEZUELA, BOLIVARIAN REP</w:t>
            </w:r>
          </w:p>
        </w:tc>
        <w:tc>
          <w:tcPr>
            <w:tcW w:w="1820" w:type="dxa"/>
            <w:tcBorders>
              <w:top w:val="nil"/>
              <w:left w:val="nil"/>
              <w:bottom w:val="single" w:sz="4" w:space="0" w:color="auto"/>
              <w:right w:val="single" w:sz="4" w:space="0" w:color="auto"/>
            </w:tcBorders>
            <w:shd w:val="clear" w:color="auto" w:fill="auto"/>
            <w:noWrap/>
            <w:hideMark/>
          </w:tcPr>
          <w:p w14:paraId="3B5234BA"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2</w:t>
            </w:r>
          </w:p>
        </w:tc>
        <w:tc>
          <w:tcPr>
            <w:tcW w:w="1880" w:type="dxa"/>
            <w:tcBorders>
              <w:top w:val="nil"/>
              <w:left w:val="nil"/>
              <w:bottom w:val="single" w:sz="4" w:space="0" w:color="auto"/>
              <w:right w:val="single" w:sz="4" w:space="0" w:color="auto"/>
            </w:tcBorders>
            <w:shd w:val="clear" w:color="auto" w:fill="auto"/>
            <w:noWrap/>
            <w:hideMark/>
          </w:tcPr>
          <w:p w14:paraId="5BBDA61A"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159A07D1" w14:textId="77777777" w:rsidR="00F909F5" w:rsidRPr="00F31693" w:rsidRDefault="00F909F5" w:rsidP="00F31330">
            <w:pPr>
              <w:spacing w:after="0" w:line="240" w:lineRule="auto"/>
              <w:jc w:val="center"/>
              <w:rPr>
                <w:rFonts w:eastAsia="Times New Roman" w:cs="Times New Roman"/>
                <w:color w:val="000000"/>
              </w:rPr>
            </w:pPr>
            <w:r w:rsidRPr="00F31693">
              <w:rPr>
                <w:rFonts w:eastAsia="Times New Roman" w:cs="Times New Roman"/>
                <w:color w:val="000000"/>
              </w:rPr>
              <w:t>$</w:t>
            </w:r>
            <w:r w:rsidR="00F31330" w:rsidRPr="00F31693">
              <w:rPr>
                <w:rFonts w:eastAsia="Times New Roman" w:cs="Times New Roman"/>
                <w:color w:val="000000"/>
              </w:rPr>
              <w:t>1,850.00</w:t>
            </w:r>
          </w:p>
        </w:tc>
      </w:tr>
      <w:tr w:rsidR="00F909F5" w:rsidRPr="00F31693" w14:paraId="5AF242FD" w14:textId="77777777" w:rsidTr="00F909F5">
        <w:trPr>
          <w:trHeight w:val="225"/>
        </w:trPr>
        <w:tc>
          <w:tcPr>
            <w:tcW w:w="3020" w:type="dxa"/>
            <w:tcBorders>
              <w:top w:val="nil"/>
              <w:left w:val="single" w:sz="4" w:space="0" w:color="auto"/>
              <w:bottom w:val="single" w:sz="4" w:space="0" w:color="auto"/>
              <w:right w:val="single" w:sz="4" w:space="0" w:color="auto"/>
            </w:tcBorders>
            <w:shd w:val="clear" w:color="auto" w:fill="auto"/>
            <w:noWrap/>
            <w:hideMark/>
          </w:tcPr>
          <w:p w14:paraId="6BFAAE2B" w14:textId="77777777" w:rsidR="00F909F5" w:rsidRPr="00F31693" w:rsidRDefault="00C20437" w:rsidP="00F909F5">
            <w:pPr>
              <w:spacing w:after="0" w:line="240" w:lineRule="auto"/>
              <w:rPr>
                <w:rFonts w:eastAsia="Times New Roman" w:cs="Times New Roman"/>
                <w:b/>
                <w:bCs/>
                <w:color w:val="000000"/>
              </w:rPr>
            </w:pPr>
            <w:r w:rsidRPr="00F31693">
              <w:rPr>
                <w:rFonts w:eastAsia="Times New Roman" w:cs="Times New Roman"/>
                <w:b/>
                <w:bCs/>
                <w:color w:val="000000"/>
              </w:rPr>
              <w:t xml:space="preserve">VIRGIN ISLAND, BRITISH </w:t>
            </w:r>
          </w:p>
        </w:tc>
        <w:tc>
          <w:tcPr>
            <w:tcW w:w="1820" w:type="dxa"/>
            <w:tcBorders>
              <w:top w:val="nil"/>
              <w:left w:val="nil"/>
              <w:bottom w:val="single" w:sz="4" w:space="0" w:color="auto"/>
              <w:right w:val="single" w:sz="4" w:space="0" w:color="auto"/>
            </w:tcBorders>
            <w:shd w:val="clear" w:color="auto" w:fill="auto"/>
            <w:noWrap/>
            <w:hideMark/>
          </w:tcPr>
          <w:p w14:paraId="0AF8A73A" w14:textId="77777777" w:rsidR="00F909F5" w:rsidRPr="00F31693" w:rsidRDefault="001B28A1" w:rsidP="000C3642">
            <w:pPr>
              <w:spacing w:after="0" w:line="240" w:lineRule="auto"/>
              <w:jc w:val="center"/>
              <w:rPr>
                <w:rFonts w:eastAsia="Times New Roman" w:cs="Times New Roman"/>
                <w:color w:val="000000"/>
              </w:rPr>
            </w:pPr>
            <w:r w:rsidRPr="00F31693">
              <w:rPr>
                <w:rFonts w:eastAsia="Times New Roman" w:cs="Times New Roman"/>
                <w:color w:val="000000"/>
              </w:rPr>
              <w:t>1</w:t>
            </w:r>
          </w:p>
        </w:tc>
        <w:tc>
          <w:tcPr>
            <w:tcW w:w="1880" w:type="dxa"/>
            <w:tcBorders>
              <w:top w:val="nil"/>
              <w:left w:val="nil"/>
              <w:bottom w:val="single" w:sz="4" w:space="0" w:color="auto"/>
              <w:right w:val="single" w:sz="4" w:space="0" w:color="auto"/>
            </w:tcBorders>
            <w:shd w:val="clear" w:color="auto" w:fill="auto"/>
            <w:noWrap/>
            <w:hideMark/>
          </w:tcPr>
          <w:p w14:paraId="00341C70"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6A33A949" w14:textId="77777777" w:rsidR="00F909F5" w:rsidRPr="00F31693" w:rsidRDefault="00F909F5" w:rsidP="00F31330">
            <w:pPr>
              <w:spacing w:after="0" w:line="240" w:lineRule="auto"/>
              <w:jc w:val="center"/>
              <w:rPr>
                <w:rFonts w:eastAsia="Times New Roman" w:cs="Times New Roman"/>
                <w:color w:val="000000"/>
              </w:rPr>
            </w:pPr>
            <w:r w:rsidRPr="00F31693">
              <w:rPr>
                <w:rFonts w:eastAsia="Times New Roman" w:cs="Times New Roman"/>
                <w:color w:val="000000"/>
              </w:rPr>
              <w:t>$</w:t>
            </w:r>
            <w:r w:rsidR="00F31330" w:rsidRPr="00F31693">
              <w:rPr>
                <w:rFonts w:eastAsia="Times New Roman" w:cs="Times New Roman"/>
                <w:color w:val="000000"/>
              </w:rPr>
              <w:t>109,000.00</w:t>
            </w:r>
          </w:p>
        </w:tc>
      </w:tr>
      <w:tr w:rsidR="00F909F5" w:rsidRPr="00F31693" w14:paraId="082B5D84" w14:textId="77777777" w:rsidTr="00C20437">
        <w:trPr>
          <w:trHeight w:val="60"/>
        </w:trPr>
        <w:tc>
          <w:tcPr>
            <w:tcW w:w="3020" w:type="dxa"/>
            <w:tcBorders>
              <w:top w:val="nil"/>
              <w:left w:val="single" w:sz="4" w:space="0" w:color="auto"/>
              <w:bottom w:val="single" w:sz="4" w:space="0" w:color="auto"/>
              <w:right w:val="single" w:sz="4" w:space="0" w:color="auto"/>
            </w:tcBorders>
            <w:shd w:val="clear" w:color="auto" w:fill="auto"/>
            <w:noWrap/>
            <w:hideMark/>
          </w:tcPr>
          <w:p w14:paraId="1B00DA99" w14:textId="77777777" w:rsidR="00F909F5" w:rsidRPr="00F31693" w:rsidRDefault="00F909F5" w:rsidP="00F909F5">
            <w:pPr>
              <w:spacing w:after="0" w:line="240" w:lineRule="auto"/>
              <w:rPr>
                <w:rFonts w:eastAsia="Times New Roman" w:cs="Times New Roman"/>
                <w:b/>
                <w:bCs/>
                <w:color w:val="000000"/>
              </w:rPr>
            </w:pPr>
          </w:p>
        </w:tc>
        <w:tc>
          <w:tcPr>
            <w:tcW w:w="1820" w:type="dxa"/>
            <w:tcBorders>
              <w:top w:val="nil"/>
              <w:left w:val="nil"/>
              <w:bottom w:val="single" w:sz="4" w:space="0" w:color="auto"/>
              <w:right w:val="single" w:sz="4" w:space="0" w:color="auto"/>
            </w:tcBorders>
            <w:shd w:val="clear" w:color="auto" w:fill="auto"/>
            <w:noWrap/>
            <w:hideMark/>
          </w:tcPr>
          <w:p w14:paraId="0ACEEEA3" w14:textId="77777777" w:rsidR="00F909F5" w:rsidRPr="00F31693" w:rsidRDefault="00F909F5" w:rsidP="000C3642">
            <w:pPr>
              <w:spacing w:after="0" w:line="240" w:lineRule="auto"/>
              <w:jc w:val="center"/>
              <w:rPr>
                <w:rFonts w:eastAsia="Times New Roman" w:cs="Times New Roman"/>
                <w:color w:val="000000"/>
              </w:rPr>
            </w:pPr>
          </w:p>
        </w:tc>
        <w:tc>
          <w:tcPr>
            <w:tcW w:w="1880" w:type="dxa"/>
            <w:tcBorders>
              <w:top w:val="nil"/>
              <w:left w:val="nil"/>
              <w:bottom w:val="single" w:sz="4" w:space="0" w:color="auto"/>
              <w:right w:val="single" w:sz="4" w:space="0" w:color="auto"/>
            </w:tcBorders>
            <w:shd w:val="clear" w:color="auto" w:fill="auto"/>
            <w:noWrap/>
            <w:hideMark/>
          </w:tcPr>
          <w:p w14:paraId="3FA58888" w14:textId="77777777" w:rsidR="00F909F5" w:rsidRPr="00F31693" w:rsidRDefault="00F909F5" w:rsidP="000C3642">
            <w:pPr>
              <w:spacing w:after="0" w:line="240" w:lineRule="auto"/>
              <w:jc w:val="center"/>
              <w:rPr>
                <w:rFonts w:eastAsia="Times New Roman" w:cs="Times New Roman"/>
                <w:color w:val="000000"/>
              </w:rPr>
            </w:pPr>
          </w:p>
        </w:tc>
        <w:tc>
          <w:tcPr>
            <w:tcW w:w="1980" w:type="dxa"/>
            <w:tcBorders>
              <w:top w:val="nil"/>
              <w:left w:val="nil"/>
              <w:bottom w:val="single" w:sz="4" w:space="0" w:color="auto"/>
              <w:right w:val="single" w:sz="4" w:space="0" w:color="auto"/>
            </w:tcBorders>
            <w:shd w:val="clear" w:color="auto" w:fill="auto"/>
            <w:noWrap/>
            <w:hideMark/>
          </w:tcPr>
          <w:p w14:paraId="4C738E6A" w14:textId="77777777" w:rsidR="00F909F5" w:rsidRPr="00F31693" w:rsidRDefault="00F909F5" w:rsidP="000C3642">
            <w:pPr>
              <w:spacing w:after="0" w:line="240" w:lineRule="auto"/>
              <w:jc w:val="center"/>
              <w:rPr>
                <w:rFonts w:eastAsia="Times New Roman" w:cs="Times New Roman"/>
                <w:color w:val="000000"/>
              </w:rPr>
            </w:pPr>
          </w:p>
        </w:tc>
      </w:tr>
      <w:tr w:rsidR="00F909F5" w:rsidRPr="00F31693" w14:paraId="7665F6C1" w14:textId="77777777" w:rsidTr="00C20437">
        <w:trPr>
          <w:trHeight w:val="60"/>
        </w:trPr>
        <w:tc>
          <w:tcPr>
            <w:tcW w:w="3020" w:type="dxa"/>
            <w:tcBorders>
              <w:top w:val="nil"/>
              <w:left w:val="single" w:sz="4" w:space="0" w:color="auto"/>
              <w:bottom w:val="single" w:sz="4" w:space="0" w:color="auto"/>
              <w:right w:val="single" w:sz="4" w:space="0" w:color="auto"/>
            </w:tcBorders>
            <w:shd w:val="clear" w:color="auto" w:fill="auto"/>
            <w:noWrap/>
            <w:hideMark/>
          </w:tcPr>
          <w:p w14:paraId="02AF3EBD" w14:textId="77777777" w:rsidR="00F909F5" w:rsidRPr="00F31693" w:rsidRDefault="00F909F5" w:rsidP="00F909F5">
            <w:pPr>
              <w:spacing w:after="0" w:line="240" w:lineRule="auto"/>
              <w:rPr>
                <w:rFonts w:eastAsia="Times New Roman" w:cs="Times New Roman"/>
                <w:b/>
                <w:bCs/>
                <w:color w:val="000000"/>
              </w:rPr>
            </w:pPr>
          </w:p>
        </w:tc>
        <w:tc>
          <w:tcPr>
            <w:tcW w:w="1820" w:type="dxa"/>
            <w:tcBorders>
              <w:top w:val="nil"/>
              <w:left w:val="nil"/>
              <w:bottom w:val="single" w:sz="4" w:space="0" w:color="auto"/>
              <w:right w:val="single" w:sz="4" w:space="0" w:color="auto"/>
            </w:tcBorders>
            <w:shd w:val="clear" w:color="auto" w:fill="auto"/>
            <w:noWrap/>
            <w:hideMark/>
          </w:tcPr>
          <w:p w14:paraId="18068B77" w14:textId="77777777" w:rsidR="00F909F5" w:rsidRPr="00F31693" w:rsidRDefault="00F909F5" w:rsidP="000C3642">
            <w:pPr>
              <w:spacing w:after="0" w:line="240" w:lineRule="auto"/>
              <w:jc w:val="center"/>
              <w:rPr>
                <w:rFonts w:eastAsia="Times New Roman" w:cs="Times New Roman"/>
                <w:color w:val="000000"/>
              </w:rPr>
            </w:pPr>
          </w:p>
        </w:tc>
        <w:tc>
          <w:tcPr>
            <w:tcW w:w="1880" w:type="dxa"/>
            <w:tcBorders>
              <w:top w:val="nil"/>
              <w:left w:val="nil"/>
              <w:bottom w:val="single" w:sz="4" w:space="0" w:color="auto"/>
              <w:right w:val="single" w:sz="4" w:space="0" w:color="auto"/>
            </w:tcBorders>
            <w:shd w:val="clear" w:color="auto" w:fill="auto"/>
            <w:noWrap/>
            <w:hideMark/>
          </w:tcPr>
          <w:p w14:paraId="4E210D8D" w14:textId="77777777" w:rsidR="00F909F5" w:rsidRPr="00F31693" w:rsidRDefault="00F909F5" w:rsidP="000C3642">
            <w:pPr>
              <w:spacing w:after="0" w:line="240" w:lineRule="auto"/>
              <w:jc w:val="center"/>
              <w:rPr>
                <w:rFonts w:eastAsia="Times New Roman" w:cs="Times New Roman"/>
                <w:color w:val="000000"/>
              </w:rPr>
            </w:pPr>
          </w:p>
        </w:tc>
        <w:tc>
          <w:tcPr>
            <w:tcW w:w="1980" w:type="dxa"/>
            <w:tcBorders>
              <w:top w:val="nil"/>
              <w:left w:val="nil"/>
              <w:bottom w:val="single" w:sz="4" w:space="0" w:color="auto"/>
              <w:right w:val="single" w:sz="4" w:space="0" w:color="auto"/>
            </w:tcBorders>
            <w:shd w:val="clear" w:color="auto" w:fill="auto"/>
            <w:noWrap/>
            <w:hideMark/>
          </w:tcPr>
          <w:p w14:paraId="6511C957" w14:textId="77777777" w:rsidR="00F909F5" w:rsidRPr="00F31693" w:rsidRDefault="00F909F5" w:rsidP="000C3642">
            <w:pPr>
              <w:spacing w:after="0" w:line="240" w:lineRule="auto"/>
              <w:jc w:val="center"/>
              <w:rPr>
                <w:rFonts w:eastAsia="Times New Roman" w:cs="Times New Roman"/>
                <w:color w:val="000000"/>
              </w:rPr>
            </w:pPr>
          </w:p>
        </w:tc>
      </w:tr>
      <w:tr w:rsidR="00F909F5" w:rsidRPr="00F31693" w14:paraId="477C19E0" w14:textId="77777777" w:rsidTr="00C20437">
        <w:trPr>
          <w:trHeight w:val="60"/>
        </w:trPr>
        <w:tc>
          <w:tcPr>
            <w:tcW w:w="3020" w:type="dxa"/>
            <w:tcBorders>
              <w:top w:val="nil"/>
              <w:left w:val="single" w:sz="4" w:space="0" w:color="auto"/>
              <w:bottom w:val="single" w:sz="4" w:space="0" w:color="auto"/>
              <w:right w:val="single" w:sz="4" w:space="0" w:color="auto"/>
            </w:tcBorders>
            <w:shd w:val="clear" w:color="auto" w:fill="auto"/>
            <w:noWrap/>
            <w:hideMark/>
          </w:tcPr>
          <w:p w14:paraId="40B83663" w14:textId="77777777" w:rsidR="00F909F5" w:rsidRPr="00F31693" w:rsidRDefault="00F909F5" w:rsidP="00F909F5">
            <w:pPr>
              <w:spacing w:after="0" w:line="240" w:lineRule="auto"/>
              <w:rPr>
                <w:rFonts w:eastAsia="Times New Roman" w:cs="Times New Roman"/>
                <w:b/>
                <w:bCs/>
                <w:color w:val="000000"/>
              </w:rPr>
            </w:pPr>
          </w:p>
        </w:tc>
        <w:tc>
          <w:tcPr>
            <w:tcW w:w="1820" w:type="dxa"/>
            <w:tcBorders>
              <w:top w:val="nil"/>
              <w:left w:val="nil"/>
              <w:bottom w:val="single" w:sz="4" w:space="0" w:color="auto"/>
              <w:right w:val="single" w:sz="4" w:space="0" w:color="auto"/>
            </w:tcBorders>
            <w:shd w:val="clear" w:color="auto" w:fill="auto"/>
            <w:noWrap/>
            <w:hideMark/>
          </w:tcPr>
          <w:p w14:paraId="760B3992" w14:textId="77777777" w:rsidR="00F909F5" w:rsidRPr="00F31693" w:rsidRDefault="00F909F5" w:rsidP="000C3642">
            <w:pPr>
              <w:spacing w:after="0" w:line="240" w:lineRule="auto"/>
              <w:jc w:val="center"/>
              <w:rPr>
                <w:rFonts w:eastAsia="Times New Roman" w:cs="Times New Roman"/>
                <w:color w:val="000000"/>
              </w:rPr>
            </w:pPr>
          </w:p>
        </w:tc>
        <w:tc>
          <w:tcPr>
            <w:tcW w:w="1880" w:type="dxa"/>
            <w:tcBorders>
              <w:top w:val="nil"/>
              <w:left w:val="nil"/>
              <w:bottom w:val="single" w:sz="4" w:space="0" w:color="auto"/>
              <w:right w:val="single" w:sz="4" w:space="0" w:color="auto"/>
            </w:tcBorders>
            <w:shd w:val="clear" w:color="auto" w:fill="auto"/>
            <w:noWrap/>
            <w:hideMark/>
          </w:tcPr>
          <w:p w14:paraId="27AC8C6D" w14:textId="77777777" w:rsidR="00F909F5" w:rsidRPr="00F31693" w:rsidRDefault="00F909F5" w:rsidP="000C3642">
            <w:pPr>
              <w:spacing w:after="0" w:line="240" w:lineRule="auto"/>
              <w:jc w:val="center"/>
              <w:rPr>
                <w:rFonts w:eastAsia="Times New Roman" w:cs="Times New Roman"/>
                <w:color w:val="000000"/>
              </w:rPr>
            </w:pPr>
          </w:p>
        </w:tc>
        <w:tc>
          <w:tcPr>
            <w:tcW w:w="1980" w:type="dxa"/>
            <w:tcBorders>
              <w:top w:val="nil"/>
              <w:left w:val="nil"/>
              <w:bottom w:val="single" w:sz="4" w:space="0" w:color="auto"/>
              <w:right w:val="single" w:sz="4" w:space="0" w:color="auto"/>
            </w:tcBorders>
            <w:shd w:val="clear" w:color="auto" w:fill="auto"/>
            <w:noWrap/>
            <w:hideMark/>
          </w:tcPr>
          <w:p w14:paraId="21940B24" w14:textId="77777777" w:rsidR="00F909F5" w:rsidRPr="00F31693" w:rsidRDefault="00F909F5" w:rsidP="000C3642">
            <w:pPr>
              <w:spacing w:after="0" w:line="240" w:lineRule="auto"/>
              <w:jc w:val="center"/>
              <w:rPr>
                <w:rFonts w:eastAsia="Times New Roman" w:cs="Times New Roman"/>
                <w:color w:val="000000"/>
              </w:rPr>
            </w:pPr>
          </w:p>
        </w:tc>
      </w:tr>
      <w:tr w:rsidR="00F909F5" w:rsidRPr="00F31693" w14:paraId="01702592" w14:textId="77777777" w:rsidTr="00F909F5">
        <w:trPr>
          <w:trHeight w:val="240"/>
        </w:trPr>
        <w:tc>
          <w:tcPr>
            <w:tcW w:w="3020" w:type="dxa"/>
            <w:tcBorders>
              <w:top w:val="nil"/>
              <w:left w:val="single" w:sz="4" w:space="0" w:color="auto"/>
              <w:bottom w:val="single" w:sz="4" w:space="0" w:color="auto"/>
              <w:right w:val="single" w:sz="4" w:space="0" w:color="auto"/>
            </w:tcBorders>
            <w:shd w:val="clear" w:color="auto" w:fill="auto"/>
            <w:noWrap/>
            <w:hideMark/>
          </w:tcPr>
          <w:p w14:paraId="7EF9903F" w14:textId="77777777" w:rsidR="00F909F5" w:rsidRPr="00F31693" w:rsidRDefault="00F909F5" w:rsidP="00FF3BC1">
            <w:pPr>
              <w:spacing w:after="0" w:line="240" w:lineRule="auto"/>
              <w:rPr>
                <w:rFonts w:eastAsia="Times New Roman" w:cs="Times New Roman"/>
                <w:b/>
                <w:bCs/>
                <w:color w:val="000000"/>
              </w:rPr>
            </w:pPr>
            <w:r w:rsidRPr="00F31693">
              <w:rPr>
                <w:rFonts w:eastAsia="Times New Roman" w:cs="Times New Roman"/>
                <w:b/>
                <w:bCs/>
                <w:color w:val="000000"/>
              </w:rPr>
              <w:t>TOTALS:</w:t>
            </w:r>
          </w:p>
        </w:tc>
        <w:tc>
          <w:tcPr>
            <w:tcW w:w="1820" w:type="dxa"/>
            <w:tcBorders>
              <w:top w:val="nil"/>
              <w:left w:val="nil"/>
              <w:bottom w:val="single" w:sz="4" w:space="0" w:color="auto"/>
              <w:right w:val="single" w:sz="4" w:space="0" w:color="auto"/>
            </w:tcBorders>
            <w:shd w:val="clear" w:color="auto" w:fill="auto"/>
            <w:noWrap/>
            <w:hideMark/>
          </w:tcPr>
          <w:p w14:paraId="471FB3FA" w14:textId="77777777" w:rsidR="00F909F5" w:rsidRPr="00F31693" w:rsidRDefault="00F909F5" w:rsidP="00F31330">
            <w:pPr>
              <w:spacing w:after="0" w:line="240" w:lineRule="auto"/>
              <w:jc w:val="center"/>
              <w:rPr>
                <w:rFonts w:eastAsia="Times New Roman" w:cs="Times New Roman"/>
                <w:color w:val="000000"/>
              </w:rPr>
            </w:pPr>
            <w:r w:rsidRPr="00F31693">
              <w:rPr>
                <w:rFonts w:eastAsia="Times New Roman" w:cs="Times New Roman"/>
                <w:color w:val="000000"/>
              </w:rPr>
              <w:t>1</w:t>
            </w:r>
            <w:r w:rsidR="00F31330" w:rsidRPr="00F31693">
              <w:rPr>
                <w:rFonts w:eastAsia="Times New Roman" w:cs="Times New Roman"/>
                <w:color w:val="000000"/>
              </w:rPr>
              <w:t>75</w:t>
            </w:r>
          </w:p>
        </w:tc>
        <w:tc>
          <w:tcPr>
            <w:tcW w:w="1880" w:type="dxa"/>
            <w:tcBorders>
              <w:top w:val="nil"/>
              <w:left w:val="nil"/>
              <w:bottom w:val="single" w:sz="4" w:space="0" w:color="auto"/>
              <w:right w:val="single" w:sz="4" w:space="0" w:color="auto"/>
            </w:tcBorders>
            <w:shd w:val="clear" w:color="auto" w:fill="auto"/>
            <w:noWrap/>
            <w:hideMark/>
          </w:tcPr>
          <w:p w14:paraId="264857A9" w14:textId="77777777" w:rsidR="00F909F5" w:rsidRPr="00F31693" w:rsidRDefault="00F909F5" w:rsidP="000C3642">
            <w:pPr>
              <w:spacing w:after="0" w:line="240" w:lineRule="auto"/>
              <w:jc w:val="center"/>
              <w:rPr>
                <w:rFonts w:eastAsia="Times New Roman" w:cs="Times New Roman"/>
                <w:color w:val="000000"/>
              </w:rPr>
            </w:pPr>
            <w:r w:rsidRPr="00F31693">
              <w:rPr>
                <w:rFonts w:eastAsia="Times New Roman" w:cs="Times New Roman"/>
                <w:color w:val="000000"/>
              </w:rPr>
              <w:t>0</w:t>
            </w:r>
          </w:p>
        </w:tc>
        <w:tc>
          <w:tcPr>
            <w:tcW w:w="1980" w:type="dxa"/>
            <w:tcBorders>
              <w:top w:val="nil"/>
              <w:left w:val="nil"/>
              <w:bottom w:val="single" w:sz="4" w:space="0" w:color="auto"/>
              <w:right w:val="single" w:sz="4" w:space="0" w:color="auto"/>
            </w:tcBorders>
            <w:shd w:val="clear" w:color="auto" w:fill="auto"/>
            <w:noWrap/>
            <w:hideMark/>
          </w:tcPr>
          <w:p w14:paraId="4057C011" w14:textId="77777777" w:rsidR="00F909F5" w:rsidRPr="00F31693" w:rsidRDefault="00F909F5" w:rsidP="00F31330">
            <w:pPr>
              <w:spacing w:after="0" w:line="240" w:lineRule="auto"/>
              <w:jc w:val="center"/>
              <w:rPr>
                <w:rFonts w:eastAsia="Times New Roman" w:cs="Times New Roman"/>
                <w:color w:val="000000"/>
              </w:rPr>
            </w:pPr>
            <w:r w:rsidRPr="00F31693">
              <w:rPr>
                <w:rFonts w:eastAsia="Times New Roman" w:cs="Times New Roman"/>
                <w:color w:val="000000"/>
              </w:rPr>
              <w:t>$</w:t>
            </w:r>
            <w:r w:rsidR="00F31330" w:rsidRPr="00F31693">
              <w:rPr>
                <w:rFonts w:eastAsia="Times New Roman" w:cs="Times New Roman"/>
                <w:color w:val="000000"/>
              </w:rPr>
              <w:t>1,305,571.43</w:t>
            </w:r>
          </w:p>
        </w:tc>
      </w:tr>
    </w:tbl>
    <w:p w14:paraId="465DF9E7" w14:textId="77777777" w:rsidR="00155947" w:rsidRPr="00F31693" w:rsidRDefault="00155947" w:rsidP="0048130B">
      <w:pPr>
        <w:pStyle w:val="NoSpacing"/>
      </w:pPr>
    </w:p>
    <w:p w14:paraId="1E48DEAD" w14:textId="77777777" w:rsidR="00C20437" w:rsidRPr="00F31693" w:rsidRDefault="00C20437" w:rsidP="00C20437">
      <w:r w:rsidRPr="00F31693">
        <w:t>For fiscal year 201</w:t>
      </w:r>
      <w:r w:rsidR="00F557E7">
        <w:t>6</w:t>
      </w:r>
      <w:r w:rsidRPr="00F31693">
        <w:t xml:space="preserve"> the Bank processed 181 international wire transfers for customers, 178 totaling </w:t>
      </w:r>
      <w:r w:rsidRPr="00F31693">
        <w:rPr>
          <w:rFonts w:ascii="Calibri" w:eastAsia="Times New Roman" w:hAnsi="Calibri" w:cs="Times New Roman"/>
          <w:color w:val="000000"/>
        </w:rPr>
        <w:t xml:space="preserve">$1,452,003.05 </w:t>
      </w:r>
      <w:r w:rsidRPr="00F31693">
        <w:t xml:space="preserve">incoming and 3 wires totaling $14,217.15 outgoing. </w:t>
      </w:r>
    </w:p>
    <w:tbl>
      <w:tblPr>
        <w:tblW w:w="8200" w:type="dxa"/>
        <w:tblInd w:w="95" w:type="dxa"/>
        <w:tblLook w:val="04A0" w:firstRow="1" w:lastRow="0" w:firstColumn="1" w:lastColumn="0" w:noHBand="0" w:noVBand="1"/>
      </w:tblPr>
      <w:tblGrid>
        <w:gridCol w:w="3260"/>
        <w:gridCol w:w="1580"/>
        <w:gridCol w:w="1497"/>
        <w:gridCol w:w="1059"/>
        <w:gridCol w:w="1219"/>
      </w:tblGrid>
      <w:tr w:rsidR="00C20437" w:rsidRPr="00F31693" w14:paraId="62934751" w14:textId="77777777" w:rsidTr="00EA7139">
        <w:trPr>
          <w:trHeight w:val="6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343EC" w14:textId="77777777" w:rsidR="00C20437" w:rsidRPr="00F31693" w:rsidRDefault="00C20437" w:rsidP="00EA7139">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Country</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68A1B3F6" w14:textId="77777777" w:rsidR="00C20437" w:rsidRPr="00F31693" w:rsidRDefault="00C20437" w:rsidP="00EA7139">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Incoming Count</w:t>
            </w:r>
          </w:p>
        </w:tc>
        <w:tc>
          <w:tcPr>
            <w:tcW w:w="1340" w:type="dxa"/>
            <w:tcBorders>
              <w:top w:val="single" w:sz="4" w:space="0" w:color="auto"/>
              <w:left w:val="nil"/>
              <w:bottom w:val="single" w:sz="4" w:space="0" w:color="auto"/>
              <w:right w:val="single" w:sz="4" w:space="0" w:color="auto"/>
            </w:tcBorders>
            <w:shd w:val="clear" w:color="auto" w:fill="auto"/>
            <w:vAlign w:val="bottom"/>
            <w:hideMark/>
          </w:tcPr>
          <w:p w14:paraId="1E81CEB1" w14:textId="77777777" w:rsidR="00C20437" w:rsidRPr="00F31693" w:rsidRDefault="00C20437" w:rsidP="00EA7139">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Incoming</w:t>
            </w:r>
            <w:r w:rsidRPr="00F31693">
              <w:rPr>
                <w:rFonts w:ascii="Calibri" w:eastAsia="Times New Roman" w:hAnsi="Calibri" w:cs="Times New Roman"/>
                <w:b/>
                <w:bCs/>
                <w:color w:val="000000"/>
              </w:rPr>
              <w:br/>
              <w:t xml:space="preserve"> Amount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E32C79" w14:textId="77777777" w:rsidR="00C20437" w:rsidRPr="00F31693" w:rsidRDefault="00C20437" w:rsidP="00EA7139">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Outgoing</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4A2E056F" w14:textId="77777777" w:rsidR="00C20437" w:rsidRPr="00F31693" w:rsidRDefault="00C20437" w:rsidP="00EA7139">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Outgoing Amount</w:t>
            </w:r>
          </w:p>
        </w:tc>
      </w:tr>
      <w:tr w:rsidR="00C20437" w:rsidRPr="00F31693" w14:paraId="0967254E"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723E004"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Argentina</w:t>
            </w:r>
          </w:p>
        </w:tc>
        <w:tc>
          <w:tcPr>
            <w:tcW w:w="1580" w:type="dxa"/>
            <w:tcBorders>
              <w:top w:val="nil"/>
              <w:left w:val="nil"/>
              <w:bottom w:val="single" w:sz="4" w:space="0" w:color="auto"/>
              <w:right w:val="single" w:sz="4" w:space="0" w:color="auto"/>
            </w:tcBorders>
            <w:shd w:val="clear" w:color="auto" w:fill="auto"/>
            <w:noWrap/>
            <w:vAlign w:val="bottom"/>
            <w:hideMark/>
          </w:tcPr>
          <w:p w14:paraId="4655E161"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w:t>
            </w:r>
          </w:p>
        </w:tc>
        <w:tc>
          <w:tcPr>
            <w:tcW w:w="1340" w:type="dxa"/>
            <w:tcBorders>
              <w:top w:val="nil"/>
              <w:left w:val="nil"/>
              <w:bottom w:val="single" w:sz="4" w:space="0" w:color="auto"/>
              <w:right w:val="single" w:sz="4" w:space="0" w:color="auto"/>
            </w:tcBorders>
            <w:shd w:val="clear" w:color="auto" w:fill="auto"/>
            <w:noWrap/>
            <w:vAlign w:val="bottom"/>
            <w:hideMark/>
          </w:tcPr>
          <w:p w14:paraId="67B41D9A"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$27,980.00</w:t>
            </w:r>
          </w:p>
        </w:tc>
        <w:tc>
          <w:tcPr>
            <w:tcW w:w="960" w:type="dxa"/>
            <w:tcBorders>
              <w:top w:val="nil"/>
              <w:left w:val="nil"/>
              <w:bottom w:val="single" w:sz="4" w:space="0" w:color="auto"/>
              <w:right w:val="single" w:sz="4" w:space="0" w:color="auto"/>
            </w:tcBorders>
            <w:shd w:val="clear" w:color="auto" w:fill="auto"/>
            <w:noWrap/>
            <w:vAlign w:val="bottom"/>
            <w:hideMark/>
          </w:tcPr>
          <w:p w14:paraId="03E09536"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59C8DA2F"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08A482C2"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50EC7D9"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Austria</w:t>
            </w:r>
          </w:p>
        </w:tc>
        <w:tc>
          <w:tcPr>
            <w:tcW w:w="1580" w:type="dxa"/>
            <w:tcBorders>
              <w:top w:val="nil"/>
              <w:left w:val="nil"/>
              <w:bottom w:val="single" w:sz="4" w:space="0" w:color="auto"/>
              <w:right w:val="single" w:sz="4" w:space="0" w:color="auto"/>
            </w:tcBorders>
            <w:shd w:val="clear" w:color="auto" w:fill="auto"/>
            <w:noWrap/>
            <w:vAlign w:val="bottom"/>
            <w:hideMark/>
          </w:tcPr>
          <w:p w14:paraId="3315B79C"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6331A51A"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$1,225.90</w:t>
            </w:r>
          </w:p>
        </w:tc>
        <w:tc>
          <w:tcPr>
            <w:tcW w:w="960" w:type="dxa"/>
            <w:tcBorders>
              <w:top w:val="nil"/>
              <w:left w:val="nil"/>
              <w:bottom w:val="single" w:sz="4" w:space="0" w:color="auto"/>
              <w:right w:val="single" w:sz="4" w:space="0" w:color="auto"/>
            </w:tcBorders>
            <w:shd w:val="clear" w:color="auto" w:fill="auto"/>
            <w:noWrap/>
            <w:vAlign w:val="bottom"/>
            <w:hideMark/>
          </w:tcPr>
          <w:p w14:paraId="0297B097"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105E31AD"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60A50DCD"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2A390CD7"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Barbados</w:t>
            </w:r>
          </w:p>
        </w:tc>
        <w:tc>
          <w:tcPr>
            <w:tcW w:w="1580" w:type="dxa"/>
            <w:tcBorders>
              <w:top w:val="nil"/>
              <w:left w:val="nil"/>
              <w:bottom w:val="single" w:sz="4" w:space="0" w:color="auto"/>
              <w:right w:val="single" w:sz="4" w:space="0" w:color="auto"/>
            </w:tcBorders>
            <w:shd w:val="clear" w:color="auto" w:fill="auto"/>
            <w:noWrap/>
            <w:vAlign w:val="bottom"/>
            <w:hideMark/>
          </w:tcPr>
          <w:p w14:paraId="69AE6F11"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w:t>
            </w:r>
          </w:p>
        </w:tc>
        <w:tc>
          <w:tcPr>
            <w:tcW w:w="1340" w:type="dxa"/>
            <w:tcBorders>
              <w:top w:val="nil"/>
              <w:left w:val="nil"/>
              <w:bottom w:val="single" w:sz="4" w:space="0" w:color="auto"/>
              <w:right w:val="single" w:sz="4" w:space="0" w:color="auto"/>
            </w:tcBorders>
            <w:shd w:val="clear" w:color="auto" w:fill="auto"/>
            <w:noWrap/>
            <w:vAlign w:val="bottom"/>
            <w:hideMark/>
          </w:tcPr>
          <w:p w14:paraId="63E7CCA5"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$5,172.00</w:t>
            </w:r>
          </w:p>
        </w:tc>
        <w:tc>
          <w:tcPr>
            <w:tcW w:w="960" w:type="dxa"/>
            <w:tcBorders>
              <w:top w:val="nil"/>
              <w:left w:val="nil"/>
              <w:bottom w:val="single" w:sz="4" w:space="0" w:color="auto"/>
              <w:right w:val="single" w:sz="4" w:space="0" w:color="auto"/>
            </w:tcBorders>
            <w:shd w:val="clear" w:color="auto" w:fill="auto"/>
            <w:noWrap/>
            <w:vAlign w:val="bottom"/>
            <w:hideMark/>
          </w:tcPr>
          <w:p w14:paraId="4EA2BE3E"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5469245E"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59430FED"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70F61A4"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Canada</w:t>
            </w:r>
          </w:p>
        </w:tc>
        <w:tc>
          <w:tcPr>
            <w:tcW w:w="1580" w:type="dxa"/>
            <w:tcBorders>
              <w:top w:val="nil"/>
              <w:left w:val="nil"/>
              <w:bottom w:val="single" w:sz="4" w:space="0" w:color="auto"/>
              <w:right w:val="single" w:sz="4" w:space="0" w:color="auto"/>
            </w:tcBorders>
            <w:shd w:val="clear" w:color="auto" w:fill="auto"/>
            <w:noWrap/>
            <w:vAlign w:val="bottom"/>
            <w:hideMark/>
          </w:tcPr>
          <w:p w14:paraId="6421A731"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13</w:t>
            </w:r>
          </w:p>
        </w:tc>
        <w:tc>
          <w:tcPr>
            <w:tcW w:w="1340" w:type="dxa"/>
            <w:tcBorders>
              <w:top w:val="nil"/>
              <w:left w:val="nil"/>
              <w:bottom w:val="single" w:sz="4" w:space="0" w:color="auto"/>
              <w:right w:val="single" w:sz="4" w:space="0" w:color="auto"/>
            </w:tcBorders>
            <w:shd w:val="clear" w:color="auto" w:fill="auto"/>
            <w:noWrap/>
            <w:vAlign w:val="bottom"/>
            <w:hideMark/>
          </w:tcPr>
          <w:p w14:paraId="7A18021A"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$368,660.40</w:t>
            </w:r>
          </w:p>
        </w:tc>
        <w:tc>
          <w:tcPr>
            <w:tcW w:w="960" w:type="dxa"/>
            <w:tcBorders>
              <w:top w:val="nil"/>
              <w:left w:val="nil"/>
              <w:bottom w:val="single" w:sz="4" w:space="0" w:color="auto"/>
              <w:right w:val="single" w:sz="4" w:space="0" w:color="auto"/>
            </w:tcBorders>
            <w:shd w:val="clear" w:color="auto" w:fill="auto"/>
            <w:noWrap/>
            <w:vAlign w:val="bottom"/>
            <w:hideMark/>
          </w:tcPr>
          <w:p w14:paraId="06159097"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0458AF20"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7E839258"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CC6E4DD"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China</w:t>
            </w:r>
          </w:p>
        </w:tc>
        <w:tc>
          <w:tcPr>
            <w:tcW w:w="1580" w:type="dxa"/>
            <w:tcBorders>
              <w:top w:val="nil"/>
              <w:left w:val="nil"/>
              <w:bottom w:val="single" w:sz="4" w:space="0" w:color="auto"/>
              <w:right w:val="single" w:sz="4" w:space="0" w:color="auto"/>
            </w:tcBorders>
            <w:shd w:val="clear" w:color="auto" w:fill="auto"/>
            <w:noWrap/>
            <w:vAlign w:val="bottom"/>
            <w:hideMark/>
          </w:tcPr>
          <w:p w14:paraId="7546F675"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12</w:t>
            </w:r>
          </w:p>
        </w:tc>
        <w:tc>
          <w:tcPr>
            <w:tcW w:w="1340" w:type="dxa"/>
            <w:tcBorders>
              <w:top w:val="nil"/>
              <w:left w:val="nil"/>
              <w:bottom w:val="single" w:sz="4" w:space="0" w:color="auto"/>
              <w:right w:val="single" w:sz="4" w:space="0" w:color="auto"/>
            </w:tcBorders>
            <w:shd w:val="clear" w:color="auto" w:fill="auto"/>
            <w:noWrap/>
            <w:vAlign w:val="bottom"/>
            <w:hideMark/>
          </w:tcPr>
          <w:p w14:paraId="3E69D03A"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$68,368.40</w:t>
            </w:r>
          </w:p>
        </w:tc>
        <w:tc>
          <w:tcPr>
            <w:tcW w:w="960" w:type="dxa"/>
            <w:tcBorders>
              <w:top w:val="nil"/>
              <w:left w:val="nil"/>
              <w:bottom w:val="single" w:sz="4" w:space="0" w:color="auto"/>
              <w:right w:val="single" w:sz="4" w:space="0" w:color="auto"/>
            </w:tcBorders>
            <w:shd w:val="clear" w:color="auto" w:fill="auto"/>
            <w:noWrap/>
            <w:vAlign w:val="bottom"/>
            <w:hideMark/>
          </w:tcPr>
          <w:p w14:paraId="7C66264C"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75D81AA8"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1F5054D2"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89228CA"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Colombia</w:t>
            </w:r>
          </w:p>
        </w:tc>
        <w:tc>
          <w:tcPr>
            <w:tcW w:w="1580" w:type="dxa"/>
            <w:tcBorders>
              <w:top w:val="nil"/>
              <w:left w:val="nil"/>
              <w:bottom w:val="single" w:sz="4" w:space="0" w:color="auto"/>
              <w:right w:val="single" w:sz="4" w:space="0" w:color="auto"/>
            </w:tcBorders>
            <w:shd w:val="clear" w:color="auto" w:fill="auto"/>
            <w:noWrap/>
            <w:vAlign w:val="bottom"/>
            <w:hideMark/>
          </w:tcPr>
          <w:p w14:paraId="3A3399BC"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5</w:t>
            </w:r>
          </w:p>
        </w:tc>
        <w:tc>
          <w:tcPr>
            <w:tcW w:w="1340" w:type="dxa"/>
            <w:tcBorders>
              <w:top w:val="nil"/>
              <w:left w:val="nil"/>
              <w:bottom w:val="single" w:sz="4" w:space="0" w:color="auto"/>
              <w:right w:val="single" w:sz="4" w:space="0" w:color="auto"/>
            </w:tcBorders>
            <w:shd w:val="clear" w:color="auto" w:fill="auto"/>
            <w:noWrap/>
            <w:vAlign w:val="bottom"/>
            <w:hideMark/>
          </w:tcPr>
          <w:p w14:paraId="689D9EA8"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$55,377.77</w:t>
            </w:r>
          </w:p>
        </w:tc>
        <w:tc>
          <w:tcPr>
            <w:tcW w:w="960" w:type="dxa"/>
            <w:tcBorders>
              <w:top w:val="nil"/>
              <w:left w:val="nil"/>
              <w:bottom w:val="single" w:sz="4" w:space="0" w:color="auto"/>
              <w:right w:val="single" w:sz="4" w:space="0" w:color="auto"/>
            </w:tcBorders>
            <w:shd w:val="clear" w:color="auto" w:fill="auto"/>
            <w:noWrap/>
            <w:vAlign w:val="bottom"/>
            <w:hideMark/>
          </w:tcPr>
          <w:p w14:paraId="01DC7950"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0226A338"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292916E7"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7D2AC9C"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Costa Rica</w:t>
            </w:r>
          </w:p>
        </w:tc>
        <w:tc>
          <w:tcPr>
            <w:tcW w:w="1580" w:type="dxa"/>
            <w:tcBorders>
              <w:top w:val="nil"/>
              <w:left w:val="nil"/>
              <w:bottom w:val="single" w:sz="4" w:space="0" w:color="auto"/>
              <w:right w:val="single" w:sz="4" w:space="0" w:color="auto"/>
            </w:tcBorders>
            <w:shd w:val="clear" w:color="auto" w:fill="auto"/>
            <w:noWrap/>
            <w:vAlign w:val="bottom"/>
            <w:hideMark/>
          </w:tcPr>
          <w:p w14:paraId="1834DB4E"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3ECDF1C3"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$280.00</w:t>
            </w:r>
          </w:p>
        </w:tc>
        <w:tc>
          <w:tcPr>
            <w:tcW w:w="960" w:type="dxa"/>
            <w:tcBorders>
              <w:top w:val="nil"/>
              <w:left w:val="nil"/>
              <w:bottom w:val="single" w:sz="4" w:space="0" w:color="auto"/>
              <w:right w:val="single" w:sz="4" w:space="0" w:color="auto"/>
            </w:tcBorders>
            <w:shd w:val="clear" w:color="auto" w:fill="auto"/>
            <w:noWrap/>
            <w:vAlign w:val="bottom"/>
            <w:hideMark/>
          </w:tcPr>
          <w:p w14:paraId="7DC0A90B"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6321F7B7"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00D8F5BE"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28605338"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Croatia</w:t>
            </w:r>
          </w:p>
        </w:tc>
        <w:tc>
          <w:tcPr>
            <w:tcW w:w="1580" w:type="dxa"/>
            <w:tcBorders>
              <w:top w:val="nil"/>
              <w:left w:val="nil"/>
              <w:bottom w:val="single" w:sz="4" w:space="0" w:color="auto"/>
              <w:right w:val="single" w:sz="4" w:space="0" w:color="auto"/>
            </w:tcBorders>
            <w:shd w:val="clear" w:color="auto" w:fill="auto"/>
            <w:noWrap/>
            <w:vAlign w:val="bottom"/>
            <w:hideMark/>
          </w:tcPr>
          <w:p w14:paraId="126540C5"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12</w:t>
            </w:r>
          </w:p>
        </w:tc>
        <w:tc>
          <w:tcPr>
            <w:tcW w:w="1340" w:type="dxa"/>
            <w:tcBorders>
              <w:top w:val="nil"/>
              <w:left w:val="nil"/>
              <w:bottom w:val="single" w:sz="4" w:space="0" w:color="auto"/>
              <w:right w:val="single" w:sz="4" w:space="0" w:color="auto"/>
            </w:tcBorders>
            <w:shd w:val="clear" w:color="auto" w:fill="auto"/>
            <w:noWrap/>
            <w:vAlign w:val="bottom"/>
            <w:hideMark/>
          </w:tcPr>
          <w:p w14:paraId="51728C99"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$2,114.36</w:t>
            </w:r>
          </w:p>
        </w:tc>
        <w:tc>
          <w:tcPr>
            <w:tcW w:w="960" w:type="dxa"/>
            <w:tcBorders>
              <w:top w:val="nil"/>
              <w:left w:val="nil"/>
              <w:bottom w:val="single" w:sz="4" w:space="0" w:color="auto"/>
              <w:right w:val="single" w:sz="4" w:space="0" w:color="auto"/>
            </w:tcBorders>
            <w:shd w:val="clear" w:color="auto" w:fill="auto"/>
            <w:noWrap/>
            <w:vAlign w:val="bottom"/>
            <w:hideMark/>
          </w:tcPr>
          <w:p w14:paraId="3288AAEA"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4011AAF9"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6BD1514E"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E5820FD"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Dominican Republic</w:t>
            </w:r>
          </w:p>
        </w:tc>
        <w:tc>
          <w:tcPr>
            <w:tcW w:w="1580" w:type="dxa"/>
            <w:tcBorders>
              <w:top w:val="nil"/>
              <w:left w:val="nil"/>
              <w:bottom w:val="single" w:sz="4" w:space="0" w:color="auto"/>
              <w:right w:val="single" w:sz="4" w:space="0" w:color="auto"/>
            </w:tcBorders>
            <w:shd w:val="clear" w:color="auto" w:fill="auto"/>
            <w:noWrap/>
            <w:vAlign w:val="bottom"/>
            <w:hideMark/>
          </w:tcPr>
          <w:p w14:paraId="35F64EC5"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w:t>
            </w:r>
          </w:p>
        </w:tc>
        <w:tc>
          <w:tcPr>
            <w:tcW w:w="1340" w:type="dxa"/>
            <w:tcBorders>
              <w:top w:val="nil"/>
              <w:left w:val="nil"/>
              <w:bottom w:val="single" w:sz="4" w:space="0" w:color="auto"/>
              <w:right w:val="single" w:sz="4" w:space="0" w:color="auto"/>
            </w:tcBorders>
            <w:shd w:val="clear" w:color="auto" w:fill="auto"/>
            <w:noWrap/>
            <w:vAlign w:val="bottom"/>
            <w:hideMark/>
          </w:tcPr>
          <w:p w14:paraId="4538BE22"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$15,772.62</w:t>
            </w:r>
          </w:p>
        </w:tc>
        <w:tc>
          <w:tcPr>
            <w:tcW w:w="960" w:type="dxa"/>
            <w:tcBorders>
              <w:top w:val="nil"/>
              <w:left w:val="nil"/>
              <w:bottom w:val="single" w:sz="4" w:space="0" w:color="auto"/>
              <w:right w:val="single" w:sz="4" w:space="0" w:color="auto"/>
            </w:tcBorders>
            <w:shd w:val="clear" w:color="auto" w:fill="auto"/>
            <w:noWrap/>
            <w:vAlign w:val="bottom"/>
            <w:hideMark/>
          </w:tcPr>
          <w:p w14:paraId="2CE3095A"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1CEA83DC"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33F87A42"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8291AFD"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Finland</w:t>
            </w:r>
          </w:p>
        </w:tc>
        <w:tc>
          <w:tcPr>
            <w:tcW w:w="1580" w:type="dxa"/>
            <w:tcBorders>
              <w:top w:val="nil"/>
              <w:left w:val="nil"/>
              <w:bottom w:val="single" w:sz="4" w:space="0" w:color="auto"/>
              <w:right w:val="single" w:sz="4" w:space="0" w:color="auto"/>
            </w:tcBorders>
            <w:shd w:val="clear" w:color="auto" w:fill="auto"/>
            <w:noWrap/>
            <w:vAlign w:val="bottom"/>
            <w:hideMark/>
          </w:tcPr>
          <w:p w14:paraId="3BFD4D47"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14:paraId="7F8A6FCF"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$2,677.00</w:t>
            </w:r>
          </w:p>
        </w:tc>
        <w:tc>
          <w:tcPr>
            <w:tcW w:w="960" w:type="dxa"/>
            <w:tcBorders>
              <w:top w:val="nil"/>
              <w:left w:val="nil"/>
              <w:bottom w:val="single" w:sz="4" w:space="0" w:color="auto"/>
              <w:right w:val="single" w:sz="4" w:space="0" w:color="auto"/>
            </w:tcBorders>
            <w:shd w:val="clear" w:color="auto" w:fill="auto"/>
            <w:noWrap/>
            <w:vAlign w:val="bottom"/>
            <w:hideMark/>
          </w:tcPr>
          <w:p w14:paraId="7CF0624A"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2CF7A818"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56A32FBE"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E771223"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France</w:t>
            </w:r>
          </w:p>
        </w:tc>
        <w:tc>
          <w:tcPr>
            <w:tcW w:w="1580" w:type="dxa"/>
            <w:tcBorders>
              <w:top w:val="nil"/>
              <w:left w:val="nil"/>
              <w:bottom w:val="single" w:sz="4" w:space="0" w:color="auto"/>
              <w:right w:val="single" w:sz="4" w:space="0" w:color="auto"/>
            </w:tcBorders>
            <w:shd w:val="clear" w:color="auto" w:fill="auto"/>
            <w:noWrap/>
            <w:vAlign w:val="bottom"/>
            <w:hideMark/>
          </w:tcPr>
          <w:p w14:paraId="18FFB297"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14:paraId="24731796"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$689.70</w:t>
            </w:r>
          </w:p>
        </w:tc>
        <w:tc>
          <w:tcPr>
            <w:tcW w:w="960" w:type="dxa"/>
            <w:tcBorders>
              <w:top w:val="nil"/>
              <w:left w:val="nil"/>
              <w:bottom w:val="single" w:sz="4" w:space="0" w:color="auto"/>
              <w:right w:val="single" w:sz="4" w:space="0" w:color="auto"/>
            </w:tcBorders>
            <w:shd w:val="clear" w:color="auto" w:fill="auto"/>
            <w:noWrap/>
            <w:vAlign w:val="bottom"/>
            <w:hideMark/>
          </w:tcPr>
          <w:p w14:paraId="6E5C88F7"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6EFF63C3"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4E96029C"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D6B6842"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Georgia</w:t>
            </w:r>
          </w:p>
        </w:tc>
        <w:tc>
          <w:tcPr>
            <w:tcW w:w="1580" w:type="dxa"/>
            <w:tcBorders>
              <w:top w:val="nil"/>
              <w:left w:val="nil"/>
              <w:bottom w:val="single" w:sz="4" w:space="0" w:color="auto"/>
              <w:right w:val="single" w:sz="4" w:space="0" w:color="auto"/>
            </w:tcBorders>
            <w:shd w:val="clear" w:color="auto" w:fill="auto"/>
            <w:noWrap/>
            <w:vAlign w:val="bottom"/>
            <w:hideMark/>
          </w:tcPr>
          <w:p w14:paraId="2C8B9CD2"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030BECE6"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$365.00</w:t>
            </w:r>
          </w:p>
        </w:tc>
        <w:tc>
          <w:tcPr>
            <w:tcW w:w="960" w:type="dxa"/>
            <w:tcBorders>
              <w:top w:val="nil"/>
              <w:left w:val="nil"/>
              <w:bottom w:val="single" w:sz="4" w:space="0" w:color="auto"/>
              <w:right w:val="single" w:sz="4" w:space="0" w:color="auto"/>
            </w:tcBorders>
            <w:shd w:val="clear" w:color="auto" w:fill="auto"/>
            <w:noWrap/>
            <w:vAlign w:val="bottom"/>
            <w:hideMark/>
          </w:tcPr>
          <w:p w14:paraId="7B8BE767"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41394EEF"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0CBD0D12"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BEF0811"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Germany</w:t>
            </w:r>
          </w:p>
        </w:tc>
        <w:tc>
          <w:tcPr>
            <w:tcW w:w="1580" w:type="dxa"/>
            <w:tcBorders>
              <w:top w:val="nil"/>
              <w:left w:val="nil"/>
              <w:bottom w:val="single" w:sz="4" w:space="0" w:color="auto"/>
              <w:right w:val="single" w:sz="4" w:space="0" w:color="auto"/>
            </w:tcBorders>
            <w:shd w:val="clear" w:color="auto" w:fill="auto"/>
            <w:noWrap/>
            <w:vAlign w:val="bottom"/>
            <w:hideMark/>
          </w:tcPr>
          <w:p w14:paraId="4C155582"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5</w:t>
            </w:r>
          </w:p>
        </w:tc>
        <w:tc>
          <w:tcPr>
            <w:tcW w:w="1340" w:type="dxa"/>
            <w:tcBorders>
              <w:top w:val="nil"/>
              <w:left w:val="nil"/>
              <w:bottom w:val="single" w:sz="4" w:space="0" w:color="auto"/>
              <w:right w:val="single" w:sz="4" w:space="0" w:color="auto"/>
            </w:tcBorders>
            <w:shd w:val="clear" w:color="auto" w:fill="auto"/>
            <w:noWrap/>
            <w:vAlign w:val="bottom"/>
            <w:hideMark/>
          </w:tcPr>
          <w:p w14:paraId="697E3444"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$2,825.00</w:t>
            </w:r>
          </w:p>
        </w:tc>
        <w:tc>
          <w:tcPr>
            <w:tcW w:w="960" w:type="dxa"/>
            <w:tcBorders>
              <w:top w:val="nil"/>
              <w:left w:val="nil"/>
              <w:bottom w:val="single" w:sz="4" w:space="0" w:color="auto"/>
              <w:right w:val="single" w:sz="4" w:space="0" w:color="auto"/>
            </w:tcBorders>
            <w:shd w:val="clear" w:color="auto" w:fill="auto"/>
            <w:noWrap/>
            <w:vAlign w:val="bottom"/>
            <w:hideMark/>
          </w:tcPr>
          <w:p w14:paraId="29A7FEF4"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2CEC9FD9"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5AFF1175"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BAB18B8"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Haiti</w:t>
            </w:r>
          </w:p>
        </w:tc>
        <w:tc>
          <w:tcPr>
            <w:tcW w:w="1580" w:type="dxa"/>
            <w:tcBorders>
              <w:top w:val="nil"/>
              <w:left w:val="nil"/>
              <w:bottom w:val="single" w:sz="4" w:space="0" w:color="auto"/>
              <w:right w:val="single" w:sz="4" w:space="0" w:color="auto"/>
            </w:tcBorders>
            <w:shd w:val="clear" w:color="auto" w:fill="auto"/>
            <w:noWrap/>
            <w:vAlign w:val="bottom"/>
            <w:hideMark/>
          </w:tcPr>
          <w:p w14:paraId="7DE038FC"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1DF71C33"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$1,258.70</w:t>
            </w:r>
          </w:p>
        </w:tc>
        <w:tc>
          <w:tcPr>
            <w:tcW w:w="960" w:type="dxa"/>
            <w:tcBorders>
              <w:top w:val="nil"/>
              <w:left w:val="nil"/>
              <w:bottom w:val="single" w:sz="4" w:space="0" w:color="auto"/>
              <w:right w:val="single" w:sz="4" w:space="0" w:color="auto"/>
            </w:tcBorders>
            <w:shd w:val="clear" w:color="auto" w:fill="auto"/>
            <w:noWrap/>
            <w:vAlign w:val="bottom"/>
            <w:hideMark/>
          </w:tcPr>
          <w:p w14:paraId="2C01A5B9"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563F71D6"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39077206"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64D92DE"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Hong Kong</w:t>
            </w:r>
          </w:p>
        </w:tc>
        <w:tc>
          <w:tcPr>
            <w:tcW w:w="1580" w:type="dxa"/>
            <w:tcBorders>
              <w:top w:val="nil"/>
              <w:left w:val="nil"/>
              <w:bottom w:val="single" w:sz="4" w:space="0" w:color="auto"/>
              <w:right w:val="single" w:sz="4" w:space="0" w:color="auto"/>
            </w:tcBorders>
            <w:shd w:val="clear" w:color="auto" w:fill="auto"/>
            <w:noWrap/>
            <w:vAlign w:val="bottom"/>
            <w:hideMark/>
          </w:tcPr>
          <w:p w14:paraId="69080E8F"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12</w:t>
            </w:r>
          </w:p>
        </w:tc>
        <w:tc>
          <w:tcPr>
            <w:tcW w:w="1340" w:type="dxa"/>
            <w:tcBorders>
              <w:top w:val="nil"/>
              <w:left w:val="nil"/>
              <w:bottom w:val="single" w:sz="4" w:space="0" w:color="auto"/>
              <w:right w:val="single" w:sz="4" w:space="0" w:color="auto"/>
            </w:tcBorders>
            <w:shd w:val="clear" w:color="auto" w:fill="auto"/>
            <w:noWrap/>
            <w:vAlign w:val="bottom"/>
            <w:hideMark/>
          </w:tcPr>
          <w:p w14:paraId="752381D3"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$182,308.25</w:t>
            </w:r>
          </w:p>
        </w:tc>
        <w:tc>
          <w:tcPr>
            <w:tcW w:w="960" w:type="dxa"/>
            <w:tcBorders>
              <w:top w:val="nil"/>
              <w:left w:val="nil"/>
              <w:bottom w:val="single" w:sz="4" w:space="0" w:color="auto"/>
              <w:right w:val="single" w:sz="4" w:space="0" w:color="auto"/>
            </w:tcBorders>
            <w:shd w:val="clear" w:color="auto" w:fill="auto"/>
            <w:noWrap/>
            <w:vAlign w:val="bottom"/>
            <w:hideMark/>
          </w:tcPr>
          <w:p w14:paraId="6E3881D9"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14:paraId="08DA47F7"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$11,460.00</w:t>
            </w:r>
          </w:p>
        </w:tc>
      </w:tr>
      <w:tr w:rsidR="00C20437" w:rsidRPr="00F31693" w14:paraId="62ACFE56"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DAE18DC"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India</w:t>
            </w:r>
          </w:p>
        </w:tc>
        <w:tc>
          <w:tcPr>
            <w:tcW w:w="1580" w:type="dxa"/>
            <w:tcBorders>
              <w:top w:val="nil"/>
              <w:left w:val="nil"/>
              <w:bottom w:val="single" w:sz="4" w:space="0" w:color="auto"/>
              <w:right w:val="single" w:sz="4" w:space="0" w:color="auto"/>
            </w:tcBorders>
            <w:shd w:val="clear" w:color="auto" w:fill="auto"/>
            <w:noWrap/>
            <w:vAlign w:val="bottom"/>
            <w:hideMark/>
          </w:tcPr>
          <w:p w14:paraId="4AFC911B"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w:t>
            </w:r>
          </w:p>
        </w:tc>
        <w:tc>
          <w:tcPr>
            <w:tcW w:w="1340" w:type="dxa"/>
            <w:tcBorders>
              <w:top w:val="nil"/>
              <w:left w:val="nil"/>
              <w:bottom w:val="single" w:sz="4" w:space="0" w:color="auto"/>
              <w:right w:val="single" w:sz="4" w:space="0" w:color="auto"/>
            </w:tcBorders>
            <w:shd w:val="clear" w:color="auto" w:fill="auto"/>
            <w:noWrap/>
            <w:vAlign w:val="bottom"/>
            <w:hideMark/>
          </w:tcPr>
          <w:p w14:paraId="565782E9"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$36,155.74</w:t>
            </w:r>
          </w:p>
        </w:tc>
        <w:tc>
          <w:tcPr>
            <w:tcW w:w="960" w:type="dxa"/>
            <w:tcBorders>
              <w:top w:val="nil"/>
              <w:left w:val="nil"/>
              <w:bottom w:val="single" w:sz="4" w:space="0" w:color="auto"/>
              <w:right w:val="single" w:sz="4" w:space="0" w:color="auto"/>
            </w:tcBorders>
            <w:shd w:val="clear" w:color="auto" w:fill="auto"/>
            <w:noWrap/>
            <w:vAlign w:val="bottom"/>
            <w:hideMark/>
          </w:tcPr>
          <w:p w14:paraId="76461722"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79F2622B"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5D0930D8"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21A606AE"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Ireland</w:t>
            </w:r>
          </w:p>
        </w:tc>
        <w:tc>
          <w:tcPr>
            <w:tcW w:w="1580" w:type="dxa"/>
            <w:tcBorders>
              <w:top w:val="nil"/>
              <w:left w:val="nil"/>
              <w:bottom w:val="single" w:sz="4" w:space="0" w:color="auto"/>
              <w:right w:val="single" w:sz="4" w:space="0" w:color="auto"/>
            </w:tcBorders>
            <w:shd w:val="clear" w:color="auto" w:fill="auto"/>
            <w:noWrap/>
            <w:vAlign w:val="bottom"/>
            <w:hideMark/>
          </w:tcPr>
          <w:p w14:paraId="795B0817"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3452541D"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$2,472.50</w:t>
            </w:r>
          </w:p>
        </w:tc>
        <w:tc>
          <w:tcPr>
            <w:tcW w:w="960" w:type="dxa"/>
            <w:tcBorders>
              <w:top w:val="nil"/>
              <w:left w:val="nil"/>
              <w:bottom w:val="single" w:sz="4" w:space="0" w:color="auto"/>
              <w:right w:val="single" w:sz="4" w:space="0" w:color="auto"/>
            </w:tcBorders>
            <w:shd w:val="clear" w:color="auto" w:fill="auto"/>
            <w:noWrap/>
            <w:vAlign w:val="bottom"/>
            <w:hideMark/>
          </w:tcPr>
          <w:p w14:paraId="5571BCD1"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0765876E"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5304A96A"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4A3BCEA"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Israel</w:t>
            </w:r>
          </w:p>
        </w:tc>
        <w:tc>
          <w:tcPr>
            <w:tcW w:w="1580" w:type="dxa"/>
            <w:tcBorders>
              <w:top w:val="nil"/>
              <w:left w:val="nil"/>
              <w:bottom w:val="single" w:sz="4" w:space="0" w:color="auto"/>
              <w:right w:val="single" w:sz="4" w:space="0" w:color="auto"/>
            </w:tcBorders>
            <w:shd w:val="clear" w:color="auto" w:fill="auto"/>
            <w:noWrap/>
            <w:vAlign w:val="bottom"/>
            <w:hideMark/>
          </w:tcPr>
          <w:p w14:paraId="58932CCE"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212AC5D6"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$4,810.00</w:t>
            </w:r>
          </w:p>
        </w:tc>
        <w:tc>
          <w:tcPr>
            <w:tcW w:w="960" w:type="dxa"/>
            <w:tcBorders>
              <w:top w:val="nil"/>
              <w:left w:val="nil"/>
              <w:bottom w:val="single" w:sz="4" w:space="0" w:color="auto"/>
              <w:right w:val="single" w:sz="4" w:space="0" w:color="auto"/>
            </w:tcBorders>
            <w:shd w:val="clear" w:color="auto" w:fill="auto"/>
            <w:noWrap/>
            <w:vAlign w:val="bottom"/>
            <w:hideMark/>
          </w:tcPr>
          <w:p w14:paraId="00F464E8"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3ACFDAAB"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4C709498"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4E41DE6"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Japan</w:t>
            </w:r>
          </w:p>
        </w:tc>
        <w:tc>
          <w:tcPr>
            <w:tcW w:w="1580" w:type="dxa"/>
            <w:tcBorders>
              <w:top w:val="nil"/>
              <w:left w:val="nil"/>
              <w:bottom w:val="single" w:sz="4" w:space="0" w:color="auto"/>
              <w:right w:val="single" w:sz="4" w:space="0" w:color="auto"/>
            </w:tcBorders>
            <w:shd w:val="clear" w:color="auto" w:fill="auto"/>
            <w:noWrap/>
            <w:vAlign w:val="bottom"/>
            <w:hideMark/>
          </w:tcPr>
          <w:p w14:paraId="6E5BEAF3"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575169C8"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$17,234.69</w:t>
            </w:r>
          </w:p>
        </w:tc>
        <w:tc>
          <w:tcPr>
            <w:tcW w:w="960" w:type="dxa"/>
            <w:tcBorders>
              <w:top w:val="nil"/>
              <w:left w:val="nil"/>
              <w:bottom w:val="single" w:sz="4" w:space="0" w:color="auto"/>
              <w:right w:val="single" w:sz="4" w:space="0" w:color="auto"/>
            </w:tcBorders>
            <w:shd w:val="clear" w:color="auto" w:fill="auto"/>
            <w:noWrap/>
            <w:vAlign w:val="bottom"/>
            <w:hideMark/>
          </w:tcPr>
          <w:p w14:paraId="69540115"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56BA8441"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1F46796C"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601630A"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Korea, Republic of</w:t>
            </w:r>
          </w:p>
        </w:tc>
        <w:tc>
          <w:tcPr>
            <w:tcW w:w="1580" w:type="dxa"/>
            <w:tcBorders>
              <w:top w:val="nil"/>
              <w:left w:val="nil"/>
              <w:bottom w:val="single" w:sz="4" w:space="0" w:color="auto"/>
              <w:right w:val="single" w:sz="4" w:space="0" w:color="auto"/>
            </w:tcBorders>
            <w:shd w:val="clear" w:color="auto" w:fill="auto"/>
            <w:noWrap/>
            <w:vAlign w:val="bottom"/>
            <w:hideMark/>
          </w:tcPr>
          <w:p w14:paraId="4E41259D"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10</w:t>
            </w:r>
          </w:p>
        </w:tc>
        <w:tc>
          <w:tcPr>
            <w:tcW w:w="1340" w:type="dxa"/>
            <w:tcBorders>
              <w:top w:val="nil"/>
              <w:left w:val="nil"/>
              <w:bottom w:val="single" w:sz="4" w:space="0" w:color="auto"/>
              <w:right w:val="single" w:sz="4" w:space="0" w:color="auto"/>
            </w:tcBorders>
            <w:shd w:val="clear" w:color="auto" w:fill="auto"/>
            <w:noWrap/>
            <w:vAlign w:val="bottom"/>
            <w:hideMark/>
          </w:tcPr>
          <w:p w14:paraId="344CCD9B"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$143,100.23</w:t>
            </w:r>
          </w:p>
        </w:tc>
        <w:tc>
          <w:tcPr>
            <w:tcW w:w="960" w:type="dxa"/>
            <w:tcBorders>
              <w:top w:val="nil"/>
              <w:left w:val="nil"/>
              <w:bottom w:val="single" w:sz="4" w:space="0" w:color="auto"/>
              <w:right w:val="single" w:sz="4" w:space="0" w:color="auto"/>
            </w:tcBorders>
            <w:shd w:val="clear" w:color="auto" w:fill="auto"/>
            <w:noWrap/>
            <w:vAlign w:val="bottom"/>
            <w:hideMark/>
          </w:tcPr>
          <w:p w14:paraId="0178776C"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058A21FC"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6D6C51D4"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DACDE09"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Lithuania</w:t>
            </w:r>
          </w:p>
        </w:tc>
        <w:tc>
          <w:tcPr>
            <w:tcW w:w="1580" w:type="dxa"/>
            <w:tcBorders>
              <w:top w:val="nil"/>
              <w:left w:val="nil"/>
              <w:bottom w:val="single" w:sz="4" w:space="0" w:color="auto"/>
              <w:right w:val="single" w:sz="4" w:space="0" w:color="auto"/>
            </w:tcBorders>
            <w:shd w:val="clear" w:color="auto" w:fill="auto"/>
            <w:noWrap/>
            <w:vAlign w:val="bottom"/>
            <w:hideMark/>
          </w:tcPr>
          <w:p w14:paraId="1BCEE9DC"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6BEE4C0D"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$133.63</w:t>
            </w:r>
          </w:p>
        </w:tc>
        <w:tc>
          <w:tcPr>
            <w:tcW w:w="960" w:type="dxa"/>
            <w:tcBorders>
              <w:top w:val="nil"/>
              <w:left w:val="nil"/>
              <w:bottom w:val="single" w:sz="4" w:space="0" w:color="auto"/>
              <w:right w:val="single" w:sz="4" w:space="0" w:color="auto"/>
            </w:tcBorders>
            <w:shd w:val="clear" w:color="auto" w:fill="auto"/>
            <w:noWrap/>
            <w:vAlign w:val="bottom"/>
            <w:hideMark/>
          </w:tcPr>
          <w:p w14:paraId="2FE8723B"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0372FD4E"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30817B60"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F8C3091"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Mexico</w:t>
            </w:r>
          </w:p>
        </w:tc>
        <w:tc>
          <w:tcPr>
            <w:tcW w:w="1580" w:type="dxa"/>
            <w:tcBorders>
              <w:top w:val="nil"/>
              <w:left w:val="nil"/>
              <w:bottom w:val="single" w:sz="4" w:space="0" w:color="auto"/>
              <w:right w:val="single" w:sz="4" w:space="0" w:color="auto"/>
            </w:tcBorders>
            <w:shd w:val="clear" w:color="auto" w:fill="auto"/>
            <w:noWrap/>
            <w:vAlign w:val="bottom"/>
            <w:hideMark/>
          </w:tcPr>
          <w:p w14:paraId="703022EF"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14:paraId="01B91933"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$64,034.00</w:t>
            </w:r>
          </w:p>
        </w:tc>
        <w:tc>
          <w:tcPr>
            <w:tcW w:w="960" w:type="dxa"/>
            <w:tcBorders>
              <w:top w:val="nil"/>
              <w:left w:val="nil"/>
              <w:bottom w:val="single" w:sz="4" w:space="0" w:color="auto"/>
              <w:right w:val="single" w:sz="4" w:space="0" w:color="auto"/>
            </w:tcBorders>
            <w:shd w:val="clear" w:color="auto" w:fill="auto"/>
            <w:noWrap/>
            <w:vAlign w:val="bottom"/>
            <w:hideMark/>
          </w:tcPr>
          <w:p w14:paraId="35085C12"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1CC0EE45"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6ECF250D"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266CF17"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Philippines</w:t>
            </w:r>
          </w:p>
        </w:tc>
        <w:tc>
          <w:tcPr>
            <w:tcW w:w="1580" w:type="dxa"/>
            <w:tcBorders>
              <w:top w:val="nil"/>
              <w:left w:val="nil"/>
              <w:bottom w:val="single" w:sz="4" w:space="0" w:color="auto"/>
              <w:right w:val="single" w:sz="4" w:space="0" w:color="auto"/>
            </w:tcBorders>
            <w:shd w:val="clear" w:color="auto" w:fill="auto"/>
            <w:noWrap/>
            <w:vAlign w:val="bottom"/>
            <w:hideMark/>
          </w:tcPr>
          <w:p w14:paraId="6D238E8D"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w:t>
            </w:r>
          </w:p>
        </w:tc>
        <w:tc>
          <w:tcPr>
            <w:tcW w:w="1340" w:type="dxa"/>
            <w:tcBorders>
              <w:top w:val="nil"/>
              <w:left w:val="nil"/>
              <w:bottom w:val="single" w:sz="4" w:space="0" w:color="auto"/>
              <w:right w:val="single" w:sz="4" w:space="0" w:color="auto"/>
            </w:tcBorders>
            <w:shd w:val="clear" w:color="auto" w:fill="auto"/>
            <w:noWrap/>
            <w:vAlign w:val="bottom"/>
            <w:hideMark/>
          </w:tcPr>
          <w:p w14:paraId="0820B854"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$8,795.00</w:t>
            </w:r>
          </w:p>
        </w:tc>
        <w:tc>
          <w:tcPr>
            <w:tcW w:w="960" w:type="dxa"/>
            <w:tcBorders>
              <w:top w:val="nil"/>
              <w:left w:val="nil"/>
              <w:bottom w:val="single" w:sz="4" w:space="0" w:color="auto"/>
              <w:right w:val="single" w:sz="4" w:space="0" w:color="auto"/>
            </w:tcBorders>
            <w:shd w:val="clear" w:color="auto" w:fill="auto"/>
            <w:noWrap/>
            <w:vAlign w:val="bottom"/>
            <w:hideMark/>
          </w:tcPr>
          <w:p w14:paraId="6A4C20CA"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0592E105"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121A1868"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BCD5252"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Saudi Arabia</w:t>
            </w:r>
          </w:p>
        </w:tc>
        <w:tc>
          <w:tcPr>
            <w:tcW w:w="1580" w:type="dxa"/>
            <w:tcBorders>
              <w:top w:val="nil"/>
              <w:left w:val="nil"/>
              <w:bottom w:val="single" w:sz="4" w:space="0" w:color="auto"/>
              <w:right w:val="single" w:sz="4" w:space="0" w:color="auto"/>
            </w:tcBorders>
            <w:shd w:val="clear" w:color="auto" w:fill="auto"/>
            <w:noWrap/>
            <w:vAlign w:val="bottom"/>
            <w:hideMark/>
          </w:tcPr>
          <w:p w14:paraId="2EDBCB2A"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410DC6A6"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$2,965.00</w:t>
            </w:r>
          </w:p>
        </w:tc>
        <w:tc>
          <w:tcPr>
            <w:tcW w:w="960" w:type="dxa"/>
            <w:tcBorders>
              <w:top w:val="nil"/>
              <w:left w:val="nil"/>
              <w:bottom w:val="single" w:sz="4" w:space="0" w:color="auto"/>
              <w:right w:val="single" w:sz="4" w:space="0" w:color="auto"/>
            </w:tcBorders>
            <w:shd w:val="clear" w:color="auto" w:fill="auto"/>
            <w:noWrap/>
            <w:vAlign w:val="bottom"/>
            <w:hideMark/>
          </w:tcPr>
          <w:p w14:paraId="488AB794"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0CB18A7A"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15BBA60D"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E26F619"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Slovakia</w:t>
            </w:r>
          </w:p>
        </w:tc>
        <w:tc>
          <w:tcPr>
            <w:tcW w:w="1580" w:type="dxa"/>
            <w:tcBorders>
              <w:top w:val="nil"/>
              <w:left w:val="nil"/>
              <w:bottom w:val="single" w:sz="4" w:space="0" w:color="auto"/>
              <w:right w:val="single" w:sz="4" w:space="0" w:color="auto"/>
            </w:tcBorders>
            <w:shd w:val="clear" w:color="auto" w:fill="auto"/>
            <w:noWrap/>
            <w:vAlign w:val="bottom"/>
            <w:hideMark/>
          </w:tcPr>
          <w:p w14:paraId="07BBC5EC"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12</w:t>
            </w:r>
          </w:p>
        </w:tc>
        <w:tc>
          <w:tcPr>
            <w:tcW w:w="1340" w:type="dxa"/>
            <w:tcBorders>
              <w:top w:val="nil"/>
              <w:left w:val="nil"/>
              <w:bottom w:val="single" w:sz="4" w:space="0" w:color="auto"/>
              <w:right w:val="single" w:sz="4" w:space="0" w:color="auto"/>
            </w:tcBorders>
            <w:shd w:val="clear" w:color="auto" w:fill="auto"/>
            <w:noWrap/>
            <w:vAlign w:val="bottom"/>
            <w:hideMark/>
          </w:tcPr>
          <w:p w14:paraId="49A4A1FC"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$16,021.61</w:t>
            </w:r>
          </w:p>
        </w:tc>
        <w:tc>
          <w:tcPr>
            <w:tcW w:w="960" w:type="dxa"/>
            <w:tcBorders>
              <w:top w:val="nil"/>
              <w:left w:val="nil"/>
              <w:bottom w:val="single" w:sz="4" w:space="0" w:color="auto"/>
              <w:right w:val="single" w:sz="4" w:space="0" w:color="auto"/>
            </w:tcBorders>
            <w:shd w:val="clear" w:color="auto" w:fill="auto"/>
            <w:noWrap/>
            <w:vAlign w:val="bottom"/>
            <w:hideMark/>
          </w:tcPr>
          <w:p w14:paraId="4BE723AD"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7D508999"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677C3643"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ADDF0C0"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 xml:space="preserve">Spain </w:t>
            </w:r>
          </w:p>
        </w:tc>
        <w:tc>
          <w:tcPr>
            <w:tcW w:w="1580" w:type="dxa"/>
            <w:tcBorders>
              <w:top w:val="nil"/>
              <w:left w:val="nil"/>
              <w:bottom w:val="single" w:sz="4" w:space="0" w:color="auto"/>
              <w:right w:val="single" w:sz="4" w:space="0" w:color="auto"/>
            </w:tcBorders>
            <w:shd w:val="clear" w:color="auto" w:fill="auto"/>
            <w:noWrap/>
            <w:vAlign w:val="bottom"/>
            <w:hideMark/>
          </w:tcPr>
          <w:p w14:paraId="0F69E027"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6BC8E8F2"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$45.00</w:t>
            </w:r>
          </w:p>
        </w:tc>
        <w:tc>
          <w:tcPr>
            <w:tcW w:w="960" w:type="dxa"/>
            <w:tcBorders>
              <w:top w:val="nil"/>
              <w:left w:val="nil"/>
              <w:bottom w:val="single" w:sz="4" w:space="0" w:color="auto"/>
              <w:right w:val="single" w:sz="4" w:space="0" w:color="auto"/>
            </w:tcBorders>
            <w:shd w:val="clear" w:color="auto" w:fill="auto"/>
            <w:noWrap/>
            <w:vAlign w:val="bottom"/>
            <w:hideMark/>
          </w:tcPr>
          <w:p w14:paraId="159D6F46"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53C27E82"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3F30F50D"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233A9DE8"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Switzerland</w:t>
            </w:r>
          </w:p>
        </w:tc>
        <w:tc>
          <w:tcPr>
            <w:tcW w:w="1580" w:type="dxa"/>
            <w:tcBorders>
              <w:top w:val="nil"/>
              <w:left w:val="nil"/>
              <w:bottom w:val="single" w:sz="4" w:space="0" w:color="auto"/>
              <w:right w:val="single" w:sz="4" w:space="0" w:color="auto"/>
            </w:tcBorders>
            <w:shd w:val="clear" w:color="auto" w:fill="auto"/>
            <w:noWrap/>
            <w:vAlign w:val="bottom"/>
            <w:hideMark/>
          </w:tcPr>
          <w:p w14:paraId="1AC88089"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38</w:t>
            </w:r>
          </w:p>
        </w:tc>
        <w:tc>
          <w:tcPr>
            <w:tcW w:w="1340" w:type="dxa"/>
            <w:tcBorders>
              <w:top w:val="nil"/>
              <w:left w:val="nil"/>
              <w:bottom w:val="single" w:sz="4" w:space="0" w:color="auto"/>
              <w:right w:val="single" w:sz="4" w:space="0" w:color="auto"/>
            </w:tcBorders>
            <w:shd w:val="clear" w:color="auto" w:fill="auto"/>
            <w:noWrap/>
            <w:vAlign w:val="bottom"/>
            <w:hideMark/>
          </w:tcPr>
          <w:p w14:paraId="18F7C48A"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$62,582.69</w:t>
            </w:r>
          </w:p>
        </w:tc>
        <w:tc>
          <w:tcPr>
            <w:tcW w:w="960" w:type="dxa"/>
            <w:tcBorders>
              <w:top w:val="nil"/>
              <w:left w:val="nil"/>
              <w:bottom w:val="single" w:sz="4" w:space="0" w:color="auto"/>
              <w:right w:val="single" w:sz="4" w:space="0" w:color="auto"/>
            </w:tcBorders>
            <w:shd w:val="clear" w:color="auto" w:fill="auto"/>
            <w:noWrap/>
            <w:vAlign w:val="bottom"/>
            <w:hideMark/>
          </w:tcPr>
          <w:p w14:paraId="743BA185"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14:paraId="2EB05EC8"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$1,782.53</w:t>
            </w:r>
          </w:p>
        </w:tc>
      </w:tr>
      <w:tr w:rsidR="00C20437" w:rsidRPr="00F31693" w14:paraId="51C30115"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435B7C2"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Trinidad and Tobago</w:t>
            </w:r>
          </w:p>
        </w:tc>
        <w:tc>
          <w:tcPr>
            <w:tcW w:w="1580" w:type="dxa"/>
            <w:tcBorders>
              <w:top w:val="nil"/>
              <w:left w:val="nil"/>
              <w:bottom w:val="single" w:sz="4" w:space="0" w:color="auto"/>
              <w:right w:val="single" w:sz="4" w:space="0" w:color="auto"/>
            </w:tcBorders>
            <w:shd w:val="clear" w:color="auto" w:fill="auto"/>
            <w:noWrap/>
            <w:vAlign w:val="bottom"/>
            <w:hideMark/>
          </w:tcPr>
          <w:p w14:paraId="2BD7649F"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13</w:t>
            </w:r>
          </w:p>
        </w:tc>
        <w:tc>
          <w:tcPr>
            <w:tcW w:w="1340" w:type="dxa"/>
            <w:tcBorders>
              <w:top w:val="nil"/>
              <w:left w:val="nil"/>
              <w:bottom w:val="single" w:sz="4" w:space="0" w:color="auto"/>
              <w:right w:val="single" w:sz="4" w:space="0" w:color="auto"/>
            </w:tcBorders>
            <w:shd w:val="clear" w:color="auto" w:fill="auto"/>
            <w:noWrap/>
            <w:vAlign w:val="bottom"/>
            <w:hideMark/>
          </w:tcPr>
          <w:p w14:paraId="013BE4C2"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$22,537.19</w:t>
            </w:r>
          </w:p>
        </w:tc>
        <w:tc>
          <w:tcPr>
            <w:tcW w:w="960" w:type="dxa"/>
            <w:tcBorders>
              <w:top w:val="nil"/>
              <w:left w:val="nil"/>
              <w:bottom w:val="single" w:sz="4" w:space="0" w:color="auto"/>
              <w:right w:val="single" w:sz="4" w:space="0" w:color="auto"/>
            </w:tcBorders>
            <w:shd w:val="clear" w:color="auto" w:fill="auto"/>
            <w:noWrap/>
            <w:vAlign w:val="bottom"/>
            <w:hideMark/>
          </w:tcPr>
          <w:p w14:paraId="71C39468"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772140E1"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5DCFE488"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10D5A85"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Turkey</w:t>
            </w:r>
          </w:p>
        </w:tc>
        <w:tc>
          <w:tcPr>
            <w:tcW w:w="1580" w:type="dxa"/>
            <w:tcBorders>
              <w:top w:val="nil"/>
              <w:left w:val="nil"/>
              <w:bottom w:val="single" w:sz="4" w:space="0" w:color="auto"/>
              <w:right w:val="single" w:sz="4" w:space="0" w:color="auto"/>
            </w:tcBorders>
            <w:shd w:val="clear" w:color="auto" w:fill="auto"/>
            <w:noWrap/>
            <w:vAlign w:val="bottom"/>
            <w:hideMark/>
          </w:tcPr>
          <w:p w14:paraId="38567CA1"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68F7FDEF"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0CD5A4AD"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7B1B3512"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3B6DD672"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B7F0BF4"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United Arab Emirates</w:t>
            </w:r>
          </w:p>
        </w:tc>
        <w:tc>
          <w:tcPr>
            <w:tcW w:w="1580" w:type="dxa"/>
            <w:tcBorders>
              <w:top w:val="nil"/>
              <w:left w:val="nil"/>
              <w:bottom w:val="single" w:sz="4" w:space="0" w:color="auto"/>
              <w:right w:val="single" w:sz="4" w:space="0" w:color="auto"/>
            </w:tcBorders>
            <w:shd w:val="clear" w:color="auto" w:fill="auto"/>
            <w:noWrap/>
            <w:vAlign w:val="bottom"/>
            <w:hideMark/>
          </w:tcPr>
          <w:p w14:paraId="23FA3B40"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14:paraId="51BFD526"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$2,976.00</w:t>
            </w:r>
          </w:p>
        </w:tc>
        <w:tc>
          <w:tcPr>
            <w:tcW w:w="960" w:type="dxa"/>
            <w:tcBorders>
              <w:top w:val="nil"/>
              <w:left w:val="nil"/>
              <w:bottom w:val="single" w:sz="4" w:space="0" w:color="auto"/>
              <w:right w:val="single" w:sz="4" w:space="0" w:color="auto"/>
            </w:tcBorders>
            <w:shd w:val="clear" w:color="auto" w:fill="auto"/>
            <w:noWrap/>
            <w:vAlign w:val="bottom"/>
            <w:hideMark/>
          </w:tcPr>
          <w:p w14:paraId="4760F6E9"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6DED15E5"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7B29B074"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FC8AEC0"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United Kingdom</w:t>
            </w:r>
          </w:p>
        </w:tc>
        <w:tc>
          <w:tcPr>
            <w:tcW w:w="1580" w:type="dxa"/>
            <w:tcBorders>
              <w:top w:val="nil"/>
              <w:left w:val="nil"/>
              <w:bottom w:val="single" w:sz="4" w:space="0" w:color="auto"/>
              <w:right w:val="single" w:sz="4" w:space="0" w:color="auto"/>
            </w:tcBorders>
            <w:shd w:val="clear" w:color="auto" w:fill="auto"/>
            <w:noWrap/>
            <w:vAlign w:val="bottom"/>
            <w:hideMark/>
          </w:tcPr>
          <w:p w14:paraId="50E4E5B3"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9</w:t>
            </w:r>
          </w:p>
        </w:tc>
        <w:tc>
          <w:tcPr>
            <w:tcW w:w="1340" w:type="dxa"/>
            <w:tcBorders>
              <w:top w:val="nil"/>
              <w:left w:val="nil"/>
              <w:bottom w:val="single" w:sz="4" w:space="0" w:color="auto"/>
              <w:right w:val="single" w:sz="4" w:space="0" w:color="auto"/>
            </w:tcBorders>
            <w:shd w:val="clear" w:color="auto" w:fill="auto"/>
            <w:noWrap/>
            <w:vAlign w:val="bottom"/>
            <w:hideMark/>
          </w:tcPr>
          <w:p w14:paraId="784CD7DE"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$330,515.67</w:t>
            </w:r>
          </w:p>
        </w:tc>
        <w:tc>
          <w:tcPr>
            <w:tcW w:w="960" w:type="dxa"/>
            <w:tcBorders>
              <w:top w:val="nil"/>
              <w:left w:val="nil"/>
              <w:bottom w:val="single" w:sz="4" w:space="0" w:color="auto"/>
              <w:right w:val="single" w:sz="4" w:space="0" w:color="auto"/>
            </w:tcBorders>
            <w:shd w:val="clear" w:color="auto" w:fill="auto"/>
            <w:noWrap/>
            <w:vAlign w:val="bottom"/>
            <w:hideMark/>
          </w:tcPr>
          <w:p w14:paraId="370269AB"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729C8F13"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654C2B03"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963495B"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Uruguay</w:t>
            </w:r>
          </w:p>
        </w:tc>
        <w:tc>
          <w:tcPr>
            <w:tcW w:w="1580" w:type="dxa"/>
            <w:tcBorders>
              <w:top w:val="nil"/>
              <w:left w:val="nil"/>
              <w:bottom w:val="single" w:sz="4" w:space="0" w:color="auto"/>
              <w:right w:val="single" w:sz="4" w:space="0" w:color="auto"/>
            </w:tcBorders>
            <w:shd w:val="clear" w:color="auto" w:fill="auto"/>
            <w:noWrap/>
            <w:vAlign w:val="bottom"/>
            <w:hideMark/>
          </w:tcPr>
          <w:p w14:paraId="4101DB3C"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340" w:type="dxa"/>
            <w:tcBorders>
              <w:top w:val="nil"/>
              <w:left w:val="nil"/>
              <w:bottom w:val="single" w:sz="4" w:space="0" w:color="auto"/>
              <w:right w:val="single" w:sz="4" w:space="0" w:color="auto"/>
            </w:tcBorders>
            <w:shd w:val="clear" w:color="auto" w:fill="auto"/>
            <w:noWrap/>
            <w:vAlign w:val="bottom"/>
            <w:hideMark/>
          </w:tcPr>
          <w:p w14:paraId="7F4468F5"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$1,454.00</w:t>
            </w:r>
          </w:p>
        </w:tc>
        <w:tc>
          <w:tcPr>
            <w:tcW w:w="960" w:type="dxa"/>
            <w:tcBorders>
              <w:top w:val="nil"/>
              <w:left w:val="nil"/>
              <w:bottom w:val="single" w:sz="4" w:space="0" w:color="auto"/>
              <w:right w:val="single" w:sz="4" w:space="0" w:color="auto"/>
            </w:tcBorders>
            <w:shd w:val="clear" w:color="auto" w:fill="auto"/>
            <w:noWrap/>
            <w:vAlign w:val="bottom"/>
            <w:hideMark/>
          </w:tcPr>
          <w:p w14:paraId="7E7B68E0"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5F734C8A"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$0.00</w:t>
            </w:r>
          </w:p>
        </w:tc>
      </w:tr>
      <w:tr w:rsidR="00C20437" w:rsidRPr="00F31693" w14:paraId="3B786A15"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61B0CF9"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Venezuela, Bolivarian Republic of</w:t>
            </w:r>
          </w:p>
        </w:tc>
        <w:tc>
          <w:tcPr>
            <w:tcW w:w="1580" w:type="dxa"/>
            <w:tcBorders>
              <w:top w:val="nil"/>
              <w:left w:val="nil"/>
              <w:bottom w:val="single" w:sz="4" w:space="0" w:color="auto"/>
              <w:right w:val="single" w:sz="4" w:space="0" w:color="auto"/>
            </w:tcBorders>
            <w:shd w:val="clear" w:color="auto" w:fill="auto"/>
            <w:noWrap/>
            <w:vAlign w:val="bottom"/>
            <w:hideMark/>
          </w:tcPr>
          <w:p w14:paraId="46CD821A"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2</w:t>
            </w:r>
          </w:p>
        </w:tc>
        <w:tc>
          <w:tcPr>
            <w:tcW w:w="1340" w:type="dxa"/>
            <w:tcBorders>
              <w:top w:val="nil"/>
              <w:left w:val="nil"/>
              <w:bottom w:val="single" w:sz="4" w:space="0" w:color="auto"/>
              <w:right w:val="single" w:sz="4" w:space="0" w:color="auto"/>
            </w:tcBorders>
            <w:shd w:val="clear" w:color="auto" w:fill="auto"/>
            <w:noWrap/>
            <w:vAlign w:val="bottom"/>
            <w:hideMark/>
          </w:tcPr>
          <w:p w14:paraId="5504EA86"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$1,075.00</w:t>
            </w:r>
          </w:p>
        </w:tc>
        <w:tc>
          <w:tcPr>
            <w:tcW w:w="960" w:type="dxa"/>
            <w:tcBorders>
              <w:top w:val="nil"/>
              <w:left w:val="nil"/>
              <w:bottom w:val="single" w:sz="4" w:space="0" w:color="auto"/>
              <w:right w:val="single" w:sz="4" w:space="0" w:color="auto"/>
            </w:tcBorders>
            <w:shd w:val="clear" w:color="auto" w:fill="auto"/>
            <w:noWrap/>
            <w:vAlign w:val="bottom"/>
            <w:hideMark/>
          </w:tcPr>
          <w:p w14:paraId="38A5F0AB"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14:paraId="510EAFBB"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$975.00</w:t>
            </w:r>
          </w:p>
        </w:tc>
      </w:tr>
      <w:tr w:rsidR="00C20437" w:rsidRPr="00F31693" w14:paraId="7B50EB9B" w14:textId="77777777" w:rsidTr="00EA713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58A769B" w14:textId="77777777" w:rsidR="00C20437" w:rsidRPr="00F31693" w:rsidRDefault="00C20437" w:rsidP="00EA7139">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TOTALS:</w:t>
            </w:r>
          </w:p>
        </w:tc>
        <w:tc>
          <w:tcPr>
            <w:tcW w:w="1580" w:type="dxa"/>
            <w:tcBorders>
              <w:top w:val="nil"/>
              <w:left w:val="nil"/>
              <w:bottom w:val="single" w:sz="4" w:space="0" w:color="auto"/>
              <w:right w:val="single" w:sz="4" w:space="0" w:color="auto"/>
            </w:tcBorders>
            <w:shd w:val="clear" w:color="auto" w:fill="auto"/>
            <w:noWrap/>
            <w:vAlign w:val="bottom"/>
            <w:hideMark/>
          </w:tcPr>
          <w:p w14:paraId="7BF4DD04"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178</w:t>
            </w:r>
          </w:p>
        </w:tc>
        <w:tc>
          <w:tcPr>
            <w:tcW w:w="1340" w:type="dxa"/>
            <w:tcBorders>
              <w:top w:val="nil"/>
              <w:left w:val="nil"/>
              <w:bottom w:val="single" w:sz="4" w:space="0" w:color="auto"/>
              <w:right w:val="single" w:sz="4" w:space="0" w:color="auto"/>
            </w:tcBorders>
            <w:shd w:val="clear" w:color="auto" w:fill="auto"/>
            <w:noWrap/>
            <w:vAlign w:val="bottom"/>
            <w:hideMark/>
          </w:tcPr>
          <w:p w14:paraId="7BCFD1F1"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$1,452,003.05</w:t>
            </w:r>
          </w:p>
        </w:tc>
        <w:tc>
          <w:tcPr>
            <w:tcW w:w="960" w:type="dxa"/>
            <w:tcBorders>
              <w:top w:val="nil"/>
              <w:left w:val="nil"/>
              <w:bottom w:val="single" w:sz="4" w:space="0" w:color="auto"/>
              <w:right w:val="single" w:sz="4" w:space="0" w:color="auto"/>
            </w:tcBorders>
            <w:shd w:val="clear" w:color="auto" w:fill="auto"/>
            <w:noWrap/>
            <w:vAlign w:val="bottom"/>
            <w:hideMark/>
          </w:tcPr>
          <w:p w14:paraId="6EB6158A"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3</w:t>
            </w:r>
          </w:p>
        </w:tc>
        <w:tc>
          <w:tcPr>
            <w:tcW w:w="1060" w:type="dxa"/>
            <w:tcBorders>
              <w:top w:val="nil"/>
              <w:left w:val="nil"/>
              <w:bottom w:val="single" w:sz="4" w:space="0" w:color="auto"/>
              <w:right w:val="single" w:sz="4" w:space="0" w:color="auto"/>
            </w:tcBorders>
            <w:shd w:val="clear" w:color="auto" w:fill="auto"/>
            <w:noWrap/>
            <w:vAlign w:val="bottom"/>
            <w:hideMark/>
          </w:tcPr>
          <w:p w14:paraId="5A654D3C" w14:textId="77777777" w:rsidR="00C20437" w:rsidRPr="00F31693" w:rsidRDefault="00C20437" w:rsidP="00EA7139">
            <w:pPr>
              <w:spacing w:after="0" w:line="240" w:lineRule="auto"/>
              <w:jc w:val="center"/>
              <w:rPr>
                <w:rFonts w:ascii="Calibri" w:eastAsia="Times New Roman" w:hAnsi="Calibri" w:cs="Times New Roman"/>
                <w:color w:val="000000"/>
              </w:rPr>
            </w:pPr>
            <w:r w:rsidRPr="00F31693">
              <w:rPr>
                <w:rFonts w:ascii="Calibri" w:eastAsia="Times New Roman" w:hAnsi="Calibri" w:cs="Times New Roman"/>
                <w:color w:val="000000"/>
              </w:rPr>
              <w:t>$14,217.53</w:t>
            </w:r>
          </w:p>
        </w:tc>
      </w:tr>
    </w:tbl>
    <w:p w14:paraId="6A6BA054" w14:textId="77777777" w:rsidR="00C20437" w:rsidRPr="00F31693" w:rsidRDefault="00C20437" w:rsidP="0048130B">
      <w:pPr>
        <w:pStyle w:val="NoSpacing"/>
      </w:pPr>
    </w:p>
    <w:p w14:paraId="3DF29CA5" w14:textId="77777777" w:rsidR="00F71F1B" w:rsidRPr="00F31693" w:rsidRDefault="00F71F1B" w:rsidP="00F71F1B">
      <w:r w:rsidRPr="00F31693">
        <w:lastRenderedPageBreak/>
        <w:t xml:space="preserve">Incoming foreign wires </w:t>
      </w:r>
      <w:r w:rsidR="007C46E6" w:rsidRPr="00F31693">
        <w:t xml:space="preserve">transfers remained static with the only increase coming by way of outgoing </w:t>
      </w:r>
      <w:r w:rsidR="005407F4" w:rsidRPr="00F31693">
        <w:t>international</w:t>
      </w:r>
      <w:r w:rsidR="007C46E6" w:rsidRPr="00F31693">
        <w:t xml:space="preserve"> wires</w:t>
      </w:r>
      <w:r w:rsidRPr="00F31693">
        <w:t>.</w:t>
      </w:r>
    </w:p>
    <w:p w14:paraId="1F702F86" w14:textId="77777777" w:rsidR="00F71F1B" w:rsidRPr="00F31693" w:rsidRDefault="00F71F1B" w:rsidP="00F71F1B">
      <w:r w:rsidRPr="00F31693">
        <w:t xml:space="preserve">Despite the facts, we do not perform funds transfers for non-customers or originate foreign funds transfers </w:t>
      </w:r>
      <w:r w:rsidR="00395976" w:rsidRPr="00F31693">
        <w:t xml:space="preserve">routinely, </w:t>
      </w:r>
      <w:r w:rsidRPr="00F31693">
        <w:t xml:space="preserve">the </w:t>
      </w:r>
      <w:r w:rsidR="00395976" w:rsidRPr="00F31693">
        <w:t xml:space="preserve">slight </w:t>
      </w:r>
      <w:r w:rsidR="00FF069D" w:rsidRPr="00F31693">
        <w:t>in</w:t>
      </w:r>
      <w:r w:rsidR="00395976" w:rsidRPr="00F31693">
        <w:t>crease for 201</w:t>
      </w:r>
      <w:r w:rsidR="00FF069D" w:rsidRPr="00F31693">
        <w:t>6</w:t>
      </w:r>
      <w:r w:rsidRPr="00F31693">
        <w:t>, the probable increase</w:t>
      </w:r>
      <w:r w:rsidR="00FF069D" w:rsidRPr="00F31693">
        <w:t xml:space="preserve"> further</w:t>
      </w:r>
      <w:r w:rsidRPr="00F31693">
        <w:t xml:space="preserve"> for FY</w:t>
      </w:r>
      <w:r w:rsidR="00F557E7">
        <w:t>E</w:t>
      </w:r>
      <w:r w:rsidRPr="00F31693">
        <w:t xml:space="preserve"> 201</w:t>
      </w:r>
      <w:r w:rsidR="00FF069D" w:rsidRPr="00F31693">
        <w:t>7</w:t>
      </w:r>
      <w:r w:rsidRPr="00F31693">
        <w:t xml:space="preserve"> and with</w:t>
      </w:r>
      <w:r w:rsidR="00E721FD" w:rsidRPr="00F31693">
        <w:t xml:space="preserve"> all branches</w:t>
      </w:r>
      <w:r w:rsidRPr="00F31693">
        <w:t xml:space="preserve"> located in </w:t>
      </w:r>
      <w:r w:rsidR="00E721FD" w:rsidRPr="00F31693">
        <w:t>HIFCA and/or HIDTA communities</w:t>
      </w:r>
      <w:r w:rsidR="007C46E6" w:rsidRPr="00F31693">
        <w:t xml:space="preserve"> the level of risk remains </w:t>
      </w:r>
      <w:r w:rsidRPr="00F31693">
        <w:rPr>
          <w:b/>
        </w:rPr>
        <w:t>Moderate</w:t>
      </w:r>
      <w:r w:rsidRPr="00F31693">
        <w:t>.</w:t>
      </w:r>
    </w:p>
    <w:p w14:paraId="2DDBE965" w14:textId="77777777" w:rsidR="00281F17" w:rsidRPr="00F31693" w:rsidRDefault="00281F17" w:rsidP="00A95E97">
      <w:pPr>
        <w:rPr>
          <w:b/>
          <w:u w:val="single"/>
        </w:rPr>
      </w:pPr>
      <w:r w:rsidRPr="00F31693">
        <w:rPr>
          <w:b/>
          <w:u w:val="single"/>
        </w:rPr>
        <w:t>International ACH Transactions</w:t>
      </w:r>
    </w:p>
    <w:p w14:paraId="689586A1" w14:textId="77777777" w:rsidR="00C842E9" w:rsidRPr="00F31693" w:rsidRDefault="00A95E97" w:rsidP="00A95E97">
      <w:r w:rsidRPr="00F31693">
        <w:t xml:space="preserve">International ACH Transactions (IATs) are monitored </w:t>
      </w:r>
      <w:proofErr w:type="gramStart"/>
      <w:r w:rsidRPr="00F31693">
        <w:t>daily</w:t>
      </w:r>
      <w:proofErr w:type="gramEnd"/>
      <w:r w:rsidRPr="00F31693">
        <w:t xml:space="preserve"> and each incoming transaction’s originator is checked against the OFA</w:t>
      </w:r>
      <w:r w:rsidR="007960C3" w:rsidRPr="00F31693">
        <w:t>C</w:t>
      </w:r>
      <w:r w:rsidRPr="00F31693">
        <w:t xml:space="preserve"> and PLC lists. There have been no matches to date. </w:t>
      </w:r>
      <w:r w:rsidR="007960C3" w:rsidRPr="00F31693">
        <w:t>As reported in previous assessments, t</w:t>
      </w:r>
      <w:r w:rsidRPr="00F31693">
        <w:t xml:space="preserve">hese transactions have been </w:t>
      </w:r>
      <w:r w:rsidR="007960C3" w:rsidRPr="00F31693">
        <w:t xml:space="preserve">mostly </w:t>
      </w:r>
      <w:r w:rsidRPr="00F31693">
        <w:t>retail purchases (</w:t>
      </w:r>
      <w:r w:rsidR="002D5BE5" w:rsidRPr="00F31693">
        <w:t xml:space="preserve">i.e. </w:t>
      </w:r>
      <w:r w:rsidRPr="00F31693">
        <w:t xml:space="preserve">PayPal) by our customers and direct deposits of pensions to our customers’ accounts. </w:t>
      </w:r>
    </w:p>
    <w:tbl>
      <w:tblPr>
        <w:tblW w:w="5069" w:type="dxa"/>
        <w:tblInd w:w="95" w:type="dxa"/>
        <w:tblLook w:val="04A0" w:firstRow="1" w:lastRow="0" w:firstColumn="1" w:lastColumn="0" w:noHBand="0" w:noVBand="1"/>
      </w:tblPr>
      <w:tblGrid>
        <w:gridCol w:w="1253"/>
        <w:gridCol w:w="1020"/>
        <w:gridCol w:w="1336"/>
        <w:gridCol w:w="1460"/>
      </w:tblGrid>
      <w:tr w:rsidR="009F3DEC" w:rsidRPr="00F31693" w14:paraId="5D8D6C5E" w14:textId="77777777" w:rsidTr="009F3DEC">
        <w:trPr>
          <w:trHeight w:val="300"/>
        </w:trPr>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ABE81" w14:textId="77777777" w:rsidR="009F3DEC" w:rsidRPr="00F31693" w:rsidRDefault="009F3DEC"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 Date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34B49E7" w14:textId="77777777" w:rsidR="009F3DEC" w:rsidRPr="00F31693" w:rsidRDefault="009F3DEC"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Number</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14:paraId="2A5F2A77" w14:textId="77777777" w:rsidR="009F3DEC" w:rsidRPr="00F31693" w:rsidRDefault="009F3DEC" w:rsidP="009B071E">
            <w:pPr>
              <w:spacing w:after="0" w:line="240" w:lineRule="auto"/>
              <w:rPr>
                <w:rFonts w:ascii="Calibri" w:eastAsia="Times New Roman" w:hAnsi="Calibri" w:cs="Times New Roman"/>
                <w:b/>
                <w:bCs/>
                <w:color w:val="000000"/>
              </w:rPr>
            </w:pPr>
            <w:r w:rsidRPr="00F31693">
              <w:rPr>
                <w:rFonts w:ascii="Calibri" w:eastAsia="Times New Roman" w:hAnsi="Calibri" w:cs="Times New Roman"/>
                <w:b/>
                <w:bCs/>
                <w:color w:val="000000"/>
              </w:rPr>
              <w:t>Debits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1FECE156" w14:textId="77777777" w:rsidR="009F3DEC" w:rsidRPr="00F31693" w:rsidRDefault="009F3DEC" w:rsidP="009B071E">
            <w:pPr>
              <w:spacing w:after="0" w:line="240" w:lineRule="auto"/>
              <w:rPr>
                <w:rFonts w:ascii="Calibri" w:eastAsia="Times New Roman" w:hAnsi="Calibri" w:cs="Times New Roman"/>
                <w:b/>
                <w:bCs/>
                <w:color w:val="C00000"/>
              </w:rPr>
            </w:pPr>
            <w:r w:rsidRPr="00F31693">
              <w:rPr>
                <w:rFonts w:ascii="Calibri" w:eastAsia="Times New Roman" w:hAnsi="Calibri" w:cs="Times New Roman"/>
                <w:b/>
                <w:bCs/>
                <w:color w:val="C00000"/>
              </w:rPr>
              <w:t>Credits</w:t>
            </w:r>
          </w:p>
        </w:tc>
      </w:tr>
      <w:tr w:rsidR="009F3DEC" w:rsidRPr="00F31693" w14:paraId="6D299291" w14:textId="77777777" w:rsidTr="009F3DEC">
        <w:trPr>
          <w:trHeight w:val="300"/>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158340F8"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Jul-15</w:t>
            </w:r>
          </w:p>
        </w:tc>
        <w:tc>
          <w:tcPr>
            <w:tcW w:w="1020" w:type="dxa"/>
            <w:tcBorders>
              <w:top w:val="nil"/>
              <w:left w:val="nil"/>
              <w:bottom w:val="single" w:sz="4" w:space="0" w:color="auto"/>
              <w:right w:val="single" w:sz="4" w:space="0" w:color="auto"/>
            </w:tcBorders>
            <w:shd w:val="clear" w:color="auto" w:fill="auto"/>
            <w:noWrap/>
            <w:vAlign w:val="bottom"/>
            <w:hideMark/>
          </w:tcPr>
          <w:p w14:paraId="6760365E"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188</w:t>
            </w:r>
          </w:p>
        </w:tc>
        <w:tc>
          <w:tcPr>
            <w:tcW w:w="1336" w:type="dxa"/>
            <w:tcBorders>
              <w:top w:val="nil"/>
              <w:left w:val="nil"/>
              <w:bottom w:val="single" w:sz="4" w:space="0" w:color="auto"/>
              <w:right w:val="single" w:sz="4" w:space="0" w:color="auto"/>
            </w:tcBorders>
            <w:shd w:val="clear" w:color="auto" w:fill="auto"/>
            <w:noWrap/>
            <w:vAlign w:val="bottom"/>
            <w:hideMark/>
          </w:tcPr>
          <w:p w14:paraId="7112B0E7"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$5,074.29</w:t>
            </w:r>
          </w:p>
        </w:tc>
        <w:tc>
          <w:tcPr>
            <w:tcW w:w="1460" w:type="dxa"/>
            <w:tcBorders>
              <w:top w:val="nil"/>
              <w:left w:val="nil"/>
              <w:bottom w:val="single" w:sz="4" w:space="0" w:color="auto"/>
              <w:right w:val="single" w:sz="4" w:space="0" w:color="auto"/>
            </w:tcBorders>
            <w:shd w:val="clear" w:color="auto" w:fill="auto"/>
            <w:noWrap/>
            <w:vAlign w:val="bottom"/>
            <w:hideMark/>
          </w:tcPr>
          <w:p w14:paraId="75197850" w14:textId="77777777" w:rsidR="009F3DEC" w:rsidRPr="00F31693" w:rsidRDefault="009F3DEC" w:rsidP="009B071E">
            <w:pPr>
              <w:spacing w:after="0" w:line="240" w:lineRule="auto"/>
              <w:jc w:val="center"/>
              <w:rPr>
                <w:rFonts w:ascii="Calibri" w:eastAsia="Times New Roman" w:hAnsi="Calibri" w:cs="Times New Roman"/>
                <w:bCs/>
                <w:color w:val="C00000"/>
              </w:rPr>
            </w:pPr>
            <w:r w:rsidRPr="00F31693">
              <w:rPr>
                <w:rFonts w:ascii="Calibri" w:eastAsia="Times New Roman" w:hAnsi="Calibri" w:cs="Times New Roman"/>
                <w:bCs/>
                <w:color w:val="C00000"/>
              </w:rPr>
              <w:t>$10,165.52</w:t>
            </w:r>
          </w:p>
        </w:tc>
      </w:tr>
      <w:tr w:rsidR="009F3DEC" w:rsidRPr="00F31693" w14:paraId="78861DA8" w14:textId="77777777" w:rsidTr="009F3DEC">
        <w:trPr>
          <w:trHeight w:val="300"/>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6EE8A81A"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Aug-15</w:t>
            </w:r>
          </w:p>
        </w:tc>
        <w:tc>
          <w:tcPr>
            <w:tcW w:w="1020" w:type="dxa"/>
            <w:tcBorders>
              <w:top w:val="nil"/>
              <w:left w:val="nil"/>
              <w:bottom w:val="single" w:sz="4" w:space="0" w:color="auto"/>
              <w:right w:val="single" w:sz="4" w:space="0" w:color="auto"/>
            </w:tcBorders>
            <w:shd w:val="clear" w:color="auto" w:fill="auto"/>
            <w:noWrap/>
            <w:vAlign w:val="bottom"/>
            <w:hideMark/>
          </w:tcPr>
          <w:p w14:paraId="6E85EF25"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167</w:t>
            </w:r>
          </w:p>
        </w:tc>
        <w:tc>
          <w:tcPr>
            <w:tcW w:w="1336" w:type="dxa"/>
            <w:tcBorders>
              <w:top w:val="nil"/>
              <w:left w:val="nil"/>
              <w:bottom w:val="single" w:sz="4" w:space="0" w:color="auto"/>
              <w:right w:val="single" w:sz="4" w:space="0" w:color="auto"/>
            </w:tcBorders>
            <w:shd w:val="clear" w:color="auto" w:fill="auto"/>
            <w:noWrap/>
            <w:vAlign w:val="bottom"/>
            <w:hideMark/>
          </w:tcPr>
          <w:p w14:paraId="23344878"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$7,346.91</w:t>
            </w:r>
          </w:p>
        </w:tc>
        <w:tc>
          <w:tcPr>
            <w:tcW w:w="1460" w:type="dxa"/>
            <w:tcBorders>
              <w:top w:val="nil"/>
              <w:left w:val="nil"/>
              <w:bottom w:val="single" w:sz="4" w:space="0" w:color="auto"/>
              <w:right w:val="single" w:sz="4" w:space="0" w:color="auto"/>
            </w:tcBorders>
            <w:shd w:val="clear" w:color="auto" w:fill="auto"/>
            <w:noWrap/>
            <w:vAlign w:val="bottom"/>
            <w:hideMark/>
          </w:tcPr>
          <w:p w14:paraId="27CCD7F8" w14:textId="77777777" w:rsidR="009F3DEC" w:rsidRPr="00F31693" w:rsidRDefault="009F3DEC" w:rsidP="009B071E">
            <w:pPr>
              <w:spacing w:after="0" w:line="240" w:lineRule="auto"/>
              <w:jc w:val="center"/>
              <w:rPr>
                <w:rFonts w:ascii="Calibri" w:eastAsia="Times New Roman" w:hAnsi="Calibri" w:cs="Times New Roman"/>
                <w:bCs/>
                <w:color w:val="C00000"/>
              </w:rPr>
            </w:pPr>
            <w:r w:rsidRPr="00F31693">
              <w:rPr>
                <w:rFonts w:ascii="Calibri" w:eastAsia="Times New Roman" w:hAnsi="Calibri" w:cs="Times New Roman"/>
                <w:bCs/>
                <w:color w:val="C00000"/>
              </w:rPr>
              <w:t>$11,970.79</w:t>
            </w:r>
          </w:p>
        </w:tc>
      </w:tr>
      <w:tr w:rsidR="009F3DEC" w:rsidRPr="00F31693" w14:paraId="5A31FB22" w14:textId="77777777" w:rsidTr="009F3DEC">
        <w:trPr>
          <w:trHeight w:val="300"/>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4C2CAAB2"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Sep-15</w:t>
            </w:r>
          </w:p>
        </w:tc>
        <w:tc>
          <w:tcPr>
            <w:tcW w:w="1020" w:type="dxa"/>
            <w:tcBorders>
              <w:top w:val="nil"/>
              <w:left w:val="nil"/>
              <w:bottom w:val="single" w:sz="4" w:space="0" w:color="auto"/>
              <w:right w:val="single" w:sz="4" w:space="0" w:color="auto"/>
            </w:tcBorders>
            <w:shd w:val="clear" w:color="auto" w:fill="auto"/>
            <w:noWrap/>
            <w:vAlign w:val="bottom"/>
            <w:hideMark/>
          </w:tcPr>
          <w:p w14:paraId="689D4175"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179</w:t>
            </w:r>
          </w:p>
        </w:tc>
        <w:tc>
          <w:tcPr>
            <w:tcW w:w="1336" w:type="dxa"/>
            <w:tcBorders>
              <w:top w:val="nil"/>
              <w:left w:val="nil"/>
              <w:bottom w:val="single" w:sz="4" w:space="0" w:color="auto"/>
              <w:right w:val="single" w:sz="4" w:space="0" w:color="auto"/>
            </w:tcBorders>
            <w:shd w:val="clear" w:color="auto" w:fill="auto"/>
            <w:noWrap/>
            <w:vAlign w:val="bottom"/>
            <w:hideMark/>
          </w:tcPr>
          <w:p w14:paraId="73E51AB0"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$4,508.49</w:t>
            </w:r>
          </w:p>
        </w:tc>
        <w:tc>
          <w:tcPr>
            <w:tcW w:w="1460" w:type="dxa"/>
            <w:tcBorders>
              <w:top w:val="nil"/>
              <w:left w:val="nil"/>
              <w:bottom w:val="single" w:sz="4" w:space="0" w:color="auto"/>
              <w:right w:val="single" w:sz="4" w:space="0" w:color="auto"/>
            </w:tcBorders>
            <w:shd w:val="clear" w:color="auto" w:fill="auto"/>
            <w:noWrap/>
            <w:vAlign w:val="bottom"/>
            <w:hideMark/>
          </w:tcPr>
          <w:p w14:paraId="373DD570" w14:textId="77777777" w:rsidR="009F3DEC" w:rsidRPr="00F31693" w:rsidRDefault="009F3DEC" w:rsidP="009B071E">
            <w:pPr>
              <w:spacing w:after="0" w:line="240" w:lineRule="auto"/>
              <w:jc w:val="center"/>
              <w:rPr>
                <w:rFonts w:ascii="Calibri" w:eastAsia="Times New Roman" w:hAnsi="Calibri" w:cs="Times New Roman"/>
                <w:bCs/>
                <w:color w:val="C00000"/>
              </w:rPr>
            </w:pPr>
            <w:r w:rsidRPr="00F31693">
              <w:rPr>
                <w:rFonts w:ascii="Calibri" w:eastAsia="Times New Roman" w:hAnsi="Calibri" w:cs="Times New Roman"/>
                <w:bCs/>
                <w:color w:val="C00000"/>
              </w:rPr>
              <w:t>$18,475.79</w:t>
            </w:r>
          </w:p>
        </w:tc>
      </w:tr>
      <w:tr w:rsidR="009F3DEC" w:rsidRPr="00F31693" w14:paraId="1845178B" w14:textId="77777777" w:rsidTr="009F3DEC">
        <w:trPr>
          <w:trHeight w:val="300"/>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4A7C3233"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Oct-15</w:t>
            </w:r>
          </w:p>
        </w:tc>
        <w:tc>
          <w:tcPr>
            <w:tcW w:w="1020" w:type="dxa"/>
            <w:tcBorders>
              <w:top w:val="nil"/>
              <w:left w:val="nil"/>
              <w:bottom w:val="single" w:sz="4" w:space="0" w:color="auto"/>
              <w:right w:val="single" w:sz="4" w:space="0" w:color="auto"/>
            </w:tcBorders>
            <w:shd w:val="clear" w:color="auto" w:fill="auto"/>
            <w:noWrap/>
            <w:vAlign w:val="bottom"/>
            <w:hideMark/>
          </w:tcPr>
          <w:p w14:paraId="199EA91E"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176</w:t>
            </w:r>
          </w:p>
        </w:tc>
        <w:tc>
          <w:tcPr>
            <w:tcW w:w="1336" w:type="dxa"/>
            <w:tcBorders>
              <w:top w:val="nil"/>
              <w:left w:val="nil"/>
              <w:bottom w:val="single" w:sz="4" w:space="0" w:color="auto"/>
              <w:right w:val="single" w:sz="4" w:space="0" w:color="auto"/>
            </w:tcBorders>
            <w:shd w:val="clear" w:color="auto" w:fill="auto"/>
            <w:noWrap/>
            <w:vAlign w:val="bottom"/>
            <w:hideMark/>
          </w:tcPr>
          <w:p w14:paraId="76CAAE86"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$14,817.24</w:t>
            </w:r>
          </w:p>
        </w:tc>
        <w:tc>
          <w:tcPr>
            <w:tcW w:w="1460" w:type="dxa"/>
            <w:tcBorders>
              <w:top w:val="nil"/>
              <w:left w:val="nil"/>
              <w:bottom w:val="single" w:sz="4" w:space="0" w:color="auto"/>
              <w:right w:val="single" w:sz="4" w:space="0" w:color="auto"/>
            </w:tcBorders>
            <w:shd w:val="clear" w:color="auto" w:fill="auto"/>
            <w:noWrap/>
            <w:vAlign w:val="bottom"/>
            <w:hideMark/>
          </w:tcPr>
          <w:p w14:paraId="58964795" w14:textId="77777777" w:rsidR="009F3DEC" w:rsidRPr="00F31693" w:rsidRDefault="009F3DEC" w:rsidP="009B071E">
            <w:pPr>
              <w:spacing w:after="0" w:line="240" w:lineRule="auto"/>
              <w:jc w:val="center"/>
              <w:rPr>
                <w:rFonts w:ascii="Calibri" w:eastAsia="Times New Roman" w:hAnsi="Calibri" w:cs="Times New Roman"/>
                <w:bCs/>
                <w:color w:val="C00000"/>
              </w:rPr>
            </w:pPr>
            <w:r w:rsidRPr="00F31693">
              <w:rPr>
                <w:rFonts w:ascii="Calibri" w:eastAsia="Times New Roman" w:hAnsi="Calibri" w:cs="Times New Roman"/>
                <w:bCs/>
                <w:color w:val="C00000"/>
              </w:rPr>
              <w:t>$12,957.64</w:t>
            </w:r>
          </w:p>
        </w:tc>
      </w:tr>
      <w:tr w:rsidR="009F3DEC" w:rsidRPr="00F31693" w14:paraId="0F97346E" w14:textId="77777777" w:rsidTr="009F3DEC">
        <w:trPr>
          <w:trHeight w:val="300"/>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2DA4DF01"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Nov-15</w:t>
            </w:r>
          </w:p>
        </w:tc>
        <w:tc>
          <w:tcPr>
            <w:tcW w:w="1020" w:type="dxa"/>
            <w:tcBorders>
              <w:top w:val="nil"/>
              <w:left w:val="nil"/>
              <w:bottom w:val="single" w:sz="4" w:space="0" w:color="auto"/>
              <w:right w:val="single" w:sz="4" w:space="0" w:color="auto"/>
            </w:tcBorders>
            <w:shd w:val="clear" w:color="auto" w:fill="auto"/>
            <w:noWrap/>
            <w:vAlign w:val="bottom"/>
            <w:hideMark/>
          </w:tcPr>
          <w:p w14:paraId="290BE2FC"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173</w:t>
            </w:r>
          </w:p>
        </w:tc>
        <w:tc>
          <w:tcPr>
            <w:tcW w:w="1336" w:type="dxa"/>
            <w:tcBorders>
              <w:top w:val="nil"/>
              <w:left w:val="nil"/>
              <w:bottom w:val="single" w:sz="4" w:space="0" w:color="auto"/>
              <w:right w:val="single" w:sz="4" w:space="0" w:color="auto"/>
            </w:tcBorders>
            <w:shd w:val="clear" w:color="auto" w:fill="auto"/>
            <w:noWrap/>
            <w:vAlign w:val="bottom"/>
            <w:hideMark/>
          </w:tcPr>
          <w:p w14:paraId="480FAB2C"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$5,248.31</w:t>
            </w:r>
          </w:p>
        </w:tc>
        <w:tc>
          <w:tcPr>
            <w:tcW w:w="1460" w:type="dxa"/>
            <w:tcBorders>
              <w:top w:val="nil"/>
              <w:left w:val="nil"/>
              <w:bottom w:val="single" w:sz="4" w:space="0" w:color="auto"/>
              <w:right w:val="single" w:sz="4" w:space="0" w:color="auto"/>
            </w:tcBorders>
            <w:shd w:val="clear" w:color="auto" w:fill="auto"/>
            <w:noWrap/>
            <w:vAlign w:val="bottom"/>
            <w:hideMark/>
          </w:tcPr>
          <w:p w14:paraId="1C2697B8" w14:textId="77777777" w:rsidR="009F3DEC" w:rsidRPr="00F31693" w:rsidRDefault="009F3DEC" w:rsidP="009B071E">
            <w:pPr>
              <w:spacing w:after="0" w:line="240" w:lineRule="auto"/>
              <w:jc w:val="center"/>
              <w:rPr>
                <w:rFonts w:ascii="Calibri" w:eastAsia="Times New Roman" w:hAnsi="Calibri" w:cs="Times New Roman"/>
                <w:bCs/>
                <w:color w:val="C00000"/>
              </w:rPr>
            </w:pPr>
            <w:r w:rsidRPr="00F31693">
              <w:rPr>
                <w:rFonts w:ascii="Calibri" w:eastAsia="Times New Roman" w:hAnsi="Calibri" w:cs="Times New Roman"/>
                <w:bCs/>
                <w:color w:val="C00000"/>
              </w:rPr>
              <w:t>$12,164.67</w:t>
            </w:r>
          </w:p>
        </w:tc>
      </w:tr>
      <w:tr w:rsidR="009F3DEC" w:rsidRPr="00F31693" w14:paraId="5E598AEE" w14:textId="77777777" w:rsidTr="009F3DEC">
        <w:trPr>
          <w:trHeight w:val="300"/>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36C3177C"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Dec-15</w:t>
            </w:r>
          </w:p>
        </w:tc>
        <w:tc>
          <w:tcPr>
            <w:tcW w:w="1020" w:type="dxa"/>
            <w:tcBorders>
              <w:top w:val="nil"/>
              <w:left w:val="nil"/>
              <w:bottom w:val="single" w:sz="4" w:space="0" w:color="auto"/>
              <w:right w:val="single" w:sz="4" w:space="0" w:color="auto"/>
            </w:tcBorders>
            <w:shd w:val="clear" w:color="auto" w:fill="auto"/>
            <w:noWrap/>
            <w:vAlign w:val="bottom"/>
            <w:hideMark/>
          </w:tcPr>
          <w:p w14:paraId="7568BA5F"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191</w:t>
            </w:r>
          </w:p>
        </w:tc>
        <w:tc>
          <w:tcPr>
            <w:tcW w:w="1336" w:type="dxa"/>
            <w:tcBorders>
              <w:top w:val="nil"/>
              <w:left w:val="nil"/>
              <w:bottom w:val="single" w:sz="4" w:space="0" w:color="auto"/>
              <w:right w:val="single" w:sz="4" w:space="0" w:color="auto"/>
            </w:tcBorders>
            <w:shd w:val="clear" w:color="auto" w:fill="auto"/>
            <w:noWrap/>
            <w:vAlign w:val="bottom"/>
            <w:hideMark/>
          </w:tcPr>
          <w:p w14:paraId="4DC2D5E8"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$6,050.16</w:t>
            </w:r>
          </w:p>
        </w:tc>
        <w:tc>
          <w:tcPr>
            <w:tcW w:w="1460" w:type="dxa"/>
            <w:tcBorders>
              <w:top w:val="nil"/>
              <w:left w:val="nil"/>
              <w:bottom w:val="single" w:sz="4" w:space="0" w:color="auto"/>
              <w:right w:val="single" w:sz="4" w:space="0" w:color="auto"/>
            </w:tcBorders>
            <w:shd w:val="clear" w:color="auto" w:fill="auto"/>
            <w:noWrap/>
            <w:vAlign w:val="bottom"/>
            <w:hideMark/>
          </w:tcPr>
          <w:p w14:paraId="469507D0" w14:textId="77777777" w:rsidR="009F3DEC" w:rsidRPr="00F31693" w:rsidRDefault="009F3DEC" w:rsidP="009B071E">
            <w:pPr>
              <w:spacing w:after="0" w:line="240" w:lineRule="auto"/>
              <w:jc w:val="center"/>
              <w:rPr>
                <w:rFonts w:ascii="Calibri" w:eastAsia="Times New Roman" w:hAnsi="Calibri" w:cs="Times New Roman"/>
                <w:bCs/>
                <w:color w:val="C00000"/>
              </w:rPr>
            </w:pPr>
            <w:r w:rsidRPr="00F31693">
              <w:rPr>
                <w:rFonts w:ascii="Calibri" w:eastAsia="Times New Roman" w:hAnsi="Calibri" w:cs="Times New Roman"/>
                <w:bCs/>
                <w:color w:val="C00000"/>
              </w:rPr>
              <w:t>$13,769.33</w:t>
            </w:r>
          </w:p>
        </w:tc>
      </w:tr>
      <w:tr w:rsidR="009F3DEC" w:rsidRPr="00F31693" w14:paraId="242B3431" w14:textId="77777777" w:rsidTr="009F3DEC">
        <w:trPr>
          <w:trHeight w:val="300"/>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2C33BA88"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Jan-16</w:t>
            </w:r>
          </w:p>
        </w:tc>
        <w:tc>
          <w:tcPr>
            <w:tcW w:w="1020" w:type="dxa"/>
            <w:tcBorders>
              <w:top w:val="nil"/>
              <w:left w:val="nil"/>
              <w:bottom w:val="single" w:sz="4" w:space="0" w:color="auto"/>
              <w:right w:val="single" w:sz="4" w:space="0" w:color="auto"/>
            </w:tcBorders>
            <w:shd w:val="clear" w:color="auto" w:fill="auto"/>
            <w:noWrap/>
            <w:vAlign w:val="bottom"/>
            <w:hideMark/>
          </w:tcPr>
          <w:p w14:paraId="5787C6BA"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177</w:t>
            </w:r>
          </w:p>
        </w:tc>
        <w:tc>
          <w:tcPr>
            <w:tcW w:w="1336" w:type="dxa"/>
            <w:tcBorders>
              <w:top w:val="nil"/>
              <w:left w:val="nil"/>
              <w:bottom w:val="single" w:sz="4" w:space="0" w:color="auto"/>
              <w:right w:val="single" w:sz="4" w:space="0" w:color="auto"/>
            </w:tcBorders>
            <w:shd w:val="clear" w:color="auto" w:fill="auto"/>
            <w:noWrap/>
            <w:vAlign w:val="bottom"/>
            <w:hideMark/>
          </w:tcPr>
          <w:p w14:paraId="0EDFA6D0"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$10,492.08</w:t>
            </w:r>
          </w:p>
        </w:tc>
        <w:tc>
          <w:tcPr>
            <w:tcW w:w="1460" w:type="dxa"/>
            <w:tcBorders>
              <w:top w:val="nil"/>
              <w:left w:val="nil"/>
              <w:bottom w:val="single" w:sz="4" w:space="0" w:color="auto"/>
              <w:right w:val="single" w:sz="4" w:space="0" w:color="auto"/>
            </w:tcBorders>
            <w:shd w:val="clear" w:color="auto" w:fill="auto"/>
            <w:noWrap/>
            <w:vAlign w:val="bottom"/>
            <w:hideMark/>
          </w:tcPr>
          <w:p w14:paraId="350F39DA" w14:textId="77777777" w:rsidR="009F3DEC" w:rsidRPr="00F31693" w:rsidRDefault="009F3DEC" w:rsidP="009B071E">
            <w:pPr>
              <w:spacing w:after="0" w:line="240" w:lineRule="auto"/>
              <w:jc w:val="center"/>
              <w:rPr>
                <w:rFonts w:ascii="Calibri" w:eastAsia="Times New Roman" w:hAnsi="Calibri" w:cs="Times New Roman"/>
                <w:bCs/>
                <w:color w:val="C00000"/>
              </w:rPr>
            </w:pPr>
            <w:r w:rsidRPr="00F31693">
              <w:rPr>
                <w:rFonts w:ascii="Calibri" w:eastAsia="Times New Roman" w:hAnsi="Calibri" w:cs="Times New Roman"/>
                <w:bCs/>
                <w:color w:val="C00000"/>
              </w:rPr>
              <w:t>$7,798.10</w:t>
            </w:r>
          </w:p>
        </w:tc>
      </w:tr>
      <w:tr w:rsidR="009F3DEC" w:rsidRPr="00F31693" w14:paraId="43F4E8A2" w14:textId="77777777" w:rsidTr="009F3DEC">
        <w:trPr>
          <w:trHeight w:val="300"/>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287E0708"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Feb-16</w:t>
            </w:r>
          </w:p>
        </w:tc>
        <w:tc>
          <w:tcPr>
            <w:tcW w:w="1020" w:type="dxa"/>
            <w:tcBorders>
              <w:top w:val="nil"/>
              <w:left w:val="nil"/>
              <w:bottom w:val="single" w:sz="4" w:space="0" w:color="auto"/>
              <w:right w:val="single" w:sz="4" w:space="0" w:color="auto"/>
            </w:tcBorders>
            <w:shd w:val="clear" w:color="auto" w:fill="auto"/>
            <w:noWrap/>
            <w:vAlign w:val="bottom"/>
            <w:hideMark/>
          </w:tcPr>
          <w:p w14:paraId="05E07F79"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155</w:t>
            </w:r>
          </w:p>
        </w:tc>
        <w:tc>
          <w:tcPr>
            <w:tcW w:w="1336" w:type="dxa"/>
            <w:tcBorders>
              <w:top w:val="nil"/>
              <w:left w:val="nil"/>
              <w:bottom w:val="single" w:sz="4" w:space="0" w:color="auto"/>
              <w:right w:val="single" w:sz="4" w:space="0" w:color="auto"/>
            </w:tcBorders>
            <w:shd w:val="clear" w:color="auto" w:fill="auto"/>
            <w:noWrap/>
            <w:vAlign w:val="bottom"/>
            <w:hideMark/>
          </w:tcPr>
          <w:p w14:paraId="1086F5F7"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$6,192.02</w:t>
            </w:r>
          </w:p>
        </w:tc>
        <w:tc>
          <w:tcPr>
            <w:tcW w:w="1460" w:type="dxa"/>
            <w:tcBorders>
              <w:top w:val="nil"/>
              <w:left w:val="nil"/>
              <w:bottom w:val="single" w:sz="4" w:space="0" w:color="auto"/>
              <w:right w:val="single" w:sz="4" w:space="0" w:color="auto"/>
            </w:tcBorders>
            <w:shd w:val="clear" w:color="auto" w:fill="auto"/>
            <w:noWrap/>
            <w:vAlign w:val="bottom"/>
            <w:hideMark/>
          </w:tcPr>
          <w:p w14:paraId="2496B044" w14:textId="77777777" w:rsidR="009F3DEC" w:rsidRPr="00F31693" w:rsidRDefault="009F3DEC" w:rsidP="009B071E">
            <w:pPr>
              <w:spacing w:after="0" w:line="240" w:lineRule="auto"/>
              <w:jc w:val="center"/>
              <w:rPr>
                <w:rFonts w:ascii="Calibri" w:eastAsia="Times New Roman" w:hAnsi="Calibri" w:cs="Times New Roman"/>
                <w:bCs/>
                <w:color w:val="C00000"/>
              </w:rPr>
            </w:pPr>
            <w:r w:rsidRPr="00F31693">
              <w:rPr>
                <w:rFonts w:ascii="Calibri" w:eastAsia="Times New Roman" w:hAnsi="Calibri" w:cs="Times New Roman"/>
                <w:bCs/>
                <w:color w:val="C00000"/>
              </w:rPr>
              <w:t>$13,994.25</w:t>
            </w:r>
          </w:p>
        </w:tc>
      </w:tr>
      <w:tr w:rsidR="009F3DEC" w:rsidRPr="00F31693" w14:paraId="2D27850D" w14:textId="77777777" w:rsidTr="009F3DEC">
        <w:trPr>
          <w:trHeight w:val="300"/>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258D7714"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Mar-16</w:t>
            </w:r>
          </w:p>
        </w:tc>
        <w:tc>
          <w:tcPr>
            <w:tcW w:w="1020" w:type="dxa"/>
            <w:tcBorders>
              <w:top w:val="nil"/>
              <w:left w:val="nil"/>
              <w:bottom w:val="single" w:sz="4" w:space="0" w:color="auto"/>
              <w:right w:val="single" w:sz="4" w:space="0" w:color="auto"/>
            </w:tcBorders>
            <w:shd w:val="clear" w:color="auto" w:fill="auto"/>
            <w:noWrap/>
            <w:vAlign w:val="bottom"/>
            <w:hideMark/>
          </w:tcPr>
          <w:p w14:paraId="3F1E0724"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182</w:t>
            </w:r>
          </w:p>
        </w:tc>
        <w:tc>
          <w:tcPr>
            <w:tcW w:w="1336" w:type="dxa"/>
            <w:tcBorders>
              <w:top w:val="nil"/>
              <w:left w:val="nil"/>
              <w:bottom w:val="single" w:sz="4" w:space="0" w:color="auto"/>
              <w:right w:val="single" w:sz="4" w:space="0" w:color="auto"/>
            </w:tcBorders>
            <w:shd w:val="clear" w:color="auto" w:fill="auto"/>
            <w:noWrap/>
            <w:vAlign w:val="bottom"/>
            <w:hideMark/>
          </w:tcPr>
          <w:p w14:paraId="7E04D7DA"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$5,228.99</w:t>
            </w:r>
          </w:p>
        </w:tc>
        <w:tc>
          <w:tcPr>
            <w:tcW w:w="1460" w:type="dxa"/>
            <w:tcBorders>
              <w:top w:val="nil"/>
              <w:left w:val="nil"/>
              <w:bottom w:val="single" w:sz="4" w:space="0" w:color="auto"/>
              <w:right w:val="single" w:sz="4" w:space="0" w:color="auto"/>
            </w:tcBorders>
            <w:shd w:val="clear" w:color="auto" w:fill="auto"/>
            <w:noWrap/>
            <w:vAlign w:val="bottom"/>
            <w:hideMark/>
          </w:tcPr>
          <w:p w14:paraId="1AD9B5FE" w14:textId="77777777" w:rsidR="009F3DEC" w:rsidRPr="00F31693" w:rsidRDefault="009F3DEC" w:rsidP="009B071E">
            <w:pPr>
              <w:spacing w:after="0" w:line="240" w:lineRule="auto"/>
              <w:jc w:val="center"/>
              <w:rPr>
                <w:rFonts w:ascii="Calibri" w:eastAsia="Times New Roman" w:hAnsi="Calibri" w:cs="Times New Roman"/>
                <w:bCs/>
                <w:color w:val="C00000"/>
              </w:rPr>
            </w:pPr>
            <w:r w:rsidRPr="00F31693">
              <w:rPr>
                <w:rFonts w:ascii="Calibri" w:eastAsia="Times New Roman" w:hAnsi="Calibri" w:cs="Times New Roman"/>
                <w:bCs/>
                <w:color w:val="C00000"/>
              </w:rPr>
              <w:t>$21,001.47</w:t>
            </w:r>
          </w:p>
        </w:tc>
      </w:tr>
      <w:tr w:rsidR="009F3DEC" w:rsidRPr="00F31693" w14:paraId="4C87E661" w14:textId="77777777" w:rsidTr="009F3DEC">
        <w:trPr>
          <w:trHeight w:val="300"/>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60280AE7"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Apr-16</w:t>
            </w:r>
          </w:p>
        </w:tc>
        <w:tc>
          <w:tcPr>
            <w:tcW w:w="1020" w:type="dxa"/>
            <w:tcBorders>
              <w:top w:val="nil"/>
              <w:left w:val="nil"/>
              <w:bottom w:val="single" w:sz="4" w:space="0" w:color="auto"/>
              <w:right w:val="single" w:sz="4" w:space="0" w:color="auto"/>
            </w:tcBorders>
            <w:shd w:val="clear" w:color="auto" w:fill="auto"/>
            <w:noWrap/>
            <w:vAlign w:val="bottom"/>
            <w:hideMark/>
          </w:tcPr>
          <w:p w14:paraId="7B372F2F"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220</w:t>
            </w:r>
          </w:p>
        </w:tc>
        <w:tc>
          <w:tcPr>
            <w:tcW w:w="1336" w:type="dxa"/>
            <w:tcBorders>
              <w:top w:val="nil"/>
              <w:left w:val="nil"/>
              <w:bottom w:val="single" w:sz="4" w:space="0" w:color="auto"/>
              <w:right w:val="single" w:sz="4" w:space="0" w:color="auto"/>
            </w:tcBorders>
            <w:shd w:val="clear" w:color="auto" w:fill="auto"/>
            <w:noWrap/>
            <w:vAlign w:val="bottom"/>
            <w:hideMark/>
          </w:tcPr>
          <w:p w14:paraId="0F1A142A"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$5,492.19</w:t>
            </w:r>
          </w:p>
        </w:tc>
        <w:tc>
          <w:tcPr>
            <w:tcW w:w="1460" w:type="dxa"/>
            <w:tcBorders>
              <w:top w:val="nil"/>
              <w:left w:val="nil"/>
              <w:bottom w:val="single" w:sz="4" w:space="0" w:color="auto"/>
              <w:right w:val="single" w:sz="4" w:space="0" w:color="auto"/>
            </w:tcBorders>
            <w:shd w:val="clear" w:color="auto" w:fill="auto"/>
            <w:noWrap/>
            <w:vAlign w:val="bottom"/>
            <w:hideMark/>
          </w:tcPr>
          <w:p w14:paraId="76844CEC" w14:textId="77777777" w:rsidR="009F3DEC" w:rsidRPr="00F31693" w:rsidRDefault="009F3DEC" w:rsidP="009B071E">
            <w:pPr>
              <w:spacing w:after="0" w:line="240" w:lineRule="auto"/>
              <w:jc w:val="center"/>
              <w:rPr>
                <w:rFonts w:ascii="Calibri" w:eastAsia="Times New Roman" w:hAnsi="Calibri" w:cs="Times New Roman"/>
                <w:bCs/>
                <w:color w:val="C00000"/>
              </w:rPr>
            </w:pPr>
            <w:r w:rsidRPr="00F31693">
              <w:rPr>
                <w:rFonts w:ascii="Calibri" w:eastAsia="Times New Roman" w:hAnsi="Calibri" w:cs="Times New Roman"/>
                <w:bCs/>
                <w:color w:val="C00000"/>
              </w:rPr>
              <w:t>$11,618.89</w:t>
            </w:r>
          </w:p>
        </w:tc>
      </w:tr>
      <w:tr w:rsidR="009F3DEC" w:rsidRPr="00F31693" w14:paraId="20EA105A" w14:textId="77777777" w:rsidTr="009F3DEC">
        <w:trPr>
          <w:trHeight w:val="300"/>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149DFFC4"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May-16</w:t>
            </w:r>
          </w:p>
        </w:tc>
        <w:tc>
          <w:tcPr>
            <w:tcW w:w="1020" w:type="dxa"/>
            <w:tcBorders>
              <w:top w:val="nil"/>
              <w:left w:val="nil"/>
              <w:bottom w:val="single" w:sz="4" w:space="0" w:color="auto"/>
              <w:right w:val="single" w:sz="4" w:space="0" w:color="auto"/>
            </w:tcBorders>
            <w:shd w:val="clear" w:color="auto" w:fill="auto"/>
            <w:noWrap/>
            <w:vAlign w:val="bottom"/>
            <w:hideMark/>
          </w:tcPr>
          <w:p w14:paraId="0C69C498"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181</w:t>
            </w:r>
          </w:p>
        </w:tc>
        <w:tc>
          <w:tcPr>
            <w:tcW w:w="1336" w:type="dxa"/>
            <w:tcBorders>
              <w:top w:val="nil"/>
              <w:left w:val="nil"/>
              <w:bottom w:val="single" w:sz="4" w:space="0" w:color="auto"/>
              <w:right w:val="single" w:sz="4" w:space="0" w:color="auto"/>
            </w:tcBorders>
            <w:shd w:val="clear" w:color="auto" w:fill="auto"/>
            <w:noWrap/>
            <w:vAlign w:val="bottom"/>
            <w:hideMark/>
          </w:tcPr>
          <w:p w14:paraId="50A7AC25"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$4,749.01</w:t>
            </w:r>
          </w:p>
        </w:tc>
        <w:tc>
          <w:tcPr>
            <w:tcW w:w="1460" w:type="dxa"/>
            <w:tcBorders>
              <w:top w:val="nil"/>
              <w:left w:val="nil"/>
              <w:bottom w:val="single" w:sz="4" w:space="0" w:color="auto"/>
              <w:right w:val="single" w:sz="4" w:space="0" w:color="auto"/>
            </w:tcBorders>
            <w:shd w:val="clear" w:color="auto" w:fill="auto"/>
            <w:noWrap/>
            <w:vAlign w:val="bottom"/>
            <w:hideMark/>
          </w:tcPr>
          <w:p w14:paraId="4B83F8BC" w14:textId="77777777" w:rsidR="009F3DEC" w:rsidRPr="00F31693" w:rsidRDefault="009F3DEC" w:rsidP="009B071E">
            <w:pPr>
              <w:spacing w:after="0" w:line="240" w:lineRule="auto"/>
              <w:jc w:val="center"/>
              <w:rPr>
                <w:rFonts w:ascii="Calibri" w:eastAsia="Times New Roman" w:hAnsi="Calibri" w:cs="Times New Roman"/>
                <w:bCs/>
                <w:color w:val="C00000"/>
              </w:rPr>
            </w:pPr>
            <w:r w:rsidRPr="00F31693">
              <w:rPr>
                <w:rFonts w:ascii="Calibri" w:eastAsia="Times New Roman" w:hAnsi="Calibri" w:cs="Times New Roman"/>
                <w:bCs/>
                <w:color w:val="C00000"/>
              </w:rPr>
              <w:t>$5,761.22</w:t>
            </w:r>
          </w:p>
        </w:tc>
      </w:tr>
      <w:tr w:rsidR="009F3DEC" w:rsidRPr="00F31693" w14:paraId="198578B3" w14:textId="77777777" w:rsidTr="009F3DEC">
        <w:trPr>
          <w:trHeight w:val="300"/>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4E820E2F"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Jun-16</w:t>
            </w:r>
          </w:p>
        </w:tc>
        <w:tc>
          <w:tcPr>
            <w:tcW w:w="1020" w:type="dxa"/>
            <w:tcBorders>
              <w:top w:val="nil"/>
              <w:left w:val="nil"/>
              <w:bottom w:val="single" w:sz="4" w:space="0" w:color="auto"/>
              <w:right w:val="single" w:sz="4" w:space="0" w:color="auto"/>
            </w:tcBorders>
            <w:shd w:val="clear" w:color="auto" w:fill="auto"/>
            <w:noWrap/>
            <w:vAlign w:val="bottom"/>
            <w:hideMark/>
          </w:tcPr>
          <w:p w14:paraId="6E66F178"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214</w:t>
            </w:r>
          </w:p>
        </w:tc>
        <w:tc>
          <w:tcPr>
            <w:tcW w:w="1336" w:type="dxa"/>
            <w:tcBorders>
              <w:top w:val="nil"/>
              <w:left w:val="nil"/>
              <w:bottom w:val="single" w:sz="4" w:space="0" w:color="auto"/>
              <w:right w:val="single" w:sz="4" w:space="0" w:color="auto"/>
            </w:tcBorders>
            <w:shd w:val="clear" w:color="auto" w:fill="auto"/>
            <w:noWrap/>
            <w:vAlign w:val="bottom"/>
            <w:hideMark/>
          </w:tcPr>
          <w:p w14:paraId="7E4A84F9" w14:textId="77777777" w:rsidR="009F3DEC" w:rsidRPr="00F31693" w:rsidRDefault="009F3DEC" w:rsidP="009B071E">
            <w:pPr>
              <w:spacing w:after="0" w:line="240" w:lineRule="auto"/>
              <w:jc w:val="center"/>
              <w:rPr>
                <w:rFonts w:ascii="Calibri" w:eastAsia="Times New Roman" w:hAnsi="Calibri" w:cs="Times New Roman"/>
                <w:bCs/>
                <w:color w:val="000000"/>
              </w:rPr>
            </w:pPr>
            <w:r w:rsidRPr="00F31693">
              <w:rPr>
                <w:rFonts w:ascii="Calibri" w:eastAsia="Times New Roman" w:hAnsi="Calibri" w:cs="Times New Roman"/>
                <w:bCs/>
                <w:color w:val="000000"/>
              </w:rPr>
              <w:t>$7,484.41</w:t>
            </w:r>
          </w:p>
        </w:tc>
        <w:tc>
          <w:tcPr>
            <w:tcW w:w="1460" w:type="dxa"/>
            <w:tcBorders>
              <w:top w:val="nil"/>
              <w:left w:val="nil"/>
              <w:bottom w:val="single" w:sz="4" w:space="0" w:color="auto"/>
              <w:right w:val="single" w:sz="4" w:space="0" w:color="auto"/>
            </w:tcBorders>
            <w:shd w:val="clear" w:color="auto" w:fill="auto"/>
            <w:noWrap/>
            <w:vAlign w:val="bottom"/>
            <w:hideMark/>
          </w:tcPr>
          <w:p w14:paraId="0BDC3261" w14:textId="77777777" w:rsidR="009F3DEC" w:rsidRPr="00F31693" w:rsidRDefault="009F3DEC" w:rsidP="009B071E">
            <w:pPr>
              <w:spacing w:after="0" w:line="240" w:lineRule="auto"/>
              <w:jc w:val="center"/>
              <w:rPr>
                <w:rFonts w:ascii="Calibri" w:eastAsia="Times New Roman" w:hAnsi="Calibri" w:cs="Times New Roman"/>
                <w:bCs/>
                <w:color w:val="C00000"/>
              </w:rPr>
            </w:pPr>
            <w:r w:rsidRPr="00F31693">
              <w:rPr>
                <w:rFonts w:ascii="Calibri" w:eastAsia="Times New Roman" w:hAnsi="Calibri" w:cs="Times New Roman"/>
                <w:bCs/>
                <w:color w:val="C00000"/>
              </w:rPr>
              <w:t>$20,043.76</w:t>
            </w:r>
          </w:p>
        </w:tc>
      </w:tr>
      <w:tr w:rsidR="009F3DEC" w:rsidRPr="00F31693" w14:paraId="1C8B29F9" w14:textId="77777777" w:rsidTr="009F3DEC">
        <w:trPr>
          <w:trHeight w:val="300"/>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30742D1E" w14:textId="77777777" w:rsidR="009F3DEC" w:rsidRPr="00F31693" w:rsidRDefault="009F3DEC" w:rsidP="009B071E">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Total FY</w:t>
            </w:r>
            <w:r w:rsidR="0059409A">
              <w:rPr>
                <w:rFonts w:ascii="Calibri" w:eastAsia="Times New Roman" w:hAnsi="Calibri" w:cs="Times New Roman"/>
                <w:b/>
                <w:bCs/>
                <w:color w:val="000000"/>
              </w:rPr>
              <w:t>E</w:t>
            </w:r>
            <w:r w:rsidRPr="00F31693">
              <w:rPr>
                <w:rFonts w:ascii="Calibri" w:eastAsia="Times New Roman" w:hAnsi="Calibri" w:cs="Times New Roman"/>
                <w:b/>
                <w:bCs/>
                <w:color w:val="000000"/>
              </w:rPr>
              <w:t xml:space="preserve"> 2016</w:t>
            </w:r>
          </w:p>
        </w:tc>
        <w:tc>
          <w:tcPr>
            <w:tcW w:w="1020" w:type="dxa"/>
            <w:tcBorders>
              <w:top w:val="nil"/>
              <w:left w:val="nil"/>
              <w:bottom w:val="single" w:sz="4" w:space="0" w:color="auto"/>
              <w:right w:val="single" w:sz="4" w:space="0" w:color="auto"/>
            </w:tcBorders>
            <w:shd w:val="clear" w:color="auto" w:fill="auto"/>
            <w:noWrap/>
            <w:vAlign w:val="bottom"/>
            <w:hideMark/>
          </w:tcPr>
          <w:p w14:paraId="73F39350" w14:textId="77777777" w:rsidR="009F3DEC" w:rsidRPr="00F31693" w:rsidRDefault="009F3DEC" w:rsidP="009B071E">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2203</w:t>
            </w:r>
          </w:p>
        </w:tc>
        <w:tc>
          <w:tcPr>
            <w:tcW w:w="1336" w:type="dxa"/>
            <w:tcBorders>
              <w:top w:val="nil"/>
              <w:left w:val="nil"/>
              <w:bottom w:val="single" w:sz="4" w:space="0" w:color="auto"/>
              <w:right w:val="single" w:sz="4" w:space="0" w:color="auto"/>
            </w:tcBorders>
            <w:shd w:val="clear" w:color="auto" w:fill="auto"/>
            <w:noWrap/>
            <w:vAlign w:val="bottom"/>
            <w:hideMark/>
          </w:tcPr>
          <w:p w14:paraId="626765D6" w14:textId="77777777" w:rsidR="009F3DEC" w:rsidRPr="00F31693" w:rsidRDefault="009F3DEC" w:rsidP="009B071E">
            <w:pPr>
              <w:spacing w:after="0" w:line="240" w:lineRule="auto"/>
              <w:jc w:val="center"/>
              <w:rPr>
                <w:rFonts w:ascii="Calibri" w:eastAsia="Times New Roman" w:hAnsi="Calibri" w:cs="Times New Roman"/>
                <w:b/>
                <w:bCs/>
                <w:color w:val="000000"/>
              </w:rPr>
            </w:pPr>
            <w:r w:rsidRPr="00F31693">
              <w:rPr>
                <w:rFonts w:ascii="Calibri" w:eastAsia="Times New Roman" w:hAnsi="Calibri" w:cs="Times New Roman"/>
                <w:b/>
                <w:bCs/>
                <w:color w:val="000000"/>
              </w:rPr>
              <w:t>$82,684.10</w:t>
            </w:r>
          </w:p>
        </w:tc>
        <w:tc>
          <w:tcPr>
            <w:tcW w:w="1460" w:type="dxa"/>
            <w:tcBorders>
              <w:top w:val="nil"/>
              <w:left w:val="nil"/>
              <w:bottom w:val="single" w:sz="4" w:space="0" w:color="auto"/>
              <w:right w:val="single" w:sz="4" w:space="0" w:color="auto"/>
            </w:tcBorders>
            <w:shd w:val="clear" w:color="auto" w:fill="auto"/>
            <w:noWrap/>
            <w:vAlign w:val="bottom"/>
            <w:hideMark/>
          </w:tcPr>
          <w:p w14:paraId="33BAB3A9" w14:textId="77777777" w:rsidR="009F3DEC" w:rsidRPr="00F31693" w:rsidRDefault="009F3DEC" w:rsidP="009B071E">
            <w:pPr>
              <w:spacing w:after="0" w:line="240" w:lineRule="auto"/>
              <w:jc w:val="center"/>
              <w:rPr>
                <w:rFonts w:ascii="Calibri" w:eastAsia="Times New Roman" w:hAnsi="Calibri" w:cs="Times New Roman"/>
                <w:b/>
                <w:bCs/>
                <w:color w:val="C00000"/>
              </w:rPr>
            </w:pPr>
            <w:r w:rsidRPr="00F31693">
              <w:rPr>
                <w:rFonts w:ascii="Calibri" w:eastAsia="Times New Roman" w:hAnsi="Calibri" w:cs="Times New Roman"/>
                <w:b/>
                <w:bCs/>
                <w:color w:val="C00000"/>
              </w:rPr>
              <w:t>$159,721.43</w:t>
            </w:r>
          </w:p>
        </w:tc>
      </w:tr>
    </w:tbl>
    <w:p w14:paraId="21D5E530" w14:textId="77777777" w:rsidR="00C842E9" w:rsidRPr="00F31693" w:rsidRDefault="00C842E9" w:rsidP="0048130B">
      <w:pPr>
        <w:pStyle w:val="NoSpacing"/>
      </w:pPr>
    </w:p>
    <w:p w14:paraId="25C630F7" w14:textId="77777777" w:rsidR="001E57DB" w:rsidRPr="00F31693" w:rsidRDefault="001E57DB" w:rsidP="001E57DB">
      <w:r w:rsidRPr="00F31693">
        <w:t>Since the last review there have been significant increases in transaction numbers and totals. For FY</w:t>
      </w:r>
      <w:r w:rsidR="00F557E7">
        <w:t>E</w:t>
      </w:r>
      <w:r w:rsidRPr="00F31693">
        <w:t xml:space="preserve"> 2016, the number of transactions was 735 up from 1,468 and the debits and credits showed an increase with a combined total of $72,087.04.</w:t>
      </w:r>
    </w:p>
    <w:p w14:paraId="3F5134FE" w14:textId="77777777" w:rsidR="001A6193" w:rsidRPr="00F31693" w:rsidRDefault="001A6193" w:rsidP="00B33380">
      <w:pPr>
        <w:pStyle w:val="NoSpacing"/>
        <w:rPr>
          <w:b/>
          <w:u w:val="single"/>
        </w:rPr>
      </w:pPr>
      <w:r w:rsidRPr="00F31693">
        <w:rPr>
          <w:b/>
          <w:u w:val="single"/>
        </w:rPr>
        <w:t>201</w:t>
      </w:r>
      <w:r w:rsidR="00F25A6C" w:rsidRPr="00F31693">
        <w:rPr>
          <w:b/>
          <w:u w:val="single"/>
        </w:rPr>
        <w:t>6</w:t>
      </w:r>
      <w:r w:rsidRPr="00F31693">
        <w:rPr>
          <w:b/>
          <w:u w:val="single"/>
        </w:rPr>
        <w:t xml:space="preserve"> IAT </w:t>
      </w:r>
      <w:r w:rsidR="00D5673A" w:rsidRPr="00F31693">
        <w:rPr>
          <w:b/>
          <w:u w:val="single"/>
        </w:rPr>
        <w:t>D</w:t>
      </w:r>
      <w:r w:rsidRPr="00F31693">
        <w:rPr>
          <w:b/>
          <w:u w:val="single"/>
        </w:rPr>
        <w:t>ata:</w:t>
      </w:r>
    </w:p>
    <w:p w14:paraId="296AD622" w14:textId="77777777" w:rsidR="001A6193" w:rsidRPr="00F31693" w:rsidRDefault="001A6193" w:rsidP="001A6193">
      <w:pPr>
        <w:pStyle w:val="NoSpacing"/>
      </w:pPr>
    </w:p>
    <w:p w14:paraId="02A59260" w14:textId="77777777" w:rsidR="00A95E97" w:rsidRPr="00F31693" w:rsidRDefault="00A95E97" w:rsidP="00B33380">
      <w:pPr>
        <w:pStyle w:val="NoSpacing"/>
      </w:pPr>
      <w:r w:rsidRPr="00F31693">
        <w:rPr>
          <w:b/>
        </w:rPr>
        <w:t>Deposits</w:t>
      </w:r>
      <w:r w:rsidR="001A6193" w:rsidRPr="00F31693">
        <w:rPr>
          <w:b/>
        </w:rPr>
        <w:t>:</w:t>
      </w:r>
      <w:r w:rsidRPr="00F31693">
        <w:rPr>
          <w:b/>
        </w:rPr>
        <w:t xml:space="preserve"> </w:t>
      </w:r>
      <w:r w:rsidRPr="00F31693">
        <w:t>$</w:t>
      </w:r>
      <w:r w:rsidR="00F25A6C" w:rsidRPr="00F31693">
        <w:t>82,684</w:t>
      </w:r>
      <w:r w:rsidRPr="00F31693">
        <w:tab/>
      </w:r>
    </w:p>
    <w:p w14:paraId="24ED0CF2" w14:textId="77777777" w:rsidR="001A6193" w:rsidRPr="00F31693" w:rsidRDefault="00A95E97" w:rsidP="00B33380">
      <w:pPr>
        <w:pStyle w:val="NoSpacing"/>
      </w:pPr>
      <w:r w:rsidRPr="00F31693">
        <w:rPr>
          <w:b/>
        </w:rPr>
        <w:t>Charges</w:t>
      </w:r>
      <w:r w:rsidR="001A6193" w:rsidRPr="00F31693">
        <w:rPr>
          <w:b/>
        </w:rPr>
        <w:t>:</w:t>
      </w:r>
      <w:r w:rsidRPr="00F31693">
        <w:t xml:space="preserve"> $</w:t>
      </w:r>
      <w:r w:rsidR="00F25A6C" w:rsidRPr="00F31693">
        <w:t>159,721</w:t>
      </w:r>
    </w:p>
    <w:p w14:paraId="35166FDE" w14:textId="77777777" w:rsidR="00BB2A80" w:rsidRPr="00F31693" w:rsidRDefault="00BB2A80" w:rsidP="00B33380">
      <w:pPr>
        <w:pStyle w:val="NoSpacing"/>
      </w:pPr>
      <w:r w:rsidRPr="00F31693">
        <w:rPr>
          <w:b/>
        </w:rPr>
        <w:t>Number of Transactions</w:t>
      </w:r>
      <w:r w:rsidR="001A6193" w:rsidRPr="00F31693">
        <w:rPr>
          <w:b/>
        </w:rPr>
        <w:t>:</w:t>
      </w:r>
      <w:r w:rsidRPr="00F31693">
        <w:t xml:space="preserve"> </w:t>
      </w:r>
      <w:r w:rsidR="00F25A6C" w:rsidRPr="00F31693">
        <w:t>2,303</w:t>
      </w:r>
    </w:p>
    <w:p w14:paraId="38CE5ADC" w14:textId="77777777" w:rsidR="00B33380" w:rsidRPr="00F31693" w:rsidRDefault="00B33380" w:rsidP="00B33380">
      <w:pPr>
        <w:pStyle w:val="NoSpacing"/>
      </w:pPr>
    </w:p>
    <w:p w14:paraId="5F808123" w14:textId="77777777" w:rsidR="00FF7836" w:rsidRPr="00F31693" w:rsidRDefault="00FF7836" w:rsidP="00A95E97">
      <w:pPr>
        <w:rPr>
          <w:b/>
        </w:rPr>
      </w:pPr>
    </w:p>
    <w:p w14:paraId="5FE70609" w14:textId="77777777" w:rsidR="00FF7836" w:rsidRPr="00F31693" w:rsidRDefault="00FF7836" w:rsidP="00A95E97">
      <w:pPr>
        <w:rPr>
          <w:b/>
        </w:rPr>
      </w:pPr>
    </w:p>
    <w:p w14:paraId="3CDF7DCE" w14:textId="77777777" w:rsidR="00953F41" w:rsidRPr="00F31693" w:rsidRDefault="00953F41" w:rsidP="00A95E97">
      <w:pPr>
        <w:rPr>
          <w:b/>
        </w:rPr>
      </w:pPr>
    </w:p>
    <w:p w14:paraId="64EA2F4F" w14:textId="77777777" w:rsidR="00A95E97" w:rsidRPr="00F31693" w:rsidRDefault="00A95E97" w:rsidP="00A95E97">
      <w:pPr>
        <w:rPr>
          <w:b/>
        </w:rPr>
      </w:pPr>
      <w:r w:rsidRPr="00F31693">
        <w:rPr>
          <w:b/>
        </w:rPr>
        <w:lastRenderedPageBreak/>
        <w:t>OFAC Actions</w:t>
      </w:r>
    </w:p>
    <w:p w14:paraId="0725E3FC" w14:textId="63F51465" w:rsidR="00A95E97" w:rsidRPr="00F31693" w:rsidRDefault="006473DB" w:rsidP="00A95E97">
      <w:r>
        <w:t xml:space="preserve">J. Wallace </w:t>
      </w:r>
      <w:r w:rsidR="00A95E97" w:rsidRPr="00F31693">
        <w:t>has no communications from OFAC indicating compliance problems, and no history of OFAC violations</w:t>
      </w:r>
      <w:r w:rsidR="00A67445" w:rsidRPr="00F31693">
        <w:t xml:space="preserve">, with a small number of transactions occurring </w:t>
      </w:r>
      <w:r w:rsidR="00216B58" w:rsidRPr="00F31693">
        <w:t>in</w:t>
      </w:r>
      <w:r w:rsidR="00A67445" w:rsidRPr="00F31693">
        <w:t xml:space="preserve"> </w:t>
      </w:r>
      <w:proofErr w:type="gramStart"/>
      <w:r w:rsidR="00A67445" w:rsidRPr="00F31693">
        <w:t>high risk</w:t>
      </w:r>
      <w:proofErr w:type="gramEnd"/>
      <w:r w:rsidR="00A67445" w:rsidRPr="00F31693">
        <w:t xml:space="preserve"> </w:t>
      </w:r>
      <w:proofErr w:type="gramStart"/>
      <w:r w:rsidR="00A67445" w:rsidRPr="00F31693">
        <w:t>jurisdictions</w:t>
      </w:r>
      <w:proofErr w:type="gramEnd"/>
      <w:r w:rsidR="00A67445" w:rsidRPr="00F31693">
        <w:t xml:space="preserve"> relative to the </w:t>
      </w:r>
      <w:r w:rsidR="00216B58" w:rsidRPr="00F31693">
        <w:t>transaction population. A</w:t>
      </w:r>
      <w:r w:rsidR="00A67445" w:rsidRPr="00F31693">
        <w:t xml:space="preserve">s such our inherent risk remains </w:t>
      </w:r>
      <w:r w:rsidR="00A67445" w:rsidRPr="00F31693">
        <w:rPr>
          <w:b/>
        </w:rPr>
        <w:t>MODERATE</w:t>
      </w:r>
      <w:r w:rsidR="00A95E97" w:rsidRPr="00F31693">
        <w:t>.</w:t>
      </w:r>
    </w:p>
    <w:p w14:paraId="53A7FECE" w14:textId="77777777" w:rsidR="00A95E97" w:rsidRPr="00F31693" w:rsidRDefault="00A95E97" w:rsidP="00A95E97">
      <w:r w:rsidRPr="00F31693">
        <w:t>The purpose of the OFAC program is to completely comply with OFAC regulations, and to help ensure no funds are transferred into or out of accounts blocked in accordance with OFAC sanctions.</w:t>
      </w:r>
    </w:p>
    <w:p w14:paraId="6EE710E1" w14:textId="4C1C4793" w:rsidR="00A95E97" w:rsidRPr="00F31693" w:rsidRDefault="006473DB" w:rsidP="00A95E97">
      <w:r>
        <w:t xml:space="preserve">J. Wallace Bank </w:t>
      </w:r>
      <w:r w:rsidR="00A95E97" w:rsidRPr="00F31693">
        <w:t xml:space="preserve">originates wire transfers, issues Official Checks, sells Travelers Checks and Gift Checks. The OFAC list </w:t>
      </w:r>
      <w:r w:rsidR="00C24BA9" w:rsidRPr="00F31693">
        <w:t>is</w:t>
      </w:r>
      <w:r w:rsidR="00A95E97" w:rsidRPr="00F31693">
        <w:t xml:space="preserve"> checked when the receiver of funds is not a customer to ensure that no transactions of any type are completed for entities that appear on the OFAC List. ACH activity is monitored </w:t>
      </w:r>
      <w:proofErr w:type="gramStart"/>
      <w:r w:rsidR="00A95E97" w:rsidRPr="00F31693">
        <w:t>on a daily basis</w:t>
      </w:r>
      <w:proofErr w:type="gramEnd"/>
      <w:r w:rsidR="00A95E97" w:rsidRPr="00F31693">
        <w:t xml:space="preserve"> with reports provided by </w:t>
      </w:r>
      <w:r w:rsidR="00C24BA9" w:rsidRPr="00F31693">
        <w:t>Lexis</w:t>
      </w:r>
      <w:r w:rsidR="00647DBE" w:rsidRPr="00F31693">
        <w:t>/</w:t>
      </w:r>
      <w:r w:rsidR="0003083E" w:rsidRPr="00F31693">
        <w:t>Nexis and FSI</w:t>
      </w:r>
      <w:r w:rsidR="00A95E97" w:rsidRPr="00F31693">
        <w:t xml:space="preserve">. OFAC searches on the originators are performed for </w:t>
      </w:r>
      <w:proofErr w:type="gramStart"/>
      <w:r w:rsidR="00A95E97" w:rsidRPr="00F31693">
        <w:t>all of</w:t>
      </w:r>
      <w:proofErr w:type="gramEnd"/>
      <w:r w:rsidR="00A95E97" w:rsidRPr="00F31693">
        <w:t xml:space="preserve"> these transactions.</w:t>
      </w:r>
    </w:p>
    <w:p w14:paraId="317F8518" w14:textId="73F2A6EB" w:rsidR="00A95E97" w:rsidRPr="00F31693" w:rsidRDefault="006473DB" w:rsidP="00A95E97">
      <w:r>
        <w:t xml:space="preserve">J. Wallace Bank </w:t>
      </w:r>
      <w:r w:rsidR="00A95E97" w:rsidRPr="00F31693">
        <w:t xml:space="preserve">has compliance procedures in place so that we are able to react to frequent changes to the sanction </w:t>
      </w:r>
      <w:proofErr w:type="gramStart"/>
      <w:r w:rsidR="00A95E97" w:rsidRPr="00F31693">
        <w:t>lists, and</w:t>
      </w:r>
      <w:proofErr w:type="gramEnd"/>
      <w:r w:rsidR="00A95E97" w:rsidRPr="00F31693">
        <w:t xml:space="preserve"> can identify accounts or transactions that would be subject to the sanctions</w:t>
      </w:r>
      <w:r w:rsidR="00647DBE" w:rsidRPr="00F31693">
        <w:t>, resulting in</w:t>
      </w:r>
      <w:r w:rsidR="0003083E" w:rsidRPr="00F31693">
        <w:t xml:space="preserve"> </w:t>
      </w:r>
      <w:r w:rsidR="00647DBE" w:rsidRPr="00F31693">
        <w:t>blocking, freezing, rejecting and reporting funds</w:t>
      </w:r>
      <w:r w:rsidR="00A95E97" w:rsidRPr="00F31693">
        <w:t>.</w:t>
      </w:r>
    </w:p>
    <w:p w14:paraId="0421BF37" w14:textId="77777777" w:rsidR="00A95E97" w:rsidRDefault="00A95E97" w:rsidP="00A95E97">
      <w:r w:rsidRPr="00F31693">
        <w:t>Total compliance with OFAC sanctions requires a great deal of information, some of which may need to be obtained with legal assistance. Our procedures have been developed with this in mind, and do not address specific issues with specific governments or entities.</w:t>
      </w:r>
    </w:p>
    <w:p w14:paraId="1DB15E20" w14:textId="77777777" w:rsidR="006D5E74" w:rsidRDefault="006D5E74"/>
    <w:sectPr w:rsidR="006D5E74" w:rsidSect="00CC724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D009D" w14:textId="77777777" w:rsidR="00CC7244" w:rsidRDefault="00CC7244" w:rsidP="005A3137">
      <w:pPr>
        <w:spacing w:after="0" w:line="240" w:lineRule="auto"/>
      </w:pPr>
      <w:r>
        <w:separator/>
      </w:r>
    </w:p>
  </w:endnote>
  <w:endnote w:type="continuationSeparator" w:id="0">
    <w:p w14:paraId="2EA602D9" w14:textId="77777777" w:rsidR="00CC7244" w:rsidRDefault="00CC7244" w:rsidP="005A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5633"/>
      <w:docPartObj>
        <w:docPartGallery w:val="Page Numbers (Bottom of Page)"/>
        <w:docPartUnique/>
      </w:docPartObj>
    </w:sdtPr>
    <w:sdtContent>
      <w:p w14:paraId="10D5EE89" w14:textId="77777777" w:rsidR="00CC6F49" w:rsidRDefault="00CC6F49">
        <w:pPr>
          <w:pStyle w:val="Footer"/>
          <w:jc w:val="right"/>
        </w:pPr>
        <w:r>
          <w:t xml:space="preserve">Page | </w:t>
        </w:r>
        <w:r>
          <w:fldChar w:fldCharType="begin"/>
        </w:r>
        <w:r>
          <w:instrText xml:space="preserve"> PAGE   \* MERGEFORMAT </w:instrText>
        </w:r>
        <w:r>
          <w:fldChar w:fldCharType="separate"/>
        </w:r>
        <w:r w:rsidR="000C1EAE">
          <w:rPr>
            <w:noProof/>
          </w:rPr>
          <w:t>3</w:t>
        </w:r>
        <w:r>
          <w:rPr>
            <w:noProof/>
          </w:rPr>
          <w:fldChar w:fldCharType="end"/>
        </w:r>
        <w:r>
          <w:t xml:space="preserve"> </w:t>
        </w:r>
      </w:p>
    </w:sdtContent>
  </w:sdt>
  <w:p w14:paraId="7A2CC805" w14:textId="77777777" w:rsidR="00CC6F49" w:rsidRDefault="00CC6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4F6AD" w14:textId="77777777" w:rsidR="00CC7244" w:rsidRDefault="00CC7244" w:rsidP="005A3137">
      <w:pPr>
        <w:spacing w:after="0" w:line="240" w:lineRule="auto"/>
      </w:pPr>
      <w:r>
        <w:separator/>
      </w:r>
    </w:p>
  </w:footnote>
  <w:footnote w:type="continuationSeparator" w:id="0">
    <w:p w14:paraId="63AE2EEC" w14:textId="77777777" w:rsidR="00CC7244" w:rsidRDefault="00CC7244" w:rsidP="005A3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91DF0" w14:textId="77777777" w:rsidR="00CC6F49" w:rsidRPr="00491552" w:rsidRDefault="00CC6F49">
    <w:pPr>
      <w:pStyle w:val="Header"/>
      <w:rPr>
        <w:b/>
        <w:sz w:val="40"/>
        <w:szCs w:val="40"/>
      </w:rPr>
    </w:pPr>
    <w:r w:rsidRPr="00491552">
      <w:rPr>
        <w:b/>
        <w:sz w:val="40"/>
        <w:szCs w:val="40"/>
      </w:rPr>
      <w:t>J. WALLACE BANK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532"/>
    <w:multiLevelType w:val="hybridMultilevel"/>
    <w:tmpl w:val="C9AA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5054E"/>
    <w:multiLevelType w:val="hybridMultilevel"/>
    <w:tmpl w:val="D4460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05649"/>
    <w:multiLevelType w:val="hybridMultilevel"/>
    <w:tmpl w:val="64B60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1E2EED"/>
    <w:multiLevelType w:val="hybridMultilevel"/>
    <w:tmpl w:val="EB22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07A8E"/>
    <w:multiLevelType w:val="hybridMultilevel"/>
    <w:tmpl w:val="E2CC6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E4358"/>
    <w:multiLevelType w:val="hybridMultilevel"/>
    <w:tmpl w:val="96023DC0"/>
    <w:lvl w:ilvl="0" w:tplc="6BBC7EE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FD48D7"/>
    <w:multiLevelType w:val="hybridMultilevel"/>
    <w:tmpl w:val="241E1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65493E"/>
    <w:multiLevelType w:val="hybridMultilevel"/>
    <w:tmpl w:val="197E6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29304E"/>
    <w:multiLevelType w:val="hybridMultilevel"/>
    <w:tmpl w:val="C4E2B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73104E"/>
    <w:multiLevelType w:val="hybridMultilevel"/>
    <w:tmpl w:val="595A6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A159CC"/>
    <w:multiLevelType w:val="hybridMultilevel"/>
    <w:tmpl w:val="6E74C5F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C71507"/>
    <w:multiLevelType w:val="hybridMultilevel"/>
    <w:tmpl w:val="B9C6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F28DD"/>
    <w:multiLevelType w:val="hybridMultilevel"/>
    <w:tmpl w:val="9CD2CCF6"/>
    <w:lvl w:ilvl="0" w:tplc="6BBC7EE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7D3"/>
    <w:multiLevelType w:val="hybridMultilevel"/>
    <w:tmpl w:val="96F49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A1BB9"/>
    <w:multiLevelType w:val="hybridMultilevel"/>
    <w:tmpl w:val="9314D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6247D"/>
    <w:multiLevelType w:val="hybridMultilevel"/>
    <w:tmpl w:val="A78632D0"/>
    <w:lvl w:ilvl="0" w:tplc="FF88C8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80614"/>
    <w:multiLevelType w:val="multilevel"/>
    <w:tmpl w:val="D7D80048"/>
    <w:lvl w:ilvl="0">
      <w:start w:val="1"/>
      <w:numFmt w:val="none"/>
      <w:pStyle w:val="Step1"/>
      <w:suff w:val="nothing"/>
      <w:lvlText w:val=""/>
      <w:lvlJc w:val="left"/>
      <w:pPr>
        <w:ind w:left="0" w:firstLine="0"/>
      </w:pPr>
      <w:rPr>
        <w:rFonts w:hint="default"/>
      </w:rPr>
    </w:lvl>
    <w:lvl w:ilvl="1">
      <w:start w:val="1"/>
      <w:numFmt w:val="decimal"/>
      <w:pStyle w:val="StepL1"/>
      <w:lvlText w:val="%2."/>
      <w:lvlJc w:val="right"/>
      <w:pPr>
        <w:tabs>
          <w:tab w:val="num" w:pos="792"/>
        </w:tabs>
        <w:ind w:left="792" w:hanging="216"/>
      </w:pPr>
      <w:rPr>
        <w:rFonts w:ascii="Arial" w:hAnsi="Arial"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StepL2"/>
      <w:lvlText w:val="%3."/>
      <w:lvlJc w:val="right"/>
      <w:pPr>
        <w:tabs>
          <w:tab w:val="num" w:pos="1368"/>
        </w:tabs>
        <w:ind w:left="1368" w:hanging="216"/>
      </w:pPr>
      <w:rPr>
        <w:rFonts w:ascii="Arial" w:hAnsi="Arial"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tepL3"/>
      <w:lvlText w:val="%4)"/>
      <w:lvlJc w:val="right"/>
      <w:pPr>
        <w:tabs>
          <w:tab w:val="num" w:pos="1944"/>
        </w:tabs>
        <w:ind w:left="1944" w:hanging="216"/>
      </w:pPr>
      <w:rPr>
        <w:rFonts w:ascii="Arial" w:hAnsi="Arial"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StepL4"/>
      <w:lvlText w:val="%5)"/>
      <w:lvlJc w:val="right"/>
      <w:pPr>
        <w:tabs>
          <w:tab w:val="num" w:pos="2520"/>
        </w:tabs>
        <w:ind w:left="2520" w:hanging="216"/>
      </w:pPr>
      <w:rPr>
        <w:rFonts w:ascii="Arial" w:hAnsi="Arial" w:hint="default"/>
        <w:b w:val="0"/>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7819"/>
        </w:tabs>
        <w:ind w:left="7603" w:hanging="504"/>
      </w:pPr>
      <w:rPr>
        <w:rFonts w:hint="default"/>
      </w:rPr>
    </w:lvl>
    <w:lvl w:ilvl="6">
      <w:start w:val="1"/>
      <w:numFmt w:val="decimal"/>
      <w:lvlText w:val="%7."/>
      <w:lvlJc w:val="left"/>
      <w:pPr>
        <w:tabs>
          <w:tab w:val="num" w:pos="9014"/>
        </w:tabs>
        <w:ind w:left="9014" w:hanging="360"/>
      </w:pPr>
      <w:rPr>
        <w:rFonts w:hint="default"/>
      </w:rPr>
    </w:lvl>
    <w:lvl w:ilvl="7">
      <w:start w:val="1"/>
      <w:numFmt w:val="lowerLetter"/>
      <w:lvlText w:val="%8."/>
      <w:lvlJc w:val="left"/>
      <w:pPr>
        <w:tabs>
          <w:tab w:val="num" w:pos="9374"/>
        </w:tabs>
        <w:ind w:left="9374" w:hanging="360"/>
      </w:pPr>
      <w:rPr>
        <w:rFonts w:hint="default"/>
      </w:rPr>
    </w:lvl>
    <w:lvl w:ilvl="8">
      <w:start w:val="1"/>
      <w:numFmt w:val="lowerRoman"/>
      <w:lvlText w:val="%9."/>
      <w:lvlJc w:val="left"/>
      <w:pPr>
        <w:tabs>
          <w:tab w:val="num" w:pos="9734"/>
        </w:tabs>
        <w:ind w:left="9734" w:hanging="360"/>
      </w:pPr>
      <w:rPr>
        <w:rFonts w:hint="default"/>
      </w:rPr>
    </w:lvl>
  </w:abstractNum>
  <w:abstractNum w:abstractNumId="17" w15:restartNumberingAfterBreak="0">
    <w:nsid w:val="3887437D"/>
    <w:multiLevelType w:val="hybridMultilevel"/>
    <w:tmpl w:val="CE4A65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96F0E9A"/>
    <w:multiLevelType w:val="hybridMultilevel"/>
    <w:tmpl w:val="C394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97F23"/>
    <w:multiLevelType w:val="hybridMultilevel"/>
    <w:tmpl w:val="8844FFF6"/>
    <w:lvl w:ilvl="0" w:tplc="6BBC7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31D89"/>
    <w:multiLevelType w:val="hybridMultilevel"/>
    <w:tmpl w:val="AA7AABEC"/>
    <w:lvl w:ilvl="0" w:tplc="FF88C81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051263"/>
    <w:multiLevelType w:val="hybridMultilevel"/>
    <w:tmpl w:val="28AE28B6"/>
    <w:lvl w:ilvl="0" w:tplc="6BBC7EE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F25D8C"/>
    <w:multiLevelType w:val="hybridMultilevel"/>
    <w:tmpl w:val="1F1CD2DE"/>
    <w:lvl w:ilvl="0" w:tplc="FF88C8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0755F"/>
    <w:multiLevelType w:val="hybridMultilevel"/>
    <w:tmpl w:val="390E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AB6F04"/>
    <w:multiLevelType w:val="hybridMultilevel"/>
    <w:tmpl w:val="8F1E0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CE6E2E"/>
    <w:multiLevelType w:val="hybridMultilevel"/>
    <w:tmpl w:val="66BA5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A0973"/>
    <w:multiLevelType w:val="hybridMultilevel"/>
    <w:tmpl w:val="E7C28C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3B6527"/>
    <w:multiLevelType w:val="hybridMultilevel"/>
    <w:tmpl w:val="B8EA8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594B0D"/>
    <w:multiLevelType w:val="hybridMultilevel"/>
    <w:tmpl w:val="6FB4C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B7375C"/>
    <w:multiLevelType w:val="hybridMultilevel"/>
    <w:tmpl w:val="122682B2"/>
    <w:lvl w:ilvl="0" w:tplc="6BBC7EE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92373"/>
    <w:multiLevelType w:val="hybridMultilevel"/>
    <w:tmpl w:val="5F48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411E68"/>
    <w:multiLevelType w:val="hybridMultilevel"/>
    <w:tmpl w:val="706C5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535FDA"/>
    <w:multiLevelType w:val="hybridMultilevel"/>
    <w:tmpl w:val="0744197C"/>
    <w:lvl w:ilvl="0" w:tplc="6BBC7EE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EA56F10"/>
    <w:multiLevelType w:val="hybridMultilevel"/>
    <w:tmpl w:val="20C46912"/>
    <w:lvl w:ilvl="0" w:tplc="6BBC7EE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093DA7"/>
    <w:multiLevelType w:val="hybridMultilevel"/>
    <w:tmpl w:val="E794D678"/>
    <w:lvl w:ilvl="0" w:tplc="6BBC7EE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574F9A"/>
    <w:multiLevelType w:val="hybridMultilevel"/>
    <w:tmpl w:val="14242524"/>
    <w:lvl w:ilvl="0" w:tplc="6BBC7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A3AFF"/>
    <w:multiLevelType w:val="hybridMultilevel"/>
    <w:tmpl w:val="1B783B2E"/>
    <w:lvl w:ilvl="0" w:tplc="6BBC7EE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CF7C9E"/>
    <w:multiLevelType w:val="hybridMultilevel"/>
    <w:tmpl w:val="39D051A6"/>
    <w:lvl w:ilvl="0" w:tplc="6BBC7EE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504059">
    <w:abstractNumId w:val="23"/>
  </w:num>
  <w:num w:numId="2" w16cid:durableId="1544630773">
    <w:abstractNumId w:val="11"/>
  </w:num>
  <w:num w:numId="3" w16cid:durableId="603461161">
    <w:abstractNumId w:val="30"/>
  </w:num>
  <w:num w:numId="4" w16cid:durableId="2030833720">
    <w:abstractNumId w:val="21"/>
  </w:num>
  <w:num w:numId="5" w16cid:durableId="1903715114">
    <w:abstractNumId w:val="33"/>
  </w:num>
  <w:num w:numId="6" w16cid:durableId="1511530159">
    <w:abstractNumId w:val="37"/>
  </w:num>
  <w:num w:numId="7" w16cid:durableId="437871776">
    <w:abstractNumId w:val="32"/>
  </w:num>
  <w:num w:numId="8" w16cid:durableId="2131044273">
    <w:abstractNumId w:val="29"/>
  </w:num>
  <w:num w:numId="9" w16cid:durableId="1027829299">
    <w:abstractNumId w:val="5"/>
  </w:num>
  <w:num w:numId="10" w16cid:durableId="314142687">
    <w:abstractNumId w:val="13"/>
  </w:num>
  <w:num w:numId="11" w16cid:durableId="1951353603">
    <w:abstractNumId w:val="31"/>
  </w:num>
  <w:num w:numId="12" w16cid:durableId="1850557597">
    <w:abstractNumId w:val="34"/>
  </w:num>
  <w:num w:numId="13" w16cid:durableId="74018034">
    <w:abstractNumId w:val="12"/>
  </w:num>
  <w:num w:numId="14" w16cid:durableId="1101413430">
    <w:abstractNumId w:val="36"/>
  </w:num>
  <w:num w:numId="15" w16cid:durableId="1201824187">
    <w:abstractNumId w:val="19"/>
  </w:num>
  <w:num w:numId="16" w16cid:durableId="1260599330">
    <w:abstractNumId w:val="35"/>
  </w:num>
  <w:num w:numId="17" w16cid:durableId="1838421492">
    <w:abstractNumId w:val="0"/>
  </w:num>
  <w:num w:numId="18" w16cid:durableId="13069764">
    <w:abstractNumId w:val="28"/>
  </w:num>
  <w:num w:numId="19" w16cid:durableId="1681929910">
    <w:abstractNumId w:val="25"/>
  </w:num>
  <w:num w:numId="20" w16cid:durableId="1618415909">
    <w:abstractNumId w:val="15"/>
  </w:num>
  <w:num w:numId="21" w16cid:durableId="1003319823">
    <w:abstractNumId w:val="20"/>
  </w:num>
  <w:num w:numId="22" w16cid:durableId="49496291">
    <w:abstractNumId w:val="16"/>
  </w:num>
  <w:num w:numId="23" w16cid:durableId="1609655865">
    <w:abstractNumId w:val="22"/>
  </w:num>
  <w:num w:numId="24" w16cid:durableId="119226969">
    <w:abstractNumId w:val="4"/>
  </w:num>
  <w:num w:numId="25" w16cid:durableId="465778128">
    <w:abstractNumId w:val="26"/>
  </w:num>
  <w:num w:numId="26" w16cid:durableId="1555462099">
    <w:abstractNumId w:val="3"/>
  </w:num>
  <w:num w:numId="27" w16cid:durableId="1629705046">
    <w:abstractNumId w:val="2"/>
  </w:num>
  <w:num w:numId="28" w16cid:durableId="116165744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64968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5377605">
    <w:abstractNumId w:val="10"/>
  </w:num>
  <w:num w:numId="31" w16cid:durableId="1116753156">
    <w:abstractNumId w:val="14"/>
  </w:num>
  <w:num w:numId="32" w16cid:durableId="1934437048">
    <w:abstractNumId w:val="9"/>
  </w:num>
  <w:num w:numId="33" w16cid:durableId="379670649">
    <w:abstractNumId w:val="1"/>
  </w:num>
  <w:num w:numId="34" w16cid:durableId="629556239">
    <w:abstractNumId w:val="7"/>
  </w:num>
  <w:num w:numId="35" w16cid:durableId="458644211">
    <w:abstractNumId w:val="18"/>
  </w:num>
  <w:num w:numId="36" w16cid:durableId="1388724872">
    <w:abstractNumId w:val="6"/>
  </w:num>
  <w:num w:numId="37" w16cid:durableId="919674786">
    <w:abstractNumId w:val="8"/>
  </w:num>
  <w:num w:numId="38" w16cid:durableId="1988431841">
    <w:abstractNumId w:val="27"/>
  </w:num>
  <w:num w:numId="39" w16cid:durableId="1030178778">
    <w:abstractNumId w:val="24"/>
  </w:num>
  <w:num w:numId="40" w16cid:durableId="16764933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97"/>
    <w:rsid w:val="00002EB6"/>
    <w:rsid w:val="00003211"/>
    <w:rsid w:val="00011643"/>
    <w:rsid w:val="00020467"/>
    <w:rsid w:val="00022F43"/>
    <w:rsid w:val="000273F1"/>
    <w:rsid w:val="000305C7"/>
    <w:rsid w:val="0003083E"/>
    <w:rsid w:val="00032FD4"/>
    <w:rsid w:val="00041630"/>
    <w:rsid w:val="00042445"/>
    <w:rsid w:val="0004473A"/>
    <w:rsid w:val="000454FB"/>
    <w:rsid w:val="00047658"/>
    <w:rsid w:val="0005105F"/>
    <w:rsid w:val="000515FC"/>
    <w:rsid w:val="00053A89"/>
    <w:rsid w:val="00062182"/>
    <w:rsid w:val="00065C2F"/>
    <w:rsid w:val="00066D65"/>
    <w:rsid w:val="000710C3"/>
    <w:rsid w:val="00071646"/>
    <w:rsid w:val="00074DF3"/>
    <w:rsid w:val="00077585"/>
    <w:rsid w:val="000859C4"/>
    <w:rsid w:val="00085F3F"/>
    <w:rsid w:val="000867F7"/>
    <w:rsid w:val="00087122"/>
    <w:rsid w:val="000933C1"/>
    <w:rsid w:val="000A224A"/>
    <w:rsid w:val="000A3276"/>
    <w:rsid w:val="000A351C"/>
    <w:rsid w:val="000A6D5E"/>
    <w:rsid w:val="000A7183"/>
    <w:rsid w:val="000A721B"/>
    <w:rsid w:val="000A767A"/>
    <w:rsid w:val="000A7BD4"/>
    <w:rsid w:val="000B0C23"/>
    <w:rsid w:val="000B0FD0"/>
    <w:rsid w:val="000B6098"/>
    <w:rsid w:val="000B6593"/>
    <w:rsid w:val="000B7E24"/>
    <w:rsid w:val="000C1EAE"/>
    <w:rsid w:val="000C3328"/>
    <w:rsid w:val="000C3642"/>
    <w:rsid w:val="000C7479"/>
    <w:rsid w:val="000D0F03"/>
    <w:rsid w:val="000D129F"/>
    <w:rsid w:val="000D4830"/>
    <w:rsid w:val="000E01A0"/>
    <w:rsid w:val="000E13B8"/>
    <w:rsid w:val="000E30D8"/>
    <w:rsid w:val="000E634F"/>
    <w:rsid w:val="000F648E"/>
    <w:rsid w:val="001001A6"/>
    <w:rsid w:val="0010073A"/>
    <w:rsid w:val="00101C04"/>
    <w:rsid w:val="00101D2A"/>
    <w:rsid w:val="001069B7"/>
    <w:rsid w:val="00113542"/>
    <w:rsid w:val="00113A76"/>
    <w:rsid w:val="00114765"/>
    <w:rsid w:val="00114ACA"/>
    <w:rsid w:val="00115B2D"/>
    <w:rsid w:val="0012240F"/>
    <w:rsid w:val="00126398"/>
    <w:rsid w:val="001270E2"/>
    <w:rsid w:val="00127B41"/>
    <w:rsid w:val="0013162D"/>
    <w:rsid w:val="00134F0E"/>
    <w:rsid w:val="001359E6"/>
    <w:rsid w:val="00136ACF"/>
    <w:rsid w:val="00137332"/>
    <w:rsid w:val="00137964"/>
    <w:rsid w:val="001416E0"/>
    <w:rsid w:val="00141FFC"/>
    <w:rsid w:val="001429AE"/>
    <w:rsid w:val="00144761"/>
    <w:rsid w:val="00145EFB"/>
    <w:rsid w:val="001510D9"/>
    <w:rsid w:val="00151127"/>
    <w:rsid w:val="001513C1"/>
    <w:rsid w:val="00155947"/>
    <w:rsid w:val="001562E1"/>
    <w:rsid w:val="00157668"/>
    <w:rsid w:val="0016082E"/>
    <w:rsid w:val="001632C6"/>
    <w:rsid w:val="001641C2"/>
    <w:rsid w:val="001649A1"/>
    <w:rsid w:val="001738E4"/>
    <w:rsid w:val="00180AE0"/>
    <w:rsid w:val="00183185"/>
    <w:rsid w:val="00184522"/>
    <w:rsid w:val="0019063C"/>
    <w:rsid w:val="001931E0"/>
    <w:rsid w:val="001A41A6"/>
    <w:rsid w:val="001A6193"/>
    <w:rsid w:val="001B28A1"/>
    <w:rsid w:val="001B4719"/>
    <w:rsid w:val="001B4851"/>
    <w:rsid w:val="001B4EFA"/>
    <w:rsid w:val="001C2BD8"/>
    <w:rsid w:val="001C3546"/>
    <w:rsid w:val="001C41AC"/>
    <w:rsid w:val="001C423B"/>
    <w:rsid w:val="001C4E1E"/>
    <w:rsid w:val="001C5847"/>
    <w:rsid w:val="001C66FD"/>
    <w:rsid w:val="001C6ED3"/>
    <w:rsid w:val="001C7758"/>
    <w:rsid w:val="001D0C1C"/>
    <w:rsid w:val="001D38A1"/>
    <w:rsid w:val="001D6459"/>
    <w:rsid w:val="001D659C"/>
    <w:rsid w:val="001E2055"/>
    <w:rsid w:val="001E3D0E"/>
    <w:rsid w:val="001E43DA"/>
    <w:rsid w:val="001E57DB"/>
    <w:rsid w:val="001F10F2"/>
    <w:rsid w:val="001F13C3"/>
    <w:rsid w:val="001F1C34"/>
    <w:rsid w:val="00201626"/>
    <w:rsid w:val="0020711C"/>
    <w:rsid w:val="00207860"/>
    <w:rsid w:val="00212FBE"/>
    <w:rsid w:val="00214045"/>
    <w:rsid w:val="00214443"/>
    <w:rsid w:val="00216B58"/>
    <w:rsid w:val="002271DB"/>
    <w:rsid w:val="002279B3"/>
    <w:rsid w:val="002307C8"/>
    <w:rsid w:val="0023329D"/>
    <w:rsid w:val="00236961"/>
    <w:rsid w:val="00245ABF"/>
    <w:rsid w:val="0025080D"/>
    <w:rsid w:val="002550D4"/>
    <w:rsid w:val="00261F3D"/>
    <w:rsid w:val="0026228E"/>
    <w:rsid w:val="0026246E"/>
    <w:rsid w:val="002666B5"/>
    <w:rsid w:val="00270B0D"/>
    <w:rsid w:val="00276A1E"/>
    <w:rsid w:val="00281F17"/>
    <w:rsid w:val="00282925"/>
    <w:rsid w:val="00282B5A"/>
    <w:rsid w:val="00283095"/>
    <w:rsid w:val="002940F9"/>
    <w:rsid w:val="00294187"/>
    <w:rsid w:val="002945D7"/>
    <w:rsid w:val="00297375"/>
    <w:rsid w:val="00297915"/>
    <w:rsid w:val="002A06C8"/>
    <w:rsid w:val="002A3AE9"/>
    <w:rsid w:val="002A5C10"/>
    <w:rsid w:val="002A6CCD"/>
    <w:rsid w:val="002B227F"/>
    <w:rsid w:val="002B5C42"/>
    <w:rsid w:val="002C1FD8"/>
    <w:rsid w:val="002C5BD1"/>
    <w:rsid w:val="002C6AA3"/>
    <w:rsid w:val="002D147B"/>
    <w:rsid w:val="002D4931"/>
    <w:rsid w:val="002D5BE5"/>
    <w:rsid w:val="002E4D1B"/>
    <w:rsid w:val="002E66C8"/>
    <w:rsid w:val="002E7DCB"/>
    <w:rsid w:val="002F657E"/>
    <w:rsid w:val="002F65AC"/>
    <w:rsid w:val="003121BE"/>
    <w:rsid w:val="003126FB"/>
    <w:rsid w:val="00314284"/>
    <w:rsid w:val="0032342A"/>
    <w:rsid w:val="0032408C"/>
    <w:rsid w:val="0033266C"/>
    <w:rsid w:val="00333EE2"/>
    <w:rsid w:val="00335FF1"/>
    <w:rsid w:val="00336B43"/>
    <w:rsid w:val="00337260"/>
    <w:rsid w:val="003373BD"/>
    <w:rsid w:val="003376F2"/>
    <w:rsid w:val="00341609"/>
    <w:rsid w:val="00350746"/>
    <w:rsid w:val="00353032"/>
    <w:rsid w:val="003543CA"/>
    <w:rsid w:val="003576E4"/>
    <w:rsid w:val="00360A78"/>
    <w:rsid w:val="003626DC"/>
    <w:rsid w:val="00363E8F"/>
    <w:rsid w:val="003650A5"/>
    <w:rsid w:val="00371F4E"/>
    <w:rsid w:val="0037540E"/>
    <w:rsid w:val="00384F20"/>
    <w:rsid w:val="00385C08"/>
    <w:rsid w:val="003877BC"/>
    <w:rsid w:val="00393C41"/>
    <w:rsid w:val="00395976"/>
    <w:rsid w:val="003A14D5"/>
    <w:rsid w:val="003A7DBD"/>
    <w:rsid w:val="003B0CB1"/>
    <w:rsid w:val="003B1A4D"/>
    <w:rsid w:val="003B2F48"/>
    <w:rsid w:val="003B5C3B"/>
    <w:rsid w:val="003C4745"/>
    <w:rsid w:val="003C660B"/>
    <w:rsid w:val="003C77D4"/>
    <w:rsid w:val="003C794E"/>
    <w:rsid w:val="003D0305"/>
    <w:rsid w:val="003D1F10"/>
    <w:rsid w:val="003D4641"/>
    <w:rsid w:val="003D51A3"/>
    <w:rsid w:val="003D6852"/>
    <w:rsid w:val="003D75DF"/>
    <w:rsid w:val="003E074F"/>
    <w:rsid w:val="003E344A"/>
    <w:rsid w:val="003E46C2"/>
    <w:rsid w:val="003E4C86"/>
    <w:rsid w:val="003E5DE3"/>
    <w:rsid w:val="003F04BD"/>
    <w:rsid w:val="003F1337"/>
    <w:rsid w:val="003F419F"/>
    <w:rsid w:val="004009AA"/>
    <w:rsid w:val="004058C6"/>
    <w:rsid w:val="00406EC9"/>
    <w:rsid w:val="00410C8E"/>
    <w:rsid w:val="00415906"/>
    <w:rsid w:val="004170D0"/>
    <w:rsid w:val="004175BD"/>
    <w:rsid w:val="00421F26"/>
    <w:rsid w:val="0042543F"/>
    <w:rsid w:val="0042588B"/>
    <w:rsid w:val="0043095C"/>
    <w:rsid w:val="004316C4"/>
    <w:rsid w:val="00432C77"/>
    <w:rsid w:val="00437E1C"/>
    <w:rsid w:val="00440910"/>
    <w:rsid w:val="0044225E"/>
    <w:rsid w:val="00442B09"/>
    <w:rsid w:val="00442D95"/>
    <w:rsid w:val="00444419"/>
    <w:rsid w:val="004447B9"/>
    <w:rsid w:val="00446270"/>
    <w:rsid w:val="00447AE2"/>
    <w:rsid w:val="0045022A"/>
    <w:rsid w:val="00450282"/>
    <w:rsid w:val="00451BB6"/>
    <w:rsid w:val="00454A51"/>
    <w:rsid w:val="00455FCE"/>
    <w:rsid w:val="004615A2"/>
    <w:rsid w:val="00467F26"/>
    <w:rsid w:val="0047076A"/>
    <w:rsid w:val="00474B46"/>
    <w:rsid w:val="00477ACD"/>
    <w:rsid w:val="0048130B"/>
    <w:rsid w:val="004818AD"/>
    <w:rsid w:val="004900A7"/>
    <w:rsid w:val="0049138A"/>
    <w:rsid w:val="00491552"/>
    <w:rsid w:val="00495609"/>
    <w:rsid w:val="00496055"/>
    <w:rsid w:val="004A067C"/>
    <w:rsid w:val="004A0766"/>
    <w:rsid w:val="004B45E4"/>
    <w:rsid w:val="004B52CD"/>
    <w:rsid w:val="004C3EDB"/>
    <w:rsid w:val="004C6590"/>
    <w:rsid w:val="004D02B6"/>
    <w:rsid w:val="004D1DD6"/>
    <w:rsid w:val="004E02E9"/>
    <w:rsid w:val="004E0F23"/>
    <w:rsid w:val="004E2A52"/>
    <w:rsid w:val="004E3F8C"/>
    <w:rsid w:val="004F13EF"/>
    <w:rsid w:val="004F4950"/>
    <w:rsid w:val="004F703C"/>
    <w:rsid w:val="00504982"/>
    <w:rsid w:val="00504BA3"/>
    <w:rsid w:val="00506D73"/>
    <w:rsid w:val="00516A36"/>
    <w:rsid w:val="00516A7C"/>
    <w:rsid w:val="005222C4"/>
    <w:rsid w:val="005223AD"/>
    <w:rsid w:val="00523543"/>
    <w:rsid w:val="0052582D"/>
    <w:rsid w:val="00531B47"/>
    <w:rsid w:val="0053296C"/>
    <w:rsid w:val="00533138"/>
    <w:rsid w:val="0053499E"/>
    <w:rsid w:val="005407F4"/>
    <w:rsid w:val="0054443D"/>
    <w:rsid w:val="005500AF"/>
    <w:rsid w:val="00550FB4"/>
    <w:rsid w:val="00554D63"/>
    <w:rsid w:val="0055589E"/>
    <w:rsid w:val="005570F3"/>
    <w:rsid w:val="00557626"/>
    <w:rsid w:val="00560391"/>
    <w:rsid w:val="00570601"/>
    <w:rsid w:val="00571B04"/>
    <w:rsid w:val="00573E2B"/>
    <w:rsid w:val="005742D0"/>
    <w:rsid w:val="00576239"/>
    <w:rsid w:val="005766A8"/>
    <w:rsid w:val="00580D3A"/>
    <w:rsid w:val="0058183E"/>
    <w:rsid w:val="00582EFA"/>
    <w:rsid w:val="005840B8"/>
    <w:rsid w:val="0059409A"/>
    <w:rsid w:val="0059479D"/>
    <w:rsid w:val="00594BFA"/>
    <w:rsid w:val="005A046A"/>
    <w:rsid w:val="005A05E4"/>
    <w:rsid w:val="005A3137"/>
    <w:rsid w:val="005A3159"/>
    <w:rsid w:val="005A5B33"/>
    <w:rsid w:val="005A6219"/>
    <w:rsid w:val="005B7A8B"/>
    <w:rsid w:val="005C09B6"/>
    <w:rsid w:val="005C143E"/>
    <w:rsid w:val="005C1813"/>
    <w:rsid w:val="005C3DD0"/>
    <w:rsid w:val="005D020B"/>
    <w:rsid w:val="005E0B6A"/>
    <w:rsid w:val="005E279F"/>
    <w:rsid w:val="005E7065"/>
    <w:rsid w:val="005F2D0E"/>
    <w:rsid w:val="005F317F"/>
    <w:rsid w:val="005F54E2"/>
    <w:rsid w:val="005F7D84"/>
    <w:rsid w:val="006002B4"/>
    <w:rsid w:val="00602A37"/>
    <w:rsid w:val="00602B5F"/>
    <w:rsid w:val="00602B7E"/>
    <w:rsid w:val="0060359F"/>
    <w:rsid w:val="00603D42"/>
    <w:rsid w:val="006057B3"/>
    <w:rsid w:val="0060758C"/>
    <w:rsid w:val="006111D2"/>
    <w:rsid w:val="006113E5"/>
    <w:rsid w:val="006136AF"/>
    <w:rsid w:val="00614B86"/>
    <w:rsid w:val="0061698E"/>
    <w:rsid w:val="0061774A"/>
    <w:rsid w:val="00623FE2"/>
    <w:rsid w:val="006244AA"/>
    <w:rsid w:val="00626B8C"/>
    <w:rsid w:val="00627285"/>
    <w:rsid w:val="00630638"/>
    <w:rsid w:val="00630CDF"/>
    <w:rsid w:val="00637CB5"/>
    <w:rsid w:val="00644344"/>
    <w:rsid w:val="006473DB"/>
    <w:rsid w:val="00647DBE"/>
    <w:rsid w:val="006516D8"/>
    <w:rsid w:val="00651D53"/>
    <w:rsid w:val="0065212B"/>
    <w:rsid w:val="00652D93"/>
    <w:rsid w:val="006544AC"/>
    <w:rsid w:val="00655500"/>
    <w:rsid w:val="00656A35"/>
    <w:rsid w:val="006613FD"/>
    <w:rsid w:val="0066161E"/>
    <w:rsid w:val="00665E6B"/>
    <w:rsid w:val="00670E6C"/>
    <w:rsid w:val="00671D45"/>
    <w:rsid w:val="00672648"/>
    <w:rsid w:val="00673446"/>
    <w:rsid w:val="00675720"/>
    <w:rsid w:val="00680EBB"/>
    <w:rsid w:val="00684FE4"/>
    <w:rsid w:val="00686570"/>
    <w:rsid w:val="00687C01"/>
    <w:rsid w:val="00690605"/>
    <w:rsid w:val="00691232"/>
    <w:rsid w:val="0069125C"/>
    <w:rsid w:val="00692818"/>
    <w:rsid w:val="0069392C"/>
    <w:rsid w:val="00697B1C"/>
    <w:rsid w:val="006A15CE"/>
    <w:rsid w:val="006A26C1"/>
    <w:rsid w:val="006A2EF5"/>
    <w:rsid w:val="006A2F97"/>
    <w:rsid w:val="006A7BE8"/>
    <w:rsid w:val="006B0AE2"/>
    <w:rsid w:val="006C029D"/>
    <w:rsid w:val="006C11F9"/>
    <w:rsid w:val="006C5A02"/>
    <w:rsid w:val="006D2535"/>
    <w:rsid w:val="006D3FC5"/>
    <w:rsid w:val="006D5E74"/>
    <w:rsid w:val="006D71D0"/>
    <w:rsid w:val="006E081C"/>
    <w:rsid w:val="006F6666"/>
    <w:rsid w:val="00702703"/>
    <w:rsid w:val="007052A8"/>
    <w:rsid w:val="00705C3A"/>
    <w:rsid w:val="007070D1"/>
    <w:rsid w:val="00707B50"/>
    <w:rsid w:val="00716557"/>
    <w:rsid w:val="00720851"/>
    <w:rsid w:val="0072449C"/>
    <w:rsid w:val="00732B88"/>
    <w:rsid w:val="00736762"/>
    <w:rsid w:val="00737619"/>
    <w:rsid w:val="00746049"/>
    <w:rsid w:val="00751355"/>
    <w:rsid w:val="00752EB4"/>
    <w:rsid w:val="0075673D"/>
    <w:rsid w:val="007641EC"/>
    <w:rsid w:val="00765E6E"/>
    <w:rsid w:val="00770403"/>
    <w:rsid w:val="00774DE3"/>
    <w:rsid w:val="00775FC9"/>
    <w:rsid w:val="007762F4"/>
    <w:rsid w:val="0077748A"/>
    <w:rsid w:val="0078183D"/>
    <w:rsid w:val="00782060"/>
    <w:rsid w:val="0078332E"/>
    <w:rsid w:val="00786568"/>
    <w:rsid w:val="00790F7D"/>
    <w:rsid w:val="00792A54"/>
    <w:rsid w:val="0079363E"/>
    <w:rsid w:val="007960C3"/>
    <w:rsid w:val="0079673B"/>
    <w:rsid w:val="007A1A9A"/>
    <w:rsid w:val="007A5CE9"/>
    <w:rsid w:val="007A6159"/>
    <w:rsid w:val="007A615A"/>
    <w:rsid w:val="007A6590"/>
    <w:rsid w:val="007A71EF"/>
    <w:rsid w:val="007B0F61"/>
    <w:rsid w:val="007B3528"/>
    <w:rsid w:val="007B7693"/>
    <w:rsid w:val="007C3873"/>
    <w:rsid w:val="007C3DF3"/>
    <w:rsid w:val="007C46E6"/>
    <w:rsid w:val="007C6F6A"/>
    <w:rsid w:val="007D4A8D"/>
    <w:rsid w:val="007D51C7"/>
    <w:rsid w:val="007D5F1B"/>
    <w:rsid w:val="007D7708"/>
    <w:rsid w:val="007D7DD1"/>
    <w:rsid w:val="007F202E"/>
    <w:rsid w:val="007F6E21"/>
    <w:rsid w:val="007F7C97"/>
    <w:rsid w:val="00802256"/>
    <w:rsid w:val="008023F6"/>
    <w:rsid w:val="00803207"/>
    <w:rsid w:val="008056F3"/>
    <w:rsid w:val="00806309"/>
    <w:rsid w:val="008109EB"/>
    <w:rsid w:val="00812424"/>
    <w:rsid w:val="008177FD"/>
    <w:rsid w:val="008214E7"/>
    <w:rsid w:val="00822109"/>
    <w:rsid w:val="00825814"/>
    <w:rsid w:val="00826873"/>
    <w:rsid w:val="0083105C"/>
    <w:rsid w:val="008344BF"/>
    <w:rsid w:val="00836E54"/>
    <w:rsid w:val="008414BF"/>
    <w:rsid w:val="00843698"/>
    <w:rsid w:val="00846A6C"/>
    <w:rsid w:val="008471B0"/>
    <w:rsid w:val="008614E9"/>
    <w:rsid w:val="0087343E"/>
    <w:rsid w:val="00874591"/>
    <w:rsid w:val="00875F0E"/>
    <w:rsid w:val="00876F7B"/>
    <w:rsid w:val="00877709"/>
    <w:rsid w:val="00881A71"/>
    <w:rsid w:val="00881D34"/>
    <w:rsid w:val="00886210"/>
    <w:rsid w:val="00892C44"/>
    <w:rsid w:val="008951AD"/>
    <w:rsid w:val="0089618C"/>
    <w:rsid w:val="008A48F6"/>
    <w:rsid w:val="008A6BF8"/>
    <w:rsid w:val="008A79FF"/>
    <w:rsid w:val="008B2150"/>
    <w:rsid w:val="008B2D39"/>
    <w:rsid w:val="008B6741"/>
    <w:rsid w:val="008C0F6E"/>
    <w:rsid w:val="008C3B98"/>
    <w:rsid w:val="008D1B2B"/>
    <w:rsid w:val="008D490E"/>
    <w:rsid w:val="008D508C"/>
    <w:rsid w:val="008E2D4D"/>
    <w:rsid w:val="008E32DE"/>
    <w:rsid w:val="008E5167"/>
    <w:rsid w:val="008E64A8"/>
    <w:rsid w:val="008F0F0B"/>
    <w:rsid w:val="008F677F"/>
    <w:rsid w:val="009006E9"/>
    <w:rsid w:val="00902ABE"/>
    <w:rsid w:val="00904A57"/>
    <w:rsid w:val="009062A6"/>
    <w:rsid w:val="00907381"/>
    <w:rsid w:val="009076CA"/>
    <w:rsid w:val="009101D5"/>
    <w:rsid w:val="009144D4"/>
    <w:rsid w:val="009165DC"/>
    <w:rsid w:val="009258A0"/>
    <w:rsid w:val="00926846"/>
    <w:rsid w:val="0092761C"/>
    <w:rsid w:val="00930B05"/>
    <w:rsid w:val="00930B7B"/>
    <w:rsid w:val="009310A6"/>
    <w:rsid w:val="00931468"/>
    <w:rsid w:val="00931539"/>
    <w:rsid w:val="0093474A"/>
    <w:rsid w:val="00937895"/>
    <w:rsid w:val="009410D8"/>
    <w:rsid w:val="00943D6F"/>
    <w:rsid w:val="00947EBA"/>
    <w:rsid w:val="00953F41"/>
    <w:rsid w:val="00960092"/>
    <w:rsid w:val="0096307F"/>
    <w:rsid w:val="00966E84"/>
    <w:rsid w:val="00967457"/>
    <w:rsid w:val="009710A2"/>
    <w:rsid w:val="009810D0"/>
    <w:rsid w:val="009826D0"/>
    <w:rsid w:val="00992E02"/>
    <w:rsid w:val="00993BC9"/>
    <w:rsid w:val="00996E54"/>
    <w:rsid w:val="009A50FF"/>
    <w:rsid w:val="009A612C"/>
    <w:rsid w:val="009B071E"/>
    <w:rsid w:val="009B12D9"/>
    <w:rsid w:val="009B28FA"/>
    <w:rsid w:val="009B7E48"/>
    <w:rsid w:val="009C1CD4"/>
    <w:rsid w:val="009C6700"/>
    <w:rsid w:val="009D03B2"/>
    <w:rsid w:val="009D22F7"/>
    <w:rsid w:val="009D3548"/>
    <w:rsid w:val="009D4657"/>
    <w:rsid w:val="009D787A"/>
    <w:rsid w:val="009E0B48"/>
    <w:rsid w:val="009E2D03"/>
    <w:rsid w:val="009E4192"/>
    <w:rsid w:val="009E4697"/>
    <w:rsid w:val="009E4F22"/>
    <w:rsid w:val="009E4FEB"/>
    <w:rsid w:val="009E55BB"/>
    <w:rsid w:val="009E6402"/>
    <w:rsid w:val="009F004F"/>
    <w:rsid w:val="009F103E"/>
    <w:rsid w:val="009F359A"/>
    <w:rsid w:val="009F3DEC"/>
    <w:rsid w:val="009F45E1"/>
    <w:rsid w:val="009F4B6D"/>
    <w:rsid w:val="009F4C15"/>
    <w:rsid w:val="009F5EF1"/>
    <w:rsid w:val="009F76D2"/>
    <w:rsid w:val="00A0236A"/>
    <w:rsid w:val="00A034F8"/>
    <w:rsid w:val="00A053A2"/>
    <w:rsid w:val="00A1238D"/>
    <w:rsid w:val="00A13B1B"/>
    <w:rsid w:val="00A1669E"/>
    <w:rsid w:val="00A16A79"/>
    <w:rsid w:val="00A16B6F"/>
    <w:rsid w:val="00A17647"/>
    <w:rsid w:val="00A1797C"/>
    <w:rsid w:val="00A2160B"/>
    <w:rsid w:val="00A21718"/>
    <w:rsid w:val="00A268D4"/>
    <w:rsid w:val="00A31E59"/>
    <w:rsid w:val="00A36927"/>
    <w:rsid w:val="00A36C5B"/>
    <w:rsid w:val="00A36F55"/>
    <w:rsid w:val="00A371C2"/>
    <w:rsid w:val="00A374DB"/>
    <w:rsid w:val="00A42E52"/>
    <w:rsid w:val="00A51AEE"/>
    <w:rsid w:val="00A6209A"/>
    <w:rsid w:val="00A6483E"/>
    <w:rsid w:val="00A65F13"/>
    <w:rsid w:val="00A6609E"/>
    <w:rsid w:val="00A67445"/>
    <w:rsid w:val="00A73DF6"/>
    <w:rsid w:val="00A77158"/>
    <w:rsid w:val="00A773B7"/>
    <w:rsid w:val="00A82A8C"/>
    <w:rsid w:val="00A84E33"/>
    <w:rsid w:val="00A900CF"/>
    <w:rsid w:val="00A91413"/>
    <w:rsid w:val="00A9175B"/>
    <w:rsid w:val="00A92019"/>
    <w:rsid w:val="00A9210C"/>
    <w:rsid w:val="00A95E97"/>
    <w:rsid w:val="00A96618"/>
    <w:rsid w:val="00AB365E"/>
    <w:rsid w:val="00AB4529"/>
    <w:rsid w:val="00AC056B"/>
    <w:rsid w:val="00AC6FA1"/>
    <w:rsid w:val="00AD1AA0"/>
    <w:rsid w:val="00AD54C3"/>
    <w:rsid w:val="00AD5ECB"/>
    <w:rsid w:val="00AE223A"/>
    <w:rsid w:val="00AE2AFA"/>
    <w:rsid w:val="00AE3BC3"/>
    <w:rsid w:val="00AF044F"/>
    <w:rsid w:val="00AF0A85"/>
    <w:rsid w:val="00AF0FC3"/>
    <w:rsid w:val="00AF35A1"/>
    <w:rsid w:val="00AF5529"/>
    <w:rsid w:val="00B04E43"/>
    <w:rsid w:val="00B053DD"/>
    <w:rsid w:val="00B06A6E"/>
    <w:rsid w:val="00B1294C"/>
    <w:rsid w:val="00B146EE"/>
    <w:rsid w:val="00B164C9"/>
    <w:rsid w:val="00B173A3"/>
    <w:rsid w:val="00B23CB5"/>
    <w:rsid w:val="00B23D3C"/>
    <w:rsid w:val="00B24190"/>
    <w:rsid w:val="00B244D0"/>
    <w:rsid w:val="00B26D02"/>
    <w:rsid w:val="00B27DB3"/>
    <w:rsid w:val="00B30367"/>
    <w:rsid w:val="00B31354"/>
    <w:rsid w:val="00B31529"/>
    <w:rsid w:val="00B33380"/>
    <w:rsid w:val="00B379B1"/>
    <w:rsid w:val="00B45A21"/>
    <w:rsid w:val="00B50A8F"/>
    <w:rsid w:val="00B57405"/>
    <w:rsid w:val="00B60614"/>
    <w:rsid w:val="00B646B0"/>
    <w:rsid w:val="00B64C23"/>
    <w:rsid w:val="00B66912"/>
    <w:rsid w:val="00B738A8"/>
    <w:rsid w:val="00B779EA"/>
    <w:rsid w:val="00B83423"/>
    <w:rsid w:val="00B85E9C"/>
    <w:rsid w:val="00B9035C"/>
    <w:rsid w:val="00B90F3A"/>
    <w:rsid w:val="00B9121D"/>
    <w:rsid w:val="00BA4963"/>
    <w:rsid w:val="00BA565F"/>
    <w:rsid w:val="00BA5CBD"/>
    <w:rsid w:val="00BB003C"/>
    <w:rsid w:val="00BB2A80"/>
    <w:rsid w:val="00BB5EFF"/>
    <w:rsid w:val="00BB63F6"/>
    <w:rsid w:val="00BB73B0"/>
    <w:rsid w:val="00BC6A5B"/>
    <w:rsid w:val="00BC78FF"/>
    <w:rsid w:val="00BD4550"/>
    <w:rsid w:val="00BD6B52"/>
    <w:rsid w:val="00BE4D44"/>
    <w:rsid w:val="00BE581F"/>
    <w:rsid w:val="00BE6DC9"/>
    <w:rsid w:val="00BE7179"/>
    <w:rsid w:val="00BF1CA9"/>
    <w:rsid w:val="00BF48C8"/>
    <w:rsid w:val="00BF6B2B"/>
    <w:rsid w:val="00C15390"/>
    <w:rsid w:val="00C16DE3"/>
    <w:rsid w:val="00C20437"/>
    <w:rsid w:val="00C24467"/>
    <w:rsid w:val="00C24BA9"/>
    <w:rsid w:val="00C25586"/>
    <w:rsid w:val="00C2574C"/>
    <w:rsid w:val="00C2679A"/>
    <w:rsid w:val="00C26B9F"/>
    <w:rsid w:val="00C31662"/>
    <w:rsid w:val="00C4083B"/>
    <w:rsid w:val="00C40CC5"/>
    <w:rsid w:val="00C42564"/>
    <w:rsid w:val="00C434E7"/>
    <w:rsid w:val="00C44B97"/>
    <w:rsid w:val="00C50710"/>
    <w:rsid w:val="00C5503C"/>
    <w:rsid w:val="00C552C7"/>
    <w:rsid w:val="00C57500"/>
    <w:rsid w:val="00C576C2"/>
    <w:rsid w:val="00C72B69"/>
    <w:rsid w:val="00C76C8E"/>
    <w:rsid w:val="00C81576"/>
    <w:rsid w:val="00C81B63"/>
    <w:rsid w:val="00C8234D"/>
    <w:rsid w:val="00C83334"/>
    <w:rsid w:val="00C842E9"/>
    <w:rsid w:val="00C8526E"/>
    <w:rsid w:val="00C9191D"/>
    <w:rsid w:val="00C944FE"/>
    <w:rsid w:val="00CA03CB"/>
    <w:rsid w:val="00CA48FD"/>
    <w:rsid w:val="00CA7DF1"/>
    <w:rsid w:val="00CB0B56"/>
    <w:rsid w:val="00CB42A0"/>
    <w:rsid w:val="00CB570C"/>
    <w:rsid w:val="00CB609C"/>
    <w:rsid w:val="00CC172D"/>
    <w:rsid w:val="00CC63CF"/>
    <w:rsid w:val="00CC6F49"/>
    <w:rsid w:val="00CC7244"/>
    <w:rsid w:val="00CC7A79"/>
    <w:rsid w:val="00CE0E5E"/>
    <w:rsid w:val="00CE2597"/>
    <w:rsid w:val="00CE2C14"/>
    <w:rsid w:val="00CE6C79"/>
    <w:rsid w:val="00CF4690"/>
    <w:rsid w:val="00D00F76"/>
    <w:rsid w:val="00D0123C"/>
    <w:rsid w:val="00D01323"/>
    <w:rsid w:val="00D12A09"/>
    <w:rsid w:val="00D171C8"/>
    <w:rsid w:val="00D214C8"/>
    <w:rsid w:val="00D22A18"/>
    <w:rsid w:val="00D240F6"/>
    <w:rsid w:val="00D2461A"/>
    <w:rsid w:val="00D2651B"/>
    <w:rsid w:val="00D34A8C"/>
    <w:rsid w:val="00D37793"/>
    <w:rsid w:val="00D37D5F"/>
    <w:rsid w:val="00D436F0"/>
    <w:rsid w:val="00D44DB5"/>
    <w:rsid w:val="00D45931"/>
    <w:rsid w:val="00D55401"/>
    <w:rsid w:val="00D5673A"/>
    <w:rsid w:val="00D6446F"/>
    <w:rsid w:val="00D70831"/>
    <w:rsid w:val="00D77B5F"/>
    <w:rsid w:val="00D8213C"/>
    <w:rsid w:val="00D865B4"/>
    <w:rsid w:val="00D9405D"/>
    <w:rsid w:val="00D95B15"/>
    <w:rsid w:val="00D972CC"/>
    <w:rsid w:val="00DA24EB"/>
    <w:rsid w:val="00DA25EE"/>
    <w:rsid w:val="00DA324C"/>
    <w:rsid w:val="00DA46AF"/>
    <w:rsid w:val="00DA5358"/>
    <w:rsid w:val="00DA562B"/>
    <w:rsid w:val="00DA7BDC"/>
    <w:rsid w:val="00DB118C"/>
    <w:rsid w:val="00DB5037"/>
    <w:rsid w:val="00DB759E"/>
    <w:rsid w:val="00DC3299"/>
    <w:rsid w:val="00DC5ACB"/>
    <w:rsid w:val="00DD332C"/>
    <w:rsid w:val="00DE2B0F"/>
    <w:rsid w:val="00DE6BED"/>
    <w:rsid w:val="00DF39A2"/>
    <w:rsid w:val="00DF49A8"/>
    <w:rsid w:val="00DF4CD9"/>
    <w:rsid w:val="00E01E4F"/>
    <w:rsid w:val="00E04A87"/>
    <w:rsid w:val="00E04F53"/>
    <w:rsid w:val="00E103C7"/>
    <w:rsid w:val="00E12D2D"/>
    <w:rsid w:val="00E20149"/>
    <w:rsid w:val="00E20A8F"/>
    <w:rsid w:val="00E2267B"/>
    <w:rsid w:val="00E230FA"/>
    <w:rsid w:val="00E24909"/>
    <w:rsid w:val="00E277E6"/>
    <w:rsid w:val="00E30507"/>
    <w:rsid w:val="00E31F13"/>
    <w:rsid w:val="00E35273"/>
    <w:rsid w:val="00E42CD6"/>
    <w:rsid w:val="00E51BA7"/>
    <w:rsid w:val="00E54E86"/>
    <w:rsid w:val="00E64FE5"/>
    <w:rsid w:val="00E674DB"/>
    <w:rsid w:val="00E721FD"/>
    <w:rsid w:val="00E727DA"/>
    <w:rsid w:val="00E74850"/>
    <w:rsid w:val="00E82740"/>
    <w:rsid w:val="00E83654"/>
    <w:rsid w:val="00E87135"/>
    <w:rsid w:val="00E8774B"/>
    <w:rsid w:val="00E97816"/>
    <w:rsid w:val="00EA0A1C"/>
    <w:rsid w:val="00EA0AEB"/>
    <w:rsid w:val="00EA14B7"/>
    <w:rsid w:val="00EA2E00"/>
    <w:rsid w:val="00EA3D76"/>
    <w:rsid w:val="00EA3E34"/>
    <w:rsid w:val="00EA7139"/>
    <w:rsid w:val="00EC22A7"/>
    <w:rsid w:val="00ED36EA"/>
    <w:rsid w:val="00ED44D7"/>
    <w:rsid w:val="00ED78DA"/>
    <w:rsid w:val="00EE22DD"/>
    <w:rsid w:val="00EE238D"/>
    <w:rsid w:val="00EE33B5"/>
    <w:rsid w:val="00EE4AA0"/>
    <w:rsid w:val="00EE531E"/>
    <w:rsid w:val="00EE6196"/>
    <w:rsid w:val="00EE6D4F"/>
    <w:rsid w:val="00EE7F0B"/>
    <w:rsid w:val="00F022FE"/>
    <w:rsid w:val="00F0557E"/>
    <w:rsid w:val="00F128E0"/>
    <w:rsid w:val="00F140DC"/>
    <w:rsid w:val="00F142C7"/>
    <w:rsid w:val="00F15BB8"/>
    <w:rsid w:val="00F2128C"/>
    <w:rsid w:val="00F21F0C"/>
    <w:rsid w:val="00F25A6C"/>
    <w:rsid w:val="00F30301"/>
    <w:rsid w:val="00F31330"/>
    <w:rsid w:val="00F313DE"/>
    <w:rsid w:val="00F31693"/>
    <w:rsid w:val="00F34BC7"/>
    <w:rsid w:val="00F424D7"/>
    <w:rsid w:val="00F46F73"/>
    <w:rsid w:val="00F54F21"/>
    <w:rsid w:val="00F557E7"/>
    <w:rsid w:val="00F5729D"/>
    <w:rsid w:val="00F64454"/>
    <w:rsid w:val="00F6574D"/>
    <w:rsid w:val="00F67906"/>
    <w:rsid w:val="00F71F1B"/>
    <w:rsid w:val="00F75F7B"/>
    <w:rsid w:val="00F8173C"/>
    <w:rsid w:val="00F909F5"/>
    <w:rsid w:val="00F9521B"/>
    <w:rsid w:val="00FA4DE2"/>
    <w:rsid w:val="00FA674E"/>
    <w:rsid w:val="00FB0B16"/>
    <w:rsid w:val="00FB3908"/>
    <w:rsid w:val="00FC6C8A"/>
    <w:rsid w:val="00FD4846"/>
    <w:rsid w:val="00FD591B"/>
    <w:rsid w:val="00FD6758"/>
    <w:rsid w:val="00FE359C"/>
    <w:rsid w:val="00FE5BF8"/>
    <w:rsid w:val="00FE6A1B"/>
    <w:rsid w:val="00FE725F"/>
    <w:rsid w:val="00FF0578"/>
    <w:rsid w:val="00FF069D"/>
    <w:rsid w:val="00FF1668"/>
    <w:rsid w:val="00FF1F0F"/>
    <w:rsid w:val="00FF2D3F"/>
    <w:rsid w:val="00FF3BC1"/>
    <w:rsid w:val="00FF4E8C"/>
    <w:rsid w:val="00FF673B"/>
    <w:rsid w:val="00FF7260"/>
    <w:rsid w:val="00FF7836"/>
    <w:rsid w:val="00FF79DD"/>
    <w:rsid w:val="00FF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70703"/>
  <w15:docId w15:val="{CE888E3E-04FD-4F86-9C5F-E8D277D5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137"/>
  </w:style>
  <w:style w:type="paragraph" w:styleId="Footer">
    <w:name w:val="footer"/>
    <w:basedOn w:val="Normal"/>
    <w:link w:val="FooterChar"/>
    <w:uiPriority w:val="99"/>
    <w:unhideWhenUsed/>
    <w:rsid w:val="005A3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137"/>
  </w:style>
  <w:style w:type="paragraph" w:styleId="BalloonText">
    <w:name w:val="Balloon Text"/>
    <w:basedOn w:val="Normal"/>
    <w:link w:val="BalloonTextChar"/>
    <w:uiPriority w:val="99"/>
    <w:semiHidden/>
    <w:unhideWhenUsed/>
    <w:rsid w:val="005A3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137"/>
    <w:rPr>
      <w:rFonts w:ascii="Tahoma" w:hAnsi="Tahoma" w:cs="Tahoma"/>
      <w:sz w:val="16"/>
      <w:szCs w:val="16"/>
    </w:rPr>
  </w:style>
  <w:style w:type="paragraph" w:styleId="ListParagraph">
    <w:name w:val="List Paragraph"/>
    <w:basedOn w:val="Normal"/>
    <w:uiPriority w:val="99"/>
    <w:qFormat/>
    <w:rsid w:val="00E12D2D"/>
    <w:pPr>
      <w:ind w:left="720"/>
      <w:contextualSpacing/>
    </w:pPr>
  </w:style>
  <w:style w:type="paragraph" w:customStyle="1" w:styleId="Default">
    <w:name w:val="Default"/>
    <w:rsid w:val="00B244D0"/>
    <w:pPr>
      <w:autoSpaceDE w:val="0"/>
      <w:autoSpaceDN w:val="0"/>
      <w:adjustRightInd w:val="0"/>
      <w:spacing w:after="0" w:line="240" w:lineRule="auto"/>
    </w:pPr>
    <w:rPr>
      <w:rFonts w:ascii="Arial" w:hAnsi="Arial" w:cs="Arial"/>
      <w:color w:val="000000"/>
      <w:sz w:val="24"/>
      <w:szCs w:val="24"/>
    </w:rPr>
  </w:style>
  <w:style w:type="paragraph" w:customStyle="1" w:styleId="Header5">
    <w:name w:val="Header+5"/>
    <w:basedOn w:val="Default"/>
    <w:next w:val="Default"/>
    <w:uiPriority w:val="99"/>
    <w:rsid w:val="00B244D0"/>
    <w:rPr>
      <w:color w:val="auto"/>
    </w:rPr>
  </w:style>
  <w:style w:type="paragraph" w:customStyle="1" w:styleId="Step1">
    <w:name w:val="Step1"/>
    <w:link w:val="Step1Char"/>
    <w:rsid w:val="00FA4DE2"/>
    <w:pPr>
      <w:numPr>
        <w:numId w:val="22"/>
      </w:numPr>
      <w:spacing w:before="120" w:after="120" w:line="240" w:lineRule="auto"/>
      <w:jc w:val="both"/>
    </w:pPr>
    <w:rPr>
      <w:rFonts w:ascii="Arial" w:eastAsia="Times New Roman" w:hAnsi="Arial" w:cs="Arial"/>
      <w:kern w:val="22"/>
    </w:rPr>
  </w:style>
  <w:style w:type="paragraph" w:customStyle="1" w:styleId="StepL3">
    <w:name w:val="Step L3"/>
    <w:rsid w:val="00FA4DE2"/>
    <w:pPr>
      <w:numPr>
        <w:ilvl w:val="3"/>
        <w:numId w:val="22"/>
      </w:numPr>
      <w:tabs>
        <w:tab w:val="left" w:pos="3870"/>
      </w:tabs>
      <w:spacing w:before="60" w:after="60" w:line="240" w:lineRule="auto"/>
    </w:pPr>
    <w:rPr>
      <w:rFonts w:ascii="Arial" w:eastAsia="Times New Roman" w:hAnsi="Arial" w:cs="Times New Roman"/>
      <w:kern w:val="22"/>
    </w:rPr>
  </w:style>
  <w:style w:type="paragraph" w:customStyle="1" w:styleId="StepL4">
    <w:name w:val="Step L4"/>
    <w:rsid w:val="00FA4DE2"/>
    <w:pPr>
      <w:numPr>
        <w:ilvl w:val="4"/>
        <w:numId w:val="22"/>
      </w:numPr>
      <w:spacing w:before="60" w:after="60" w:line="240" w:lineRule="auto"/>
    </w:pPr>
    <w:rPr>
      <w:rFonts w:ascii="Arial" w:eastAsia="Times New Roman" w:hAnsi="Arial" w:cs="Times New Roman"/>
      <w:kern w:val="22"/>
    </w:rPr>
  </w:style>
  <w:style w:type="character" w:customStyle="1" w:styleId="Standout">
    <w:name w:val="Standout"/>
    <w:rsid w:val="00FA4DE2"/>
    <w:rPr>
      <w:rFonts w:ascii="Arial" w:hAnsi="Arial"/>
      <w:b/>
      <w:kern w:val="22"/>
      <w:sz w:val="22"/>
      <w:szCs w:val="22"/>
    </w:rPr>
  </w:style>
  <w:style w:type="paragraph" w:customStyle="1" w:styleId="StepL1">
    <w:name w:val="Step L1"/>
    <w:rsid w:val="00FA4DE2"/>
    <w:pPr>
      <w:numPr>
        <w:ilvl w:val="1"/>
        <w:numId w:val="22"/>
      </w:numPr>
      <w:spacing w:before="120" w:after="120" w:line="240" w:lineRule="auto"/>
    </w:pPr>
    <w:rPr>
      <w:rFonts w:ascii="Arial" w:eastAsia="Times New Roman" w:hAnsi="Arial" w:cs="Times New Roman"/>
      <w:kern w:val="22"/>
    </w:rPr>
  </w:style>
  <w:style w:type="paragraph" w:customStyle="1" w:styleId="StepL2">
    <w:name w:val="Step L2"/>
    <w:rsid w:val="00FA4DE2"/>
    <w:pPr>
      <w:numPr>
        <w:ilvl w:val="2"/>
        <w:numId w:val="22"/>
      </w:numPr>
      <w:spacing w:before="60" w:after="60" w:line="240" w:lineRule="auto"/>
    </w:pPr>
    <w:rPr>
      <w:rFonts w:ascii="Arial" w:eastAsia="Times New Roman" w:hAnsi="Arial" w:cs="Times New Roman"/>
      <w:kern w:val="22"/>
    </w:rPr>
  </w:style>
  <w:style w:type="paragraph" w:customStyle="1" w:styleId="STFrame">
    <w:name w:val="STFrame"/>
    <w:next w:val="Step1"/>
    <w:rsid w:val="00FA4DE2"/>
    <w:pPr>
      <w:pBdr>
        <w:top w:val="single" w:sz="4" w:space="1" w:color="auto"/>
        <w:left w:val="single" w:sz="4" w:space="4" w:color="auto"/>
        <w:bottom w:val="single" w:sz="4" w:space="1" w:color="auto"/>
        <w:right w:val="single" w:sz="4" w:space="4" w:color="auto"/>
      </w:pBdr>
      <w:spacing w:before="180" w:after="180" w:line="240" w:lineRule="auto"/>
      <w:ind w:left="720" w:right="720"/>
    </w:pPr>
    <w:rPr>
      <w:rFonts w:ascii="Arial" w:eastAsia="Times New Roman" w:hAnsi="Arial" w:cs="Arial"/>
      <w:b/>
      <w:szCs w:val="20"/>
    </w:rPr>
  </w:style>
  <w:style w:type="character" w:customStyle="1" w:styleId="Step1Char">
    <w:name w:val="Step1 Char"/>
    <w:basedOn w:val="DefaultParagraphFont"/>
    <w:link w:val="Step1"/>
    <w:rsid w:val="00FA4DE2"/>
    <w:rPr>
      <w:rFonts w:ascii="Arial" w:eastAsia="Times New Roman" w:hAnsi="Arial" w:cs="Arial"/>
      <w:kern w:val="22"/>
    </w:rPr>
  </w:style>
  <w:style w:type="paragraph" w:styleId="NoSpacing">
    <w:name w:val="No Spacing"/>
    <w:uiPriority w:val="1"/>
    <w:qFormat/>
    <w:rsid w:val="00415906"/>
    <w:pPr>
      <w:spacing w:after="0" w:line="240" w:lineRule="auto"/>
    </w:pPr>
  </w:style>
  <w:style w:type="table" w:styleId="TableGrid">
    <w:name w:val="Table Grid"/>
    <w:basedOn w:val="TableNormal"/>
    <w:uiPriority w:val="59"/>
    <w:rsid w:val="00FD4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915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3161">
      <w:bodyDiv w:val="1"/>
      <w:marLeft w:val="0"/>
      <w:marRight w:val="0"/>
      <w:marTop w:val="0"/>
      <w:marBottom w:val="0"/>
      <w:divBdr>
        <w:top w:val="none" w:sz="0" w:space="0" w:color="auto"/>
        <w:left w:val="none" w:sz="0" w:space="0" w:color="auto"/>
        <w:bottom w:val="none" w:sz="0" w:space="0" w:color="auto"/>
        <w:right w:val="none" w:sz="0" w:space="0" w:color="auto"/>
      </w:divBdr>
    </w:div>
    <w:div w:id="65343775">
      <w:bodyDiv w:val="1"/>
      <w:marLeft w:val="0"/>
      <w:marRight w:val="0"/>
      <w:marTop w:val="0"/>
      <w:marBottom w:val="0"/>
      <w:divBdr>
        <w:top w:val="none" w:sz="0" w:space="0" w:color="auto"/>
        <w:left w:val="none" w:sz="0" w:space="0" w:color="auto"/>
        <w:bottom w:val="none" w:sz="0" w:space="0" w:color="auto"/>
        <w:right w:val="none" w:sz="0" w:space="0" w:color="auto"/>
      </w:divBdr>
    </w:div>
    <w:div w:id="162860096">
      <w:bodyDiv w:val="1"/>
      <w:marLeft w:val="0"/>
      <w:marRight w:val="0"/>
      <w:marTop w:val="0"/>
      <w:marBottom w:val="0"/>
      <w:divBdr>
        <w:top w:val="none" w:sz="0" w:space="0" w:color="auto"/>
        <w:left w:val="none" w:sz="0" w:space="0" w:color="auto"/>
        <w:bottom w:val="none" w:sz="0" w:space="0" w:color="auto"/>
        <w:right w:val="none" w:sz="0" w:space="0" w:color="auto"/>
      </w:divBdr>
    </w:div>
    <w:div w:id="243808573">
      <w:bodyDiv w:val="1"/>
      <w:marLeft w:val="0"/>
      <w:marRight w:val="0"/>
      <w:marTop w:val="0"/>
      <w:marBottom w:val="0"/>
      <w:divBdr>
        <w:top w:val="none" w:sz="0" w:space="0" w:color="auto"/>
        <w:left w:val="none" w:sz="0" w:space="0" w:color="auto"/>
        <w:bottom w:val="none" w:sz="0" w:space="0" w:color="auto"/>
        <w:right w:val="none" w:sz="0" w:space="0" w:color="auto"/>
      </w:divBdr>
    </w:div>
    <w:div w:id="256446709">
      <w:bodyDiv w:val="1"/>
      <w:marLeft w:val="0"/>
      <w:marRight w:val="0"/>
      <w:marTop w:val="0"/>
      <w:marBottom w:val="0"/>
      <w:divBdr>
        <w:top w:val="none" w:sz="0" w:space="0" w:color="auto"/>
        <w:left w:val="none" w:sz="0" w:space="0" w:color="auto"/>
        <w:bottom w:val="none" w:sz="0" w:space="0" w:color="auto"/>
        <w:right w:val="none" w:sz="0" w:space="0" w:color="auto"/>
      </w:divBdr>
    </w:div>
    <w:div w:id="301664011">
      <w:bodyDiv w:val="1"/>
      <w:marLeft w:val="0"/>
      <w:marRight w:val="0"/>
      <w:marTop w:val="0"/>
      <w:marBottom w:val="0"/>
      <w:divBdr>
        <w:top w:val="none" w:sz="0" w:space="0" w:color="auto"/>
        <w:left w:val="none" w:sz="0" w:space="0" w:color="auto"/>
        <w:bottom w:val="none" w:sz="0" w:space="0" w:color="auto"/>
        <w:right w:val="none" w:sz="0" w:space="0" w:color="auto"/>
      </w:divBdr>
    </w:div>
    <w:div w:id="307711298">
      <w:bodyDiv w:val="1"/>
      <w:marLeft w:val="0"/>
      <w:marRight w:val="0"/>
      <w:marTop w:val="0"/>
      <w:marBottom w:val="0"/>
      <w:divBdr>
        <w:top w:val="none" w:sz="0" w:space="0" w:color="auto"/>
        <w:left w:val="none" w:sz="0" w:space="0" w:color="auto"/>
        <w:bottom w:val="none" w:sz="0" w:space="0" w:color="auto"/>
        <w:right w:val="none" w:sz="0" w:space="0" w:color="auto"/>
      </w:divBdr>
    </w:div>
    <w:div w:id="368531138">
      <w:bodyDiv w:val="1"/>
      <w:marLeft w:val="0"/>
      <w:marRight w:val="0"/>
      <w:marTop w:val="0"/>
      <w:marBottom w:val="0"/>
      <w:divBdr>
        <w:top w:val="none" w:sz="0" w:space="0" w:color="auto"/>
        <w:left w:val="none" w:sz="0" w:space="0" w:color="auto"/>
        <w:bottom w:val="none" w:sz="0" w:space="0" w:color="auto"/>
        <w:right w:val="none" w:sz="0" w:space="0" w:color="auto"/>
      </w:divBdr>
    </w:div>
    <w:div w:id="390543134">
      <w:bodyDiv w:val="1"/>
      <w:marLeft w:val="0"/>
      <w:marRight w:val="0"/>
      <w:marTop w:val="0"/>
      <w:marBottom w:val="0"/>
      <w:divBdr>
        <w:top w:val="none" w:sz="0" w:space="0" w:color="auto"/>
        <w:left w:val="none" w:sz="0" w:space="0" w:color="auto"/>
        <w:bottom w:val="none" w:sz="0" w:space="0" w:color="auto"/>
        <w:right w:val="none" w:sz="0" w:space="0" w:color="auto"/>
      </w:divBdr>
    </w:div>
    <w:div w:id="412825615">
      <w:bodyDiv w:val="1"/>
      <w:marLeft w:val="0"/>
      <w:marRight w:val="0"/>
      <w:marTop w:val="0"/>
      <w:marBottom w:val="0"/>
      <w:divBdr>
        <w:top w:val="none" w:sz="0" w:space="0" w:color="auto"/>
        <w:left w:val="none" w:sz="0" w:space="0" w:color="auto"/>
        <w:bottom w:val="none" w:sz="0" w:space="0" w:color="auto"/>
        <w:right w:val="none" w:sz="0" w:space="0" w:color="auto"/>
      </w:divBdr>
    </w:div>
    <w:div w:id="414939770">
      <w:bodyDiv w:val="1"/>
      <w:marLeft w:val="0"/>
      <w:marRight w:val="0"/>
      <w:marTop w:val="0"/>
      <w:marBottom w:val="0"/>
      <w:divBdr>
        <w:top w:val="none" w:sz="0" w:space="0" w:color="auto"/>
        <w:left w:val="none" w:sz="0" w:space="0" w:color="auto"/>
        <w:bottom w:val="none" w:sz="0" w:space="0" w:color="auto"/>
        <w:right w:val="none" w:sz="0" w:space="0" w:color="auto"/>
      </w:divBdr>
    </w:div>
    <w:div w:id="462961988">
      <w:bodyDiv w:val="1"/>
      <w:marLeft w:val="0"/>
      <w:marRight w:val="0"/>
      <w:marTop w:val="0"/>
      <w:marBottom w:val="0"/>
      <w:divBdr>
        <w:top w:val="none" w:sz="0" w:space="0" w:color="auto"/>
        <w:left w:val="none" w:sz="0" w:space="0" w:color="auto"/>
        <w:bottom w:val="none" w:sz="0" w:space="0" w:color="auto"/>
        <w:right w:val="none" w:sz="0" w:space="0" w:color="auto"/>
      </w:divBdr>
    </w:div>
    <w:div w:id="467554418">
      <w:bodyDiv w:val="1"/>
      <w:marLeft w:val="0"/>
      <w:marRight w:val="0"/>
      <w:marTop w:val="0"/>
      <w:marBottom w:val="0"/>
      <w:divBdr>
        <w:top w:val="none" w:sz="0" w:space="0" w:color="auto"/>
        <w:left w:val="none" w:sz="0" w:space="0" w:color="auto"/>
        <w:bottom w:val="none" w:sz="0" w:space="0" w:color="auto"/>
        <w:right w:val="none" w:sz="0" w:space="0" w:color="auto"/>
      </w:divBdr>
    </w:div>
    <w:div w:id="467672353">
      <w:bodyDiv w:val="1"/>
      <w:marLeft w:val="0"/>
      <w:marRight w:val="0"/>
      <w:marTop w:val="0"/>
      <w:marBottom w:val="0"/>
      <w:divBdr>
        <w:top w:val="none" w:sz="0" w:space="0" w:color="auto"/>
        <w:left w:val="none" w:sz="0" w:space="0" w:color="auto"/>
        <w:bottom w:val="none" w:sz="0" w:space="0" w:color="auto"/>
        <w:right w:val="none" w:sz="0" w:space="0" w:color="auto"/>
      </w:divBdr>
    </w:div>
    <w:div w:id="490603584">
      <w:bodyDiv w:val="1"/>
      <w:marLeft w:val="0"/>
      <w:marRight w:val="0"/>
      <w:marTop w:val="0"/>
      <w:marBottom w:val="0"/>
      <w:divBdr>
        <w:top w:val="none" w:sz="0" w:space="0" w:color="auto"/>
        <w:left w:val="none" w:sz="0" w:space="0" w:color="auto"/>
        <w:bottom w:val="none" w:sz="0" w:space="0" w:color="auto"/>
        <w:right w:val="none" w:sz="0" w:space="0" w:color="auto"/>
      </w:divBdr>
    </w:div>
    <w:div w:id="529072595">
      <w:bodyDiv w:val="1"/>
      <w:marLeft w:val="0"/>
      <w:marRight w:val="0"/>
      <w:marTop w:val="0"/>
      <w:marBottom w:val="0"/>
      <w:divBdr>
        <w:top w:val="none" w:sz="0" w:space="0" w:color="auto"/>
        <w:left w:val="none" w:sz="0" w:space="0" w:color="auto"/>
        <w:bottom w:val="none" w:sz="0" w:space="0" w:color="auto"/>
        <w:right w:val="none" w:sz="0" w:space="0" w:color="auto"/>
      </w:divBdr>
    </w:div>
    <w:div w:id="549264423">
      <w:bodyDiv w:val="1"/>
      <w:marLeft w:val="0"/>
      <w:marRight w:val="0"/>
      <w:marTop w:val="0"/>
      <w:marBottom w:val="0"/>
      <w:divBdr>
        <w:top w:val="none" w:sz="0" w:space="0" w:color="auto"/>
        <w:left w:val="none" w:sz="0" w:space="0" w:color="auto"/>
        <w:bottom w:val="none" w:sz="0" w:space="0" w:color="auto"/>
        <w:right w:val="none" w:sz="0" w:space="0" w:color="auto"/>
      </w:divBdr>
    </w:div>
    <w:div w:id="552160732">
      <w:bodyDiv w:val="1"/>
      <w:marLeft w:val="0"/>
      <w:marRight w:val="0"/>
      <w:marTop w:val="0"/>
      <w:marBottom w:val="0"/>
      <w:divBdr>
        <w:top w:val="none" w:sz="0" w:space="0" w:color="auto"/>
        <w:left w:val="none" w:sz="0" w:space="0" w:color="auto"/>
        <w:bottom w:val="none" w:sz="0" w:space="0" w:color="auto"/>
        <w:right w:val="none" w:sz="0" w:space="0" w:color="auto"/>
      </w:divBdr>
    </w:div>
    <w:div w:id="559747686">
      <w:bodyDiv w:val="1"/>
      <w:marLeft w:val="0"/>
      <w:marRight w:val="0"/>
      <w:marTop w:val="0"/>
      <w:marBottom w:val="0"/>
      <w:divBdr>
        <w:top w:val="none" w:sz="0" w:space="0" w:color="auto"/>
        <w:left w:val="none" w:sz="0" w:space="0" w:color="auto"/>
        <w:bottom w:val="none" w:sz="0" w:space="0" w:color="auto"/>
        <w:right w:val="none" w:sz="0" w:space="0" w:color="auto"/>
      </w:divBdr>
    </w:div>
    <w:div w:id="580020173">
      <w:bodyDiv w:val="1"/>
      <w:marLeft w:val="0"/>
      <w:marRight w:val="0"/>
      <w:marTop w:val="0"/>
      <w:marBottom w:val="0"/>
      <w:divBdr>
        <w:top w:val="none" w:sz="0" w:space="0" w:color="auto"/>
        <w:left w:val="none" w:sz="0" w:space="0" w:color="auto"/>
        <w:bottom w:val="none" w:sz="0" w:space="0" w:color="auto"/>
        <w:right w:val="none" w:sz="0" w:space="0" w:color="auto"/>
      </w:divBdr>
    </w:div>
    <w:div w:id="588805793">
      <w:bodyDiv w:val="1"/>
      <w:marLeft w:val="0"/>
      <w:marRight w:val="0"/>
      <w:marTop w:val="0"/>
      <w:marBottom w:val="0"/>
      <w:divBdr>
        <w:top w:val="none" w:sz="0" w:space="0" w:color="auto"/>
        <w:left w:val="none" w:sz="0" w:space="0" w:color="auto"/>
        <w:bottom w:val="none" w:sz="0" w:space="0" w:color="auto"/>
        <w:right w:val="none" w:sz="0" w:space="0" w:color="auto"/>
      </w:divBdr>
    </w:div>
    <w:div w:id="596720006">
      <w:bodyDiv w:val="1"/>
      <w:marLeft w:val="0"/>
      <w:marRight w:val="0"/>
      <w:marTop w:val="0"/>
      <w:marBottom w:val="0"/>
      <w:divBdr>
        <w:top w:val="none" w:sz="0" w:space="0" w:color="auto"/>
        <w:left w:val="none" w:sz="0" w:space="0" w:color="auto"/>
        <w:bottom w:val="none" w:sz="0" w:space="0" w:color="auto"/>
        <w:right w:val="none" w:sz="0" w:space="0" w:color="auto"/>
      </w:divBdr>
    </w:div>
    <w:div w:id="616521609">
      <w:bodyDiv w:val="1"/>
      <w:marLeft w:val="0"/>
      <w:marRight w:val="0"/>
      <w:marTop w:val="0"/>
      <w:marBottom w:val="0"/>
      <w:divBdr>
        <w:top w:val="none" w:sz="0" w:space="0" w:color="auto"/>
        <w:left w:val="none" w:sz="0" w:space="0" w:color="auto"/>
        <w:bottom w:val="none" w:sz="0" w:space="0" w:color="auto"/>
        <w:right w:val="none" w:sz="0" w:space="0" w:color="auto"/>
      </w:divBdr>
    </w:div>
    <w:div w:id="651760400">
      <w:bodyDiv w:val="1"/>
      <w:marLeft w:val="0"/>
      <w:marRight w:val="0"/>
      <w:marTop w:val="0"/>
      <w:marBottom w:val="0"/>
      <w:divBdr>
        <w:top w:val="none" w:sz="0" w:space="0" w:color="auto"/>
        <w:left w:val="none" w:sz="0" w:space="0" w:color="auto"/>
        <w:bottom w:val="none" w:sz="0" w:space="0" w:color="auto"/>
        <w:right w:val="none" w:sz="0" w:space="0" w:color="auto"/>
      </w:divBdr>
    </w:div>
    <w:div w:id="682243065">
      <w:bodyDiv w:val="1"/>
      <w:marLeft w:val="0"/>
      <w:marRight w:val="0"/>
      <w:marTop w:val="0"/>
      <w:marBottom w:val="0"/>
      <w:divBdr>
        <w:top w:val="none" w:sz="0" w:space="0" w:color="auto"/>
        <w:left w:val="none" w:sz="0" w:space="0" w:color="auto"/>
        <w:bottom w:val="none" w:sz="0" w:space="0" w:color="auto"/>
        <w:right w:val="none" w:sz="0" w:space="0" w:color="auto"/>
      </w:divBdr>
    </w:div>
    <w:div w:id="706295019">
      <w:bodyDiv w:val="1"/>
      <w:marLeft w:val="0"/>
      <w:marRight w:val="0"/>
      <w:marTop w:val="0"/>
      <w:marBottom w:val="0"/>
      <w:divBdr>
        <w:top w:val="none" w:sz="0" w:space="0" w:color="auto"/>
        <w:left w:val="none" w:sz="0" w:space="0" w:color="auto"/>
        <w:bottom w:val="none" w:sz="0" w:space="0" w:color="auto"/>
        <w:right w:val="none" w:sz="0" w:space="0" w:color="auto"/>
      </w:divBdr>
    </w:div>
    <w:div w:id="725031781">
      <w:bodyDiv w:val="1"/>
      <w:marLeft w:val="0"/>
      <w:marRight w:val="0"/>
      <w:marTop w:val="0"/>
      <w:marBottom w:val="0"/>
      <w:divBdr>
        <w:top w:val="none" w:sz="0" w:space="0" w:color="auto"/>
        <w:left w:val="none" w:sz="0" w:space="0" w:color="auto"/>
        <w:bottom w:val="none" w:sz="0" w:space="0" w:color="auto"/>
        <w:right w:val="none" w:sz="0" w:space="0" w:color="auto"/>
      </w:divBdr>
    </w:div>
    <w:div w:id="748960841">
      <w:bodyDiv w:val="1"/>
      <w:marLeft w:val="0"/>
      <w:marRight w:val="0"/>
      <w:marTop w:val="0"/>
      <w:marBottom w:val="0"/>
      <w:divBdr>
        <w:top w:val="none" w:sz="0" w:space="0" w:color="auto"/>
        <w:left w:val="none" w:sz="0" w:space="0" w:color="auto"/>
        <w:bottom w:val="none" w:sz="0" w:space="0" w:color="auto"/>
        <w:right w:val="none" w:sz="0" w:space="0" w:color="auto"/>
      </w:divBdr>
    </w:div>
    <w:div w:id="773869059">
      <w:bodyDiv w:val="1"/>
      <w:marLeft w:val="0"/>
      <w:marRight w:val="0"/>
      <w:marTop w:val="0"/>
      <w:marBottom w:val="0"/>
      <w:divBdr>
        <w:top w:val="none" w:sz="0" w:space="0" w:color="auto"/>
        <w:left w:val="none" w:sz="0" w:space="0" w:color="auto"/>
        <w:bottom w:val="none" w:sz="0" w:space="0" w:color="auto"/>
        <w:right w:val="none" w:sz="0" w:space="0" w:color="auto"/>
      </w:divBdr>
    </w:div>
    <w:div w:id="790898749">
      <w:bodyDiv w:val="1"/>
      <w:marLeft w:val="0"/>
      <w:marRight w:val="0"/>
      <w:marTop w:val="0"/>
      <w:marBottom w:val="0"/>
      <w:divBdr>
        <w:top w:val="none" w:sz="0" w:space="0" w:color="auto"/>
        <w:left w:val="none" w:sz="0" w:space="0" w:color="auto"/>
        <w:bottom w:val="none" w:sz="0" w:space="0" w:color="auto"/>
        <w:right w:val="none" w:sz="0" w:space="0" w:color="auto"/>
      </w:divBdr>
    </w:div>
    <w:div w:id="813987237">
      <w:bodyDiv w:val="1"/>
      <w:marLeft w:val="0"/>
      <w:marRight w:val="0"/>
      <w:marTop w:val="0"/>
      <w:marBottom w:val="0"/>
      <w:divBdr>
        <w:top w:val="none" w:sz="0" w:space="0" w:color="auto"/>
        <w:left w:val="none" w:sz="0" w:space="0" w:color="auto"/>
        <w:bottom w:val="none" w:sz="0" w:space="0" w:color="auto"/>
        <w:right w:val="none" w:sz="0" w:space="0" w:color="auto"/>
      </w:divBdr>
    </w:div>
    <w:div w:id="868758352">
      <w:bodyDiv w:val="1"/>
      <w:marLeft w:val="0"/>
      <w:marRight w:val="0"/>
      <w:marTop w:val="0"/>
      <w:marBottom w:val="0"/>
      <w:divBdr>
        <w:top w:val="none" w:sz="0" w:space="0" w:color="auto"/>
        <w:left w:val="none" w:sz="0" w:space="0" w:color="auto"/>
        <w:bottom w:val="none" w:sz="0" w:space="0" w:color="auto"/>
        <w:right w:val="none" w:sz="0" w:space="0" w:color="auto"/>
      </w:divBdr>
    </w:div>
    <w:div w:id="881673258">
      <w:bodyDiv w:val="1"/>
      <w:marLeft w:val="0"/>
      <w:marRight w:val="0"/>
      <w:marTop w:val="0"/>
      <w:marBottom w:val="0"/>
      <w:divBdr>
        <w:top w:val="none" w:sz="0" w:space="0" w:color="auto"/>
        <w:left w:val="none" w:sz="0" w:space="0" w:color="auto"/>
        <w:bottom w:val="none" w:sz="0" w:space="0" w:color="auto"/>
        <w:right w:val="none" w:sz="0" w:space="0" w:color="auto"/>
      </w:divBdr>
    </w:div>
    <w:div w:id="896013987">
      <w:bodyDiv w:val="1"/>
      <w:marLeft w:val="0"/>
      <w:marRight w:val="0"/>
      <w:marTop w:val="0"/>
      <w:marBottom w:val="0"/>
      <w:divBdr>
        <w:top w:val="none" w:sz="0" w:space="0" w:color="auto"/>
        <w:left w:val="none" w:sz="0" w:space="0" w:color="auto"/>
        <w:bottom w:val="none" w:sz="0" w:space="0" w:color="auto"/>
        <w:right w:val="none" w:sz="0" w:space="0" w:color="auto"/>
      </w:divBdr>
    </w:div>
    <w:div w:id="902721844">
      <w:bodyDiv w:val="1"/>
      <w:marLeft w:val="0"/>
      <w:marRight w:val="0"/>
      <w:marTop w:val="0"/>
      <w:marBottom w:val="0"/>
      <w:divBdr>
        <w:top w:val="none" w:sz="0" w:space="0" w:color="auto"/>
        <w:left w:val="none" w:sz="0" w:space="0" w:color="auto"/>
        <w:bottom w:val="none" w:sz="0" w:space="0" w:color="auto"/>
        <w:right w:val="none" w:sz="0" w:space="0" w:color="auto"/>
      </w:divBdr>
    </w:div>
    <w:div w:id="917711418">
      <w:bodyDiv w:val="1"/>
      <w:marLeft w:val="0"/>
      <w:marRight w:val="0"/>
      <w:marTop w:val="0"/>
      <w:marBottom w:val="0"/>
      <w:divBdr>
        <w:top w:val="none" w:sz="0" w:space="0" w:color="auto"/>
        <w:left w:val="none" w:sz="0" w:space="0" w:color="auto"/>
        <w:bottom w:val="none" w:sz="0" w:space="0" w:color="auto"/>
        <w:right w:val="none" w:sz="0" w:space="0" w:color="auto"/>
      </w:divBdr>
    </w:div>
    <w:div w:id="928928236">
      <w:bodyDiv w:val="1"/>
      <w:marLeft w:val="0"/>
      <w:marRight w:val="0"/>
      <w:marTop w:val="0"/>
      <w:marBottom w:val="0"/>
      <w:divBdr>
        <w:top w:val="none" w:sz="0" w:space="0" w:color="auto"/>
        <w:left w:val="none" w:sz="0" w:space="0" w:color="auto"/>
        <w:bottom w:val="none" w:sz="0" w:space="0" w:color="auto"/>
        <w:right w:val="none" w:sz="0" w:space="0" w:color="auto"/>
      </w:divBdr>
    </w:div>
    <w:div w:id="943457837">
      <w:bodyDiv w:val="1"/>
      <w:marLeft w:val="0"/>
      <w:marRight w:val="0"/>
      <w:marTop w:val="0"/>
      <w:marBottom w:val="0"/>
      <w:divBdr>
        <w:top w:val="none" w:sz="0" w:space="0" w:color="auto"/>
        <w:left w:val="none" w:sz="0" w:space="0" w:color="auto"/>
        <w:bottom w:val="none" w:sz="0" w:space="0" w:color="auto"/>
        <w:right w:val="none" w:sz="0" w:space="0" w:color="auto"/>
      </w:divBdr>
    </w:div>
    <w:div w:id="947616381">
      <w:bodyDiv w:val="1"/>
      <w:marLeft w:val="0"/>
      <w:marRight w:val="0"/>
      <w:marTop w:val="0"/>
      <w:marBottom w:val="0"/>
      <w:divBdr>
        <w:top w:val="none" w:sz="0" w:space="0" w:color="auto"/>
        <w:left w:val="none" w:sz="0" w:space="0" w:color="auto"/>
        <w:bottom w:val="none" w:sz="0" w:space="0" w:color="auto"/>
        <w:right w:val="none" w:sz="0" w:space="0" w:color="auto"/>
      </w:divBdr>
    </w:div>
    <w:div w:id="1019434083">
      <w:bodyDiv w:val="1"/>
      <w:marLeft w:val="0"/>
      <w:marRight w:val="0"/>
      <w:marTop w:val="0"/>
      <w:marBottom w:val="0"/>
      <w:divBdr>
        <w:top w:val="none" w:sz="0" w:space="0" w:color="auto"/>
        <w:left w:val="none" w:sz="0" w:space="0" w:color="auto"/>
        <w:bottom w:val="none" w:sz="0" w:space="0" w:color="auto"/>
        <w:right w:val="none" w:sz="0" w:space="0" w:color="auto"/>
      </w:divBdr>
    </w:div>
    <w:div w:id="1204368763">
      <w:bodyDiv w:val="1"/>
      <w:marLeft w:val="0"/>
      <w:marRight w:val="0"/>
      <w:marTop w:val="0"/>
      <w:marBottom w:val="0"/>
      <w:divBdr>
        <w:top w:val="none" w:sz="0" w:space="0" w:color="auto"/>
        <w:left w:val="none" w:sz="0" w:space="0" w:color="auto"/>
        <w:bottom w:val="none" w:sz="0" w:space="0" w:color="auto"/>
        <w:right w:val="none" w:sz="0" w:space="0" w:color="auto"/>
      </w:divBdr>
    </w:div>
    <w:div w:id="1205216588">
      <w:bodyDiv w:val="1"/>
      <w:marLeft w:val="0"/>
      <w:marRight w:val="0"/>
      <w:marTop w:val="0"/>
      <w:marBottom w:val="0"/>
      <w:divBdr>
        <w:top w:val="none" w:sz="0" w:space="0" w:color="auto"/>
        <w:left w:val="none" w:sz="0" w:space="0" w:color="auto"/>
        <w:bottom w:val="none" w:sz="0" w:space="0" w:color="auto"/>
        <w:right w:val="none" w:sz="0" w:space="0" w:color="auto"/>
      </w:divBdr>
    </w:div>
    <w:div w:id="1213080552">
      <w:bodyDiv w:val="1"/>
      <w:marLeft w:val="0"/>
      <w:marRight w:val="0"/>
      <w:marTop w:val="0"/>
      <w:marBottom w:val="0"/>
      <w:divBdr>
        <w:top w:val="none" w:sz="0" w:space="0" w:color="auto"/>
        <w:left w:val="none" w:sz="0" w:space="0" w:color="auto"/>
        <w:bottom w:val="none" w:sz="0" w:space="0" w:color="auto"/>
        <w:right w:val="none" w:sz="0" w:space="0" w:color="auto"/>
      </w:divBdr>
    </w:div>
    <w:div w:id="1217739494">
      <w:bodyDiv w:val="1"/>
      <w:marLeft w:val="0"/>
      <w:marRight w:val="0"/>
      <w:marTop w:val="0"/>
      <w:marBottom w:val="0"/>
      <w:divBdr>
        <w:top w:val="none" w:sz="0" w:space="0" w:color="auto"/>
        <w:left w:val="none" w:sz="0" w:space="0" w:color="auto"/>
        <w:bottom w:val="none" w:sz="0" w:space="0" w:color="auto"/>
        <w:right w:val="none" w:sz="0" w:space="0" w:color="auto"/>
      </w:divBdr>
    </w:div>
    <w:div w:id="1218973760">
      <w:bodyDiv w:val="1"/>
      <w:marLeft w:val="0"/>
      <w:marRight w:val="0"/>
      <w:marTop w:val="0"/>
      <w:marBottom w:val="0"/>
      <w:divBdr>
        <w:top w:val="none" w:sz="0" w:space="0" w:color="auto"/>
        <w:left w:val="none" w:sz="0" w:space="0" w:color="auto"/>
        <w:bottom w:val="none" w:sz="0" w:space="0" w:color="auto"/>
        <w:right w:val="none" w:sz="0" w:space="0" w:color="auto"/>
      </w:divBdr>
    </w:div>
    <w:div w:id="1229075897">
      <w:bodyDiv w:val="1"/>
      <w:marLeft w:val="0"/>
      <w:marRight w:val="0"/>
      <w:marTop w:val="0"/>
      <w:marBottom w:val="0"/>
      <w:divBdr>
        <w:top w:val="none" w:sz="0" w:space="0" w:color="auto"/>
        <w:left w:val="none" w:sz="0" w:space="0" w:color="auto"/>
        <w:bottom w:val="none" w:sz="0" w:space="0" w:color="auto"/>
        <w:right w:val="none" w:sz="0" w:space="0" w:color="auto"/>
      </w:divBdr>
    </w:div>
    <w:div w:id="1266306083">
      <w:bodyDiv w:val="1"/>
      <w:marLeft w:val="0"/>
      <w:marRight w:val="0"/>
      <w:marTop w:val="0"/>
      <w:marBottom w:val="0"/>
      <w:divBdr>
        <w:top w:val="none" w:sz="0" w:space="0" w:color="auto"/>
        <w:left w:val="none" w:sz="0" w:space="0" w:color="auto"/>
        <w:bottom w:val="none" w:sz="0" w:space="0" w:color="auto"/>
        <w:right w:val="none" w:sz="0" w:space="0" w:color="auto"/>
      </w:divBdr>
    </w:div>
    <w:div w:id="1280264845">
      <w:bodyDiv w:val="1"/>
      <w:marLeft w:val="0"/>
      <w:marRight w:val="0"/>
      <w:marTop w:val="0"/>
      <w:marBottom w:val="0"/>
      <w:divBdr>
        <w:top w:val="none" w:sz="0" w:space="0" w:color="auto"/>
        <w:left w:val="none" w:sz="0" w:space="0" w:color="auto"/>
        <w:bottom w:val="none" w:sz="0" w:space="0" w:color="auto"/>
        <w:right w:val="none" w:sz="0" w:space="0" w:color="auto"/>
      </w:divBdr>
    </w:div>
    <w:div w:id="1373581168">
      <w:bodyDiv w:val="1"/>
      <w:marLeft w:val="0"/>
      <w:marRight w:val="0"/>
      <w:marTop w:val="0"/>
      <w:marBottom w:val="0"/>
      <w:divBdr>
        <w:top w:val="none" w:sz="0" w:space="0" w:color="auto"/>
        <w:left w:val="none" w:sz="0" w:space="0" w:color="auto"/>
        <w:bottom w:val="none" w:sz="0" w:space="0" w:color="auto"/>
        <w:right w:val="none" w:sz="0" w:space="0" w:color="auto"/>
      </w:divBdr>
    </w:div>
    <w:div w:id="1379554061">
      <w:bodyDiv w:val="1"/>
      <w:marLeft w:val="0"/>
      <w:marRight w:val="0"/>
      <w:marTop w:val="0"/>
      <w:marBottom w:val="0"/>
      <w:divBdr>
        <w:top w:val="none" w:sz="0" w:space="0" w:color="auto"/>
        <w:left w:val="none" w:sz="0" w:space="0" w:color="auto"/>
        <w:bottom w:val="none" w:sz="0" w:space="0" w:color="auto"/>
        <w:right w:val="none" w:sz="0" w:space="0" w:color="auto"/>
      </w:divBdr>
    </w:div>
    <w:div w:id="1388451338">
      <w:bodyDiv w:val="1"/>
      <w:marLeft w:val="0"/>
      <w:marRight w:val="0"/>
      <w:marTop w:val="0"/>
      <w:marBottom w:val="0"/>
      <w:divBdr>
        <w:top w:val="none" w:sz="0" w:space="0" w:color="auto"/>
        <w:left w:val="none" w:sz="0" w:space="0" w:color="auto"/>
        <w:bottom w:val="none" w:sz="0" w:space="0" w:color="auto"/>
        <w:right w:val="none" w:sz="0" w:space="0" w:color="auto"/>
      </w:divBdr>
    </w:div>
    <w:div w:id="1431046781">
      <w:bodyDiv w:val="1"/>
      <w:marLeft w:val="0"/>
      <w:marRight w:val="0"/>
      <w:marTop w:val="0"/>
      <w:marBottom w:val="0"/>
      <w:divBdr>
        <w:top w:val="none" w:sz="0" w:space="0" w:color="auto"/>
        <w:left w:val="none" w:sz="0" w:space="0" w:color="auto"/>
        <w:bottom w:val="none" w:sz="0" w:space="0" w:color="auto"/>
        <w:right w:val="none" w:sz="0" w:space="0" w:color="auto"/>
      </w:divBdr>
    </w:div>
    <w:div w:id="1468350474">
      <w:bodyDiv w:val="1"/>
      <w:marLeft w:val="0"/>
      <w:marRight w:val="0"/>
      <w:marTop w:val="0"/>
      <w:marBottom w:val="0"/>
      <w:divBdr>
        <w:top w:val="none" w:sz="0" w:space="0" w:color="auto"/>
        <w:left w:val="none" w:sz="0" w:space="0" w:color="auto"/>
        <w:bottom w:val="none" w:sz="0" w:space="0" w:color="auto"/>
        <w:right w:val="none" w:sz="0" w:space="0" w:color="auto"/>
      </w:divBdr>
    </w:div>
    <w:div w:id="1530289903">
      <w:bodyDiv w:val="1"/>
      <w:marLeft w:val="0"/>
      <w:marRight w:val="0"/>
      <w:marTop w:val="0"/>
      <w:marBottom w:val="0"/>
      <w:divBdr>
        <w:top w:val="none" w:sz="0" w:space="0" w:color="auto"/>
        <w:left w:val="none" w:sz="0" w:space="0" w:color="auto"/>
        <w:bottom w:val="none" w:sz="0" w:space="0" w:color="auto"/>
        <w:right w:val="none" w:sz="0" w:space="0" w:color="auto"/>
      </w:divBdr>
    </w:div>
    <w:div w:id="1562667627">
      <w:bodyDiv w:val="1"/>
      <w:marLeft w:val="0"/>
      <w:marRight w:val="0"/>
      <w:marTop w:val="0"/>
      <w:marBottom w:val="0"/>
      <w:divBdr>
        <w:top w:val="none" w:sz="0" w:space="0" w:color="auto"/>
        <w:left w:val="none" w:sz="0" w:space="0" w:color="auto"/>
        <w:bottom w:val="none" w:sz="0" w:space="0" w:color="auto"/>
        <w:right w:val="none" w:sz="0" w:space="0" w:color="auto"/>
      </w:divBdr>
    </w:div>
    <w:div w:id="1582786760">
      <w:bodyDiv w:val="1"/>
      <w:marLeft w:val="0"/>
      <w:marRight w:val="0"/>
      <w:marTop w:val="0"/>
      <w:marBottom w:val="0"/>
      <w:divBdr>
        <w:top w:val="none" w:sz="0" w:space="0" w:color="auto"/>
        <w:left w:val="none" w:sz="0" w:space="0" w:color="auto"/>
        <w:bottom w:val="none" w:sz="0" w:space="0" w:color="auto"/>
        <w:right w:val="none" w:sz="0" w:space="0" w:color="auto"/>
      </w:divBdr>
    </w:div>
    <w:div w:id="1587418267">
      <w:bodyDiv w:val="1"/>
      <w:marLeft w:val="0"/>
      <w:marRight w:val="0"/>
      <w:marTop w:val="0"/>
      <w:marBottom w:val="0"/>
      <w:divBdr>
        <w:top w:val="none" w:sz="0" w:space="0" w:color="auto"/>
        <w:left w:val="none" w:sz="0" w:space="0" w:color="auto"/>
        <w:bottom w:val="none" w:sz="0" w:space="0" w:color="auto"/>
        <w:right w:val="none" w:sz="0" w:space="0" w:color="auto"/>
      </w:divBdr>
    </w:div>
    <w:div w:id="1600062612">
      <w:bodyDiv w:val="1"/>
      <w:marLeft w:val="0"/>
      <w:marRight w:val="0"/>
      <w:marTop w:val="0"/>
      <w:marBottom w:val="0"/>
      <w:divBdr>
        <w:top w:val="none" w:sz="0" w:space="0" w:color="auto"/>
        <w:left w:val="none" w:sz="0" w:space="0" w:color="auto"/>
        <w:bottom w:val="none" w:sz="0" w:space="0" w:color="auto"/>
        <w:right w:val="none" w:sz="0" w:space="0" w:color="auto"/>
      </w:divBdr>
    </w:div>
    <w:div w:id="1650212437">
      <w:bodyDiv w:val="1"/>
      <w:marLeft w:val="0"/>
      <w:marRight w:val="0"/>
      <w:marTop w:val="0"/>
      <w:marBottom w:val="0"/>
      <w:divBdr>
        <w:top w:val="none" w:sz="0" w:space="0" w:color="auto"/>
        <w:left w:val="none" w:sz="0" w:space="0" w:color="auto"/>
        <w:bottom w:val="none" w:sz="0" w:space="0" w:color="auto"/>
        <w:right w:val="none" w:sz="0" w:space="0" w:color="auto"/>
      </w:divBdr>
    </w:div>
    <w:div w:id="1658149792">
      <w:bodyDiv w:val="1"/>
      <w:marLeft w:val="0"/>
      <w:marRight w:val="0"/>
      <w:marTop w:val="0"/>
      <w:marBottom w:val="0"/>
      <w:divBdr>
        <w:top w:val="none" w:sz="0" w:space="0" w:color="auto"/>
        <w:left w:val="none" w:sz="0" w:space="0" w:color="auto"/>
        <w:bottom w:val="none" w:sz="0" w:space="0" w:color="auto"/>
        <w:right w:val="none" w:sz="0" w:space="0" w:color="auto"/>
      </w:divBdr>
    </w:div>
    <w:div w:id="1669207140">
      <w:bodyDiv w:val="1"/>
      <w:marLeft w:val="0"/>
      <w:marRight w:val="0"/>
      <w:marTop w:val="0"/>
      <w:marBottom w:val="0"/>
      <w:divBdr>
        <w:top w:val="none" w:sz="0" w:space="0" w:color="auto"/>
        <w:left w:val="none" w:sz="0" w:space="0" w:color="auto"/>
        <w:bottom w:val="none" w:sz="0" w:space="0" w:color="auto"/>
        <w:right w:val="none" w:sz="0" w:space="0" w:color="auto"/>
      </w:divBdr>
    </w:div>
    <w:div w:id="1674381165">
      <w:bodyDiv w:val="1"/>
      <w:marLeft w:val="0"/>
      <w:marRight w:val="0"/>
      <w:marTop w:val="0"/>
      <w:marBottom w:val="0"/>
      <w:divBdr>
        <w:top w:val="none" w:sz="0" w:space="0" w:color="auto"/>
        <w:left w:val="none" w:sz="0" w:space="0" w:color="auto"/>
        <w:bottom w:val="none" w:sz="0" w:space="0" w:color="auto"/>
        <w:right w:val="none" w:sz="0" w:space="0" w:color="auto"/>
      </w:divBdr>
    </w:div>
    <w:div w:id="1677074516">
      <w:bodyDiv w:val="1"/>
      <w:marLeft w:val="0"/>
      <w:marRight w:val="0"/>
      <w:marTop w:val="0"/>
      <w:marBottom w:val="0"/>
      <w:divBdr>
        <w:top w:val="none" w:sz="0" w:space="0" w:color="auto"/>
        <w:left w:val="none" w:sz="0" w:space="0" w:color="auto"/>
        <w:bottom w:val="none" w:sz="0" w:space="0" w:color="auto"/>
        <w:right w:val="none" w:sz="0" w:space="0" w:color="auto"/>
      </w:divBdr>
    </w:div>
    <w:div w:id="1739669729">
      <w:bodyDiv w:val="1"/>
      <w:marLeft w:val="0"/>
      <w:marRight w:val="0"/>
      <w:marTop w:val="0"/>
      <w:marBottom w:val="0"/>
      <w:divBdr>
        <w:top w:val="none" w:sz="0" w:space="0" w:color="auto"/>
        <w:left w:val="none" w:sz="0" w:space="0" w:color="auto"/>
        <w:bottom w:val="none" w:sz="0" w:space="0" w:color="auto"/>
        <w:right w:val="none" w:sz="0" w:space="0" w:color="auto"/>
      </w:divBdr>
    </w:div>
    <w:div w:id="1755593264">
      <w:bodyDiv w:val="1"/>
      <w:marLeft w:val="0"/>
      <w:marRight w:val="0"/>
      <w:marTop w:val="0"/>
      <w:marBottom w:val="0"/>
      <w:divBdr>
        <w:top w:val="none" w:sz="0" w:space="0" w:color="auto"/>
        <w:left w:val="none" w:sz="0" w:space="0" w:color="auto"/>
        <w:bottom w:val="none" w:sz="0" w:space="0" w:color="auto"/>
        <w:right w:val="none" w:sz="0" w:space="0" w:color="auto"/>
      </w:divBdr>
    </w:div>
    <w:div w:id="1762489914">
      <w:bodyDiv w:val="1"/>
      <w:marLeft w:val="0"/>
      <w:marRight w:val="0"/>
      <w:marTop w:val="0"/>
      <w:marBottom w:val="0"/>
      <w:divBdr>
        <w:top w:val="none" w:sz="0" w:space="0" w:color="auto"/>
        <w:left w:val="none" w:sz="0" w:space="0" w:color="auto"/>
        <w:bottom w:val="none" w:sz="0" w:space="0" w:color="auto"/>
        <w:right w:val="none" w:sz="0" w:space="0" w:color="auto"/>
      </w:divBdr>
    </w:div>
    <w:div w:id="1787852161">
      <w:bodyDiv w:val="1"/>
      <w:marLeft w:val="0"/>
      <w:marRight w:val="0"/>
      <w:marTop w:val="0"/>
      <w:marBottom w:val="0"/>
      <w:divBdr>
        <w:top w:val="none" w:sz="0" w:space="0" w:color="auto"/>
        <w:left w:val="none" w:sz="0" w:space="0" w:color="auto"/>
        <w:bottom w:val="none" w:sz="0" w:space="0" w:color="auto"/>
        <w:right w:val="none" w:sz="0" w:space="0" w:color="auto"/>
      </w:divBdr>
    </w:div>
    <w:div w:id="1794860032">
      <w:bodyDiv w:val="1"/>
      <w:marLeft w:val="0"/>
      <w:marRight w:val="0"/>
      <w:marTop w:val="0"/>
      <w:marBottom w:val="0"/>
      <w:divBdr>
        <w:top w:val="none" w:sz="0" w:space="0" w:color="auto"/>
        <w:left w:val="none" w:sz="0" w:space="0" w:color="auto"/>
        <w:bottom w:val="none" w:sz="0" w:space="0" w:color="auto"/>
        <w:right w:val="none" w:sz="0" w:space="0" w:color="auto"/>
      </w:divBdr>
    </w:div>
    <w:div w:id="1838494427">
      <w:bodyDiv w:val="1"/>
      <w:marLeft w:val="0"/>
      <w:marRight w:val="0"/>
      <w:marTop w:val="0"/>
      <w:marBottom w:val="0"/>
      <w:divBdr>
        <w:top w:val="none" w:sz="0" w:space="0" w:color="auto"/>
        <w:left w:val="none" w:sz="0" w:space="0" w:color="auto"/>
        <w:bottom w:val="none" w:sz="0" w:space="0" w:color="auto"/>
        <w:right w:val="none" w:sz="0" w:space="0" w:color="auto"/>
      </w:divBdr>
    </w:div>
    <w:div w:id="1865558127">
      <w:bodyDiv w:val="1"/>
      <w:marLeft w:val="0"/>
      <w:marRight w:val="0"/>
      <w:marTop w:val="0"/>
      <w:marBottom w:val="0"/>
      <w:divBdr>
        <w:top w:val="none" w:sz="0" w:space="0" w:color="auto"/>
        <w:left w:val="none" w:sz="0" w:space="0" w:color="auto"/>
        <w:bottom w:val="none" w:sz="0" w:space="0" w:color="auto"/>
        <w:right w:val="none" w:sz="0" w:space="0" w:color="auto"/>
      </w:divBdr>
    </w:div>
    <w:div w:id="1916083149">
      <w:bodyDiv w:val="1"/>
      <w:marLeft w:val="0"/>
      <w:marRight w:val="0"/>
      <w:marTop w:val="0"/>
      <w:marBottom w:val="0"/>
      <w:divBdr>
        <w:top w:val="none" w:sz="0" w:space="0" w:color="auto"/>
        <w:left w:val="none" w:sz="0" w:space="0" w:color="auto"/>
        <w:bottom w:val="none" w:sz="0" w:space="0" w:color="auto"/>
        <w:right w:val="none" w:sz="0" w:space="0" w:color="auto"/>
      </w:divBdr>
    </w:div>
    <w:div w:id="1922713990">
      <w:bodyDiv w:val="1"/>
      <w:marLeft w:val="0"/>
      <w:marRight w:val="0"/>
      <w:marTop w:val="0"/>
      <w:marBottom w:val="0"/>
      <w:divBdr>
        <w:top w:val="none" w:sz="0" w:space="0" w:color="auto"/>
        <w:left w:val="none" w:sz="0" w:space="0" w:color="auto"/>
        <w:bottom w:val="none" w:sz="0" w:space="0" w:color="auto"/>
        <w:right w:val="none" w:sz="0" w:space="0" w:color="auto"/>
      </w:divBdr>
    </w:div>
    <w:div w:id="1931349531">
      <w:bodyDiv w:val="1"/>
      <w:marLeft w:val="0"/>
      <w:marRight w:val="0"/>
      <w:marTop w:val="0"/>
      <w:marBottom w:val="0"/>
      <w:divBdr>
        <w:top w:val="none" w:sz="0" w:space="0" w:color="auto"/>
        <w:left w:val="none" w:sz="0" w:space="0" w:color="auto"/>
        <w:bottom w:val="none" w:sz="0" w:space="0" w:color="auto"/>
        <w:right w:val="none" w:sz="0" w:space="0" w:color="auto"/>
      </w:divBdr>
    </w:div>
    <w:div w:id="1940677734">
      <w:bodyDiv w:val="1"/>
      <w:marLeft w:val="0"/>
      <w:marRight w:val="0"/>
      <w:marTop w:val="0"/>
      <w:marBottom w:val="0"/>
      <w:divBdr>
        <w:top w:val="none" w:sz="0" w:space="0" w:color="auto"/>
        <w:left w:val="none" w:sz="0" w:space="0" w:color="auto"/>
        <w:bottom w:val="none" w:sz="0" w:space="0" w:color="auto"/>
        <w:right w:val="none" w:sz="0" w:space="0" w:color="auto"/>
      </w:divBdr>
    </w:div>
    <w:div w:id="1958173079">
      <w:bodyDiv w:val="1"/>
      <w:marLeft w:val="0"/>
      <w:marRight w:val="0"/>
      <w:marTop w:val="0"/>
      <w:marBottom w:val="0"/>
      <w:divBdr>
        <w:top w:val="none" w:sz="0" w:space="0" w:color="auto"/>
        <w:left w:val="none" w:sz="0" w:space="0" w:color="auto"/>
        <w:bottom w:val="none" w:sz="0" w:space="0" w:color="auto"/>
        <w:right w:val="none" w:sz="0" w:space="0" w:color="auto"/>
      </w:divBdr>
    </w:div>
    <w:div w:id="1994094096">
      <w:bodyDiv w:val="1"/>
      <w:marLeft w:val="0"/>
      <w:marRight w:val="0"/>
      <w:marTop w:val="0"/>
      <w:marBottom w:val="0"/>
      <w:divBdr>
        <w:top w:val="none" w:sz="0" w:space="0" w:color="auto"/>
        <w:left w:val="none" w:sz="0" w:space="0" w:color="auto"/>
        <w:bottom w:val="none" w:sz="0" w:space="0" w:color="auto"/>
        <w:right w:val="none" w:sz="0" w:space="0" w:color="auto"/>
      </w:divBdr>
    </w:div>
    <w:div w:id="2043240955">
      <w:bodyDiv w:val="1"/>
      <w:marLeft w:val="0"/>
      <w:marRight w:val="0"/>
      <w:marTop w:val="0"/>
      <w:marBottom w:val="0"/>
      <w:divBdr>
        <w:top w:val="none" w:sz="0" w:space="0" w:color="auto"/>
        <w:left w:val="none" w:sz="0" w:space="0" w:color="auto"/>
        <w:bottom w:val="none" w:sz="0" w:space="0" w:color="auto"/>
        <w:right w:val="none" w:sz="0" w:space="0" w:color="auto"/>
      </w:divBdr>
    </w:div>
    <w:div w:id="2094159337">
      <w:bodyDiv w:val="1"/>
      <w:marLeft w:val="0"/>
      <w:marRight w:val="0"/>
      <w:marTop w:val="0"/>
      <w:marBottom w:val="0"/>
      <w:divBdr>
        <w:top w:val="none" w:sz="0" w:space="0" w:color="auto"/>
        <w:left w:val="none" w:sz="0" w:space="0" w:color="auto"/>
        <w:bottom w:val="none" w:sz="0" w:space="0" w:color="auto"/>
        <w:right w:val="none" w:sz="0" w:space="0" w:color="auto"/>
      </w:divBdr>
    </w:div>
    <w:div w:id="2101830702">
      <w:bodyDiv w:val="1"/>
      <w:marLeft w:val="0"/>
      <w:marRight w:val="0"/>
      <w:marTop w:val="0"/>
      <w:marBottom w:val="0"/>
      <w:divBdr>
        <w:top w:val="none" w:sz="0" w:space="0" w:color="auto"/>
        <w:left w:val="none" w:sz="0" w:space="0" w:color="auto"/>
        <w:bottom w:val="none" w:sz="0" w:space="0" w:color="auto"/>
        <w:right w:val="none" w:sz="0" w:space="0" w:color="auto"/>
      </w:divBdr>
    </w:div>
    <w:div w:id="212808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A3C043-4D4B-4674-A1B6-CF8F2F857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47</Pages>
  <Words>13525</Words>
  <Characters>77095</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Vice President - BSA Officer</vt:lpstr>
    </vt:vector>
  </TitlesOfParts>
  <Company/>
  <LinksUpToDate>false</LinksUpToDate>
  <CharactersWithSpaces>90440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Vice President - BSA Officer</dc:title>
  <dc:subject>BSA AML OFAC Risk Assessments</dc:subject>
  <dc:creator>Jason E. Wallace</dc:creator>
  <cp:lastModifiedBy>Jason Wallace</cp:lastModifiedBy>
  <cp:revision>2</cp:revision>
  <cp:lastPrinted>2015-09-18T15:50:00Z</cp:lastPrinted>
  <dcterms:created xsi:type="dcterms:W3CDTF">2024-01-12T17:41:00Z</dcterms:created>
  <dcterms:modified xsi:type="dcterms:W3CDTF">2024-01-12T17:41:00Z</dcterms:modified>
</cp:coreProperties>
</file>