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6082B" w14:textId="77777777" w:rsidR="000E0846" w:rsidRDefault="000E0846" w:rsidP="000E0846">
      <w:pPr>
        <w:pStyle w:val="NoSpacing"/>
        <w:jc w:val="center"/>
        <w:rPr>
          <w:rFonts w:asciiTheme="minorHAnsi" w:hAnsiTheme="minorHAnsi" w:cstheme="minorHAnsi"/>
          <w:b/>
          <w:sz w:val="96"/>
          <w:szCs w:val="32"/>
        </w:rPr>
      </w:pPr>
    </w:p>
    <w:p w14:paraId="53A41BDB" w14:textId="77777777" w:rsidR="000E0846" w:rsidRDefault="000E0846" w:rsidP="000E0846">
      <w:pPr>
        <w:pStyle w:val="NoSpacing"/>
        <w:jc w:val="center"/>
        <w:rPr>
          <w:rFonts w:asciiTheme="minorHAnsi" w:hAnsiTheme="minorHAnsi" w:cstheme="minorHAnsi"/>
          <w:b/>
          <w:sz w:val="96"/>
          <w:szCs w:val="32"/>
        </w:rPr>
      </w:pPr>
    </w:p>
    <w:p w14:paraId="59CD9047" w14:textId="77777777" w:rsidR="000E0846" w:rsidRPr="00BF120C" w:rsidRDefault="000E0846" w:rsidP="000E0846">
      <w:pPr>
        <w:pStyle w:val="NoSpacing"/>
        <w:jc w:val="center"/>
        <w:rPr>
          <w:rFonts w:asciiTheme="minorHAnsi" w:hAnsiTheme="minorHAnsi" w:cstheme="minorHAnsi"/>
          <w:b/>
          <w:sz w:val="36"/>
          <w:szCs w:val="36"/>
        </w:rPr>
      </w:pPr>
      <w:r w:rsidRPr="005255CF">
        <w:rPr>
          <w:rFonts w:asciiTheme="minorHAnsi" w:hAnsiTheme="minorHAnsi" w:cstheme="minorHAnsi"/>
          <w:b/>
          <w:sz w:val="96"/>
          <w:szCs w:val="32"/>
        </w:rPr>
        <w:t>“Insert Company Here”</w:t>
      </w:r>
      <w:r>
        <w:rPr>
          <w:rFonts w:cstheme="minorHAnsi"/>
          <w:b/>
          <w:sz w:val="96"/>
          <w:szCs w:val="32"/>
        </w:rPr>
        <w:br/>
      </w:r>
      <w:r>
        <w:rPr>
          <w:rFonts w:asciiTheme="minorHAnsi" w:hAnsiTheme="minorHAnsi" w:cstheme="minorHAnsi"/>
          <w:b/>
          <w:sz w:val="36"/>
          <w:szCs w:val="36"/>
        </w:rPr>
        <w:br/>
      </w:r>
      <w:r>
        <w:rPr>
          <w:rFonts w:asciiTheme="minorHAnsi" w:hAnsiTheme="minorHAnsi" w:cstheme="minorHAnsi"/>
          <w:b/>
          <w:sz w:val="36"/>
          <w:szCs w:val="36"/>
        </w:rPr>
        <w:br/>
      </w:r>
      <w:r>
        <w:rPr>
          <w:rFonts w:asciiTheme="minorHAnsi" w:hAnsiTheme="minorHAnsi" w:cstheme="minorHAnsi"/>
          <w:b/>
          <w:sz w:val="36"/>
          <w:szCs w:val="36"/>
        </w:rPr>
        <w:br/>
      </w:r>
      <w:r>
        <w:rPr>
          <w:rFonts w:asciiTheme="minorHAnsi" w:hAnsiTheme="minorHAnsi" w:cstheme="minorHAnsi"/>
          <w:b/>
          <w:sz w:val="36"/>
          <w:szCs w:val="36"/>
        </w:rPr>
        <w:br/>
        <w:t>Identity Theft and Red Flags Policy</w:t>
      </w:r>
    </w:p>
    <w:p w14:paraId="3E24C6F7" w14:textId="77777777" w:rsidR="000E0846" w:rsidRPr="00BF120C" w:rsidRDefault="000E0846" w:rsidP="000E0846">
      <w:pPr>
        <w:jc w:val="center"/>
        <w:rPr>
          <w:rFonts w:eastAsia="Calibri" w:cstheme="minorHAnsi"/>
          <w:sz w:val="24"/>
          <w:szCs w:val="24"/>
        </w:rPr>
      </w:pPr>
      <w:r w:rsidRPr="00BF120C">
        <w:rPr>
          <w:rFonts w:eastAsia="Calibri" w:cstheme="minorHAnsi"/>
          <w:sz w:val="24"/>
          <w:szCs w:val="24"/>
        </w:rPr>
        <w:t xml:space="preserve">Effective Date: </w:t>
      </w:r>
      <w:r>
        <w:rPr>
          <w:rFonts w:eastAsia="Calibri" w:cstheme="minorHAnsi"/>
          <w:sz w:val="24"/>
          <w:szCs w:val="24"/>
        </w:rPr>
        <w:t>XXXXXX, XX, XXXX</w:t>
      </w:r>
    </w:p>
    <w:p w14:paraId="23F1BD09" w14:textId="77777777" w:rsidR="000E0846" w:rsidRDefault="000E0846"/>
    <w:p w14:paraId="0BEDCACE" w14:textId="77777777" w:rsidR="000E0846" w:rsidRDefault="000E0846">
      <w:pPr>
        <w:spacing w:before="0" w:after="160" w:line="259" w:lineRule="auto"/>
      </w:pPr>
      <w:r>
        <w:br w:type="page"/>
      </w:r>
    </w:p>
    <w:p w14:paraId="3C89EDB8" w14:textId="77777777" w:rsidR="000E0846" w:rsidRDefault="000E0846" w:rsidP="000E0846">
      <w:pPr>
        <w:pStyle w:val="NoSpacing"/>
        <w:jc w:val="center"/>
        <w:rPr>
          <w:rFonts w:asciiTheme="minorHAnsi" w:hAnsiTheme="minorHAnsi" w:cstheme="minorHAnsi"/>
          <w:b/>
          <w:sz w:val="36"/>
          <w:szCs w:val="36"/>
        </w:rPr>
      </w:pPr>
    </w:p>
    <w:p w14:paraId="12717E1E" w14:textId="77777777" w:rsidR="000E0846" w:rsidRPr="00820EEA" w:rsidRDefault="000E0846" w:rsidP="000E0846">
      <w:pPr>
        <w:spacing w:before="0" w:after="0" w:line="240" w:lineRule="auto"/>
        <w:jc w:val="center"/>
        <w:rPr>
          <w:rFonts w:ascii="Calibri" w:eastAsia="Calibri" w:hAnsi="Calibri" w:cs="Calibri"/>
          <w:b/>
          <w:sz w:val="28"/>
          <w:szCs w:val="24"/>
        </w:rPr>
      </w:pPr>
      <w:r>
        <w:rPr>
          <w:rFonts w:ascii="Calibri" w:eastAsia="Calibri" w:hAnsi="Calibri" w:cs="Calibri"/>
          <w:b/>
          <w:sz w:val="28"/>
          <w:szCs w:val="24"/>
        </w:rPr>
        <w:t>TABLE OF CONTENTS</w:t>
      </w:r>
    </w:p>
    <w:p w14:paraId="2700094F" w14:textId="77777777" w:rsidR="000E0846" w:rsidRDefault="000E0846" w:rsidP="000E0846">
      <w:pPr>
        <w:pStyle w:val="TOC1"/>
        <w:tabs>
          <w:tab w:val="left" w:pos="440"/>
          <w:tab w:val="right" w:leader="underscore" w:pos="9350"/>
        </w:tabs>
        <w:rPr>
          <w:rFonts w:eastAsiaTheme="minorEastAsia" w:cstheme="minorBidi"/>
          <w:b w:val="0"/>
          <w:bCs w:val="0"/>
          <w:i w:val="0"/>
          <w:iCs w:val="0"/>
          <w:noProof/>
          <w:color w:val="auto"/>
          <w:sz w:val="22"/>
          <w:szCs w:val="22"/>
        </w:rPr>
      </w:pPr>
      <w:r w:rsidRPr="005F3AEB">
        <w:rPr>
          <w:rFonts w:ascii="Calibri" w:eastAsia="Calibri" w:hAnsi="Calibri" w:cs="Calibri"/>
          <w:b w:val="0"/>
          <w:bCs w:val="0"/>
          <w:i w:val="0"/>
          <w:iCs w:val="0"/>
        </w:rPr>
        <w:fldChar w:fldCharType="begin"/>
      </w:r>
      <w:r w:rsidRPr="005F3AEB">
        <w:rPr>
          <w:rFonts w:ascii="Calibri" w:eastAsia="Calibri" w:hAnsi="Calibri" w:cs="Calibri"/>
          <w:b w:val="0"/>
          <w:bCs w:val="0"/>
          <w:i w:val="0"/>
          <w:iCs w:val="0"/>
        </w:rPr>
        <w:instrText xml:space="preserve"> TOC \o "1-2" \u </w:instrText>
      </w:r>
      <w:r w:rsidRPr="005F3AEB">
        <w:rPr>
          <w:rFonts w:ascii="Calibri" w:eastAsia="Calibri" w:hAnsi="Calibri" w:cs="Calibri"/>
          <w:b w:val="0"/>
          <w:bCs w:val="0"/>
          <w:i w:val="0"/>
          <w:iCs w:val="0"/>
        </w:rPr>
        <w:fldChar w:fldCharType="separate"/>
      </w:r>
      <w:r>
        <w:rPr>
          <w:noProof/>
        </w:rPr>
        <w:t>1.</w:t>
      </w:r>
      <w:r>
        <w:rPr>
          <w:rFonts w:eastAsiaTheme="minorEastAsia" w:cstheme="minorBidi"/>
          <w:b w:val="0"/>
          <w:bCs w:val="0"/>
          <w:i w:val="0"/>
          <w:iCs w:val="0"/>
          <w:noProof/>
          <w:color w:val="auto"/>
          <w:sz w:val="22"/>
          <w:szCs w:val="22"/>
        </w:rPr>
        <w:tab/>
      </w:r>
      <w:r>
        <w:rPr>
          <w:noProof/>
        </w:rPr>
        <w:t>OVERVIEW</w:t>
      </w:r>
      <w:r>
        <w:rPr>
          <w:noProof/>
        </w:rPr>
        <w:tab/>
      </w:r>
      <w:r>
        <w:rPr>
          <w:noProof/>
        </w:rPr>
        <w:fldChar w:fldCharType="begin"/>
      </w:r>
      <w:r>
        <w:rPr>
          <w:noProof/>
        </w:rPr>
        <w:instrText xml:space="preserve"> PAGEREF _Toc28847610 \h </w:instrText>
      </w:r>
      <w:r>
        <w:rPr>
          <w:noProof/>
        </w:rPr>
      </w:r>
      <w:r>
        <w:rPr>
          <w:noProof/>
        </w:rPr>
        <w:fldChar w:fldCharType="separate"/>
      </w:r>
      <w:r>
        <w:rPr>
          <w:noProof/>
        </w:rPr>
        <w:t>3</w:t>
      </w:r>
      <w:r>
        <w:rPr>
          <w:noProof/>
        </w:rPr>
        <w:fldChar w:fldCharType="end"/>
      </w:r>
    </w:p>
    <w:p w14:paraId="4771EF52" w14:textId="77777777" w:rsidR="000E0846" w:rsidRDefault="000E0846" w:rsidP="000E0846">
      <w:pPr>
        <w:pStyle w:val="TOC2"/>
        <w:rPr>
          <w:rFonts w:eastAsiaTheme="minorEastAsia" w:cstheme="minorBidi"/>
          <w:bCs w:val="0"/>
          <w:color w:val="auto"/>
        </w:rPr>
      </w:pPr>
      <w:r>
        <w:t>1.1</w:t>
      </w:r>
      <w:r>
        <w:rPr>
          <w:rFonts w:eastAsiaTheme="minorEastAsia" w:cstheme="minorBidi"/>
          <w:bCs w:val="0"/>
          <w:color w:val="auto"/>
        </w:rPr>
        <w:tab/>
      </w:r>
      <w:r>
        <w:t>Policy Overview</w:t>
      </w:r>
      <w:r>
        <w:tab/>
      </w:r>
      <w:r>
        <w:fldChar w:fldCharType="begin"/>
      </w:r>
      <w:r>
        <w:instrText xml:space="preserve"> PAGEREF _Toc28847611 \h </w:instrText>
      </w:r>
      <w:r>
        <w:fldChar w:fldCharType="separate"/>
      </w:r>
      <w:r>
        <w:t>3</w:t>
      </w:r>
      <w:r>
        <w:fldChar w:fldCharType="end"/>
      </w:r>
    </w:p>
    <w:p w14:paraId="78F6EB89" w14:textId="77777777" w:rsidR="000E0846" w:rsidRDefault="000E0846" w:rsidP="000E0846">
      <w:pPr>
        <w:pStyle w:val="TOC2"/>
        <w:rPr>
          <w:rFonts w:eastAsiaTheme="minorEastAsia" w:cstheme="minorBidi"/>
          <w:bCs w:val="0"/>
          <w:color w:val="auto"/>
        </w:rPr>
      </w:pPr>
      <w:r>
        <w:t>1.2</w:t>
      </w:r>
      <w:r>
        <w:rPr>
          <w:rFonts w:eastAsiaTheme="minorEastAsia" w:cstheme="minorBidi"/>
          <w:bCs w:val="0"/>
          <w:color w:val="auto"/>
        </w:rPr>
        <w:tab/>
      </w:r>
      <w:r>
        <w:t>Purpose</w:t>
      </w:r>
      <w:r>
        <w:tab/>
      </w:r>
      <w:r>
        <w:fldChar w:fldCharType="begin"/>
      </w:r>
      <w:r>
        <w:instrText xml:space="preserve"> PAGEREF _Toc28847612 \h </w:instrText>
      </w:r>
      <w:r>
        <w:fldChar w:fldCharType="separate"/>
      </w:r>
      <w:r>
        <w:t>3</w:t>
      </w:r>
      <w:r>
        <w:fldChar w:fldCharType="end"/>
      </w:r>
    </w:p>
    <w:p w14:paraId="33B6E34D" w14:textId="77777777" w:rsidR="000E0846" w:rsidRDefault="000E0846" w:rsidP="000E0846">
      <w:pPr>
        <w:pStyle w:val="TOC2"/>
        <w:rPr>
          <w:rFonts w:eastAsiaTheme="minorEastAsia" w:cstheme="minorBidi"/>
          <w:bCs w:val="0"/>
          <w:color w:val="auto"/>
        </w:rPr>
      </w:pPr>
      <w:r>
        <w:t>1.3</w:t>
      </w:r>
      <w:r>
        <w:rPr>
          <w:rFonts w:eastAsiaTheme="minorEastAsia" w:cstheme="minorBidi"/>
          <w:bCs w:val="0"/>
          <w:color w:val="auto"/>
        </w:rPr>
        <w:tab/>
      </w:r>
      <w:r>
        <w:t>Scope</w:t>
      </w:r>
      <w:r>
        <w:tab/>
      </w:r>
      <w:r>
        <w:fldChar w:fldCharType="begin"/>
      </w:r>
      <w:r>
        <w:instrText xml:space="preserve"> PAGEREF _Toc28847613 \h </w:instrText>
      </w:r>
      <w:r>
        <w:fldChar w:fldCharType="separate"/>
      </w:r>
      <w:r>
        <w:t>3</w:t>
      </w:r>
      <w:r>
        <w:fldChar w:fldCharType="end"/>
      </w:r>
    </w:p>
    <w:p w14:paraId="0A3AD69F" w14:textId="77777777" w:rsidR="000E0846" w:rsidRDefault="000E0846" w:rsidP="000E0846">
      <w:pPr>
        <w:pStyle w:val="TOC2"/>
        <w:rPr>
          <w:rFonts w:eastAsiaTheme="minorEastAsia" w:cstheme="minorBidi"/>
          <w:bCs w:val="0"/>
          <w:color w:val="auto"/>
        </w:rPr>
      </w:pPr>
      <w:r>
        <w:t>1.4</w:t>
      </w:r>
      <w:r>
        <w:rPr>
          <w:rFonts w:eastAsiaTheme="minorEastAsia" w:cstheme="minorBidi"/>
          <w:bCs w:val="0"/>
          <w:color w:val="auto"/>
        </w:rPr>
        <w:tab/>
      </w:r>
      <w:r>
        <w:t>Related Documents</w:t>
      </w:r>
      <w:r>
        <w:tab/>
      </w:r>
      <w:r>
        <w:fldChar w:fldCharType="begin"/>
      </w:r>
      <w:r>
        <w:instrText xml:space="preserve"> PAGEREF _Toc28847614 \h </w:instrText>
      </w:r>
      <w:r>
        <w:fldChar w:fldCharType="separate"/>
      </w:r>
      <w:r>
        <w:t>4</w:t>
      </w:r>
      <w:r>
        <w:fldChar w:fldCharType="end"/>
      </w:r>
    </w:p>
    <w:p w14:paraId="0E48367B" w14:textId="77777777" w:rsidR="000E0846" w:rsidRDefault="000E0846" w:rsidP="000E0846">
      <w:pPr>
        <w:pStyle w:val="TOC1"/>
        <w:tabs>
          <w:tab w:val="left" w:pos="440"/>
          <w:tab w:val="right" w:leader="underscore" w:pos="9350"/>
        </w:tabs>
        <w:rPr>
          <w:rFonts w:eastAsiaTheme="minorEastAsia" w:cstheme="minorBidi"/>
          <w:b w:val="0"/>
          <w:bCs w:val="0"/>
          <w:i w:val="0"/>
          <w:iCs w:val="0"/>
          <w:noProof/>
          <w:color w:val="auto"/>
          <w:sz w:val="22"/>
          <w:szCs w:val="22"/>
        </w:rPr>
      </w:pPr>
      <w:r>
        <w:rPr>
          <w:noProof/>
        </w:rPr>
        <w:t>2.</w:t>
      </w:r>
      <w:r>
        <w:rPr>
          <w:rFonts w:eastAsiaTheme="minorEastAsia" w:cstheme="minorBidi"/>
          <w:b w:val="0"/>
          <w:bCs w:val="0"/>
          <w:i w:val="0"/>
          <w:iCs w:val="0"/>
          <w:noProof/>
          <w:color w:val="auto"/>
          <w:sz w:val="22"/>
          <w:szCs w:val="22"/>
        </w:rPr>
        <w:tab/>
      </w:r>
      <w:r>
        <w:rPr>
          <w:noProof/>
        </w:rPr>
        <w:t>DEFINITIONS</w:t>
      </w:r>
      <w:r>
        <w:rPr>
          <w:noProof/>
        </w:rPr>
        <w:tab/>
      </w:r>
      <w:r>
        <w:rPr>
          <w:noProof/>
        </w:rPr>
        <w:fldChar w:fldCharType="begin"/>
      </w:r>
      <w:r>
        <w:rPr>
          <w:noProof/>
        </w:rPr>
        <w:instrText xml:space="preserve"> PAGEREF _Toc28847615 \h </w:instrText>
      </w:r>
      <w:r>
        <w:rPr>
          <w:noProof/>
        </w:rPr>
      </w:r>
      <w:r>
        <w:rPr>
          <w:noProof/>
        </w:rPr>
        <w:fldChar w:fldCharType="separate"/>
      </w:r>
      <w:r>
        <w:rPr>
          <w:noProof/>
        </w:rPr>
        <w:t>4</w:t>
      </w:r>
      <w:r>
        <w:rPr>
          <w:noProof/>
        </w:rPr>
        <w:fldChar w:fldCharType="end"/>
      </w:r>
    </w:p>
    <w:p w14:paraId="035EC050" w14:textId="77777777" w:rsidR="000E0846" w:rsidRDefault="000E0846" w:rsidP="000E0846">
      <w:pPr>
        <w:pStyle w:val="TOC1"/>
        <w:tabs>
          <w:tab w:val="left" w:pos="440"/>
          <w:tab w:val="right" w:leader="underscore" w:pos="9350"/>
        </w:tabs>
        <w:rPr>
          <w:rFonts w:eastAsiaTheme="minorEastAsia" w:cstheme="minorBidi"/>
          <w:b w:val="0"/>
          <w:bCs w:val="0"/>
          <w:i w:val="0"/>
          <w:iCs w:val="0"/>
          <w:noProof/>
          <w:color w:val="auto"/>
          <w:sz w:val="22"/>
          <w:szCs w:val="22"/>
        </w:rPr>
      </w:pPr>
      <w:r>
        <w:rPr>
          <w:noProof/>
        </w:rPr>
        <w:t>3.</w:t>
      </w:r>
      <w:r>
        <w:rPr>
          <w:rFonts w:eastAsiaTheme="minorEastAsia" w:cstheme="minorBidi"/>
          <w:b w:val="0"/>
          <w:bCs w:val="0"/>
          <w:i w:val="0"/>
          <w:iCs w:val="0"/>
          <w:noProof/>
          <w:color w:val="auto"/>
          <w:sz w:val="22"/>
          <w:szCs w:val="22"/>
        </w:rPr>
        <w:tab/>
      </w:r>
      <w:r>
        <w:rPr>
          <w:noProof/>
        </w:rPr>
        <w:t>REQUIREMENTS</w:t>
      </w:r>
      <w:r>
        <w:rPr>
          <w:noProof/>
        </w:rPr>
        <w:tab/>
      </w:r>
      <w:r>
        <w:rPr>
          <w:noProof/>
        </w:rPr>
        <w:fldChar w:fldCharType="begin"/>
      </w:r>
      <w:r>
        <w:rPr>
          <w:noProof/>
        </w:rPr>
        <w:instrText xml:space="preserve"> PAGEREF _Toc28847616 \h </w:instrText>
      </w:r>
      <w:r>
        <w:rPr>
          <w:noProof/>
        </w:rPr>
      </w:r>
      <w:r>
        <w:rPr>
          <w:noProof/>
        </w:rPr>
        <w:fldChar w:fldCharType="separate"/>
      </w:r>
      <w:r>
        <w:rPr>
          <w:noProof/>
        </w:rPr>
        <w:t>5</w:t>
      </w:r>
      <w:r>
        <w:rPr>
          <w:noProof/>
        </w:rPr>
        <w:fldChar w:fldCharType="end"/>
      </w:r>
    </w:p>
    <w:p w14:paraId="6504764E" w14:textId="77777777" w:rsidR="000E0846" w:rsidRDefault="000E0846" w:rsidP="000E0846">
      <w:pPr>
        <w:pStyle w:val="TOC2"/>
        <w:rPr>
          <w:rFonts w:eastAsiaTheme="minorEastAsia" w:cstheme="minorBidi"/>
          <w:bCs w:val="0"/>
          <w:color w:val="auto"/>
        </w:rPr>
      </w:pPr>
      <w:r>
        <w:t>3.1</w:t>
      </w:r>
      <w:r>
        <w:rPr>
          <w:rFonts w:eastAsiaTheme="minorEastAsia" w:cstheme="minorBidi"/>
          <w:bCs w:val="0"/>
          <w:color w:val="auto"/>
        </w:rPr>
        <w:tab/>
      </w:r>
      <w:r>
        <w:t>Program requirements</w:t>
      </w:r>
      <w:r>
        <w:tab/>
      </w:r>
      <w:r>
        <w:fldChar w:fldCharType="begin"/>
      </w:r>
      <w:r>
        <w:instrText xml:space="preserve"> PAGEREF _Toc28847617 \h </w:instrText>
      </w:r>
      <w:r>
        <w:fldChar w:fldCharType="separate"/>
      </w:r>
      <w:r>
        <w:t>5</w:t>
      </w:r>
      <w:r>
        <w:fldChar w:fldCharType="end"/>
      </w:r>
    </w:p>
    <w:p w14:paraId="773B85D8" w14:textId="77777777" w:rsidR="000E0846" w:rsidRDefault="000E0846" w:rsidP="000E0846">
      <w:pPr>
        <w:pStyle w:val="TOC2"/>
        <w:rPr>
          <w:rFonts w:eastAsiaTheme="minorEastAsia" w:cstheme="minorBidi"/>
          <w:bCs w:val="0"/>
          <w:color w:val="auto"/>
        </w:rPr>
      </w:pPr>
      <w:r>
        <w:t>3.2</w:t>
      </w:r>
      <w:r>
        <w:rPr>
          <w:rFonts w:eastAsiaTheme="minorEastAsia" w:cstheme="minorBidi"/>
          <w:bCs w:val="0"/>
          <w:color w:val="auto"/>
        </w:rPr>
        <w:tab/>
      </w:r>
      <w:r>
        <w:t>Training</w:t>
      </w:r>
      <w:r>
        <w:tab/>
      </w:r>
      <w:r>
        <w:fldChar w:fldCharType="begin"/>
      </w:r>
      <w:r>
        <w:instrText xml:space="preserve"> PAGEREF _Toc28847618 \h </w:instrText>
      </w:r>
      <w:r>
        <w:fldChar w:fldCharType="separate"/>
      </w:r>
      <w:r>
        <w:t>6</w:t>
      </w:r>
      <w:r>
        <w:fldChar w:fldCharType="end"/>
      </w:r>
    </w:p>
    <w:p w14:paraId="418AA4CF" w14:textId="77777777" w:rsidR="000E0846" w:rsidRDefault="000E0846" w:rsidP="000E0846">
      <w:pPr>
        <w:pStyle w:val="TOC2"/>
        <w:rPr>
          <w:rFonts w:eastAsiaTheme="minorEastAsia" w:cstheme="minorBidi"/>
          <w:bCs w:val="0"/>
          <w:color w:val="auto"/>
        </w:rPr>
      </w:pPr>
      <w:r>
        <w:t>3.3</w:t>
      </w:r>
      <w:r>
        <w:rPr>
          <w:rFonts w:eastAsiaTheme="minorEastAsia" w:cstheme="minorBidi"/>
          <w:bCs w:val="0"/>
          <w:color w:val="auto"/>
        </w:rPr>
        <w:tab/>
      </w:r>
      <w:r>
        <w:t>Monitoring and testing</w:t>
      </w:r>
      <w:r>
        <w:tab/>
      </w:r>
      <w:r>
        <w:fldChar w:fldCharType="begin"/>
      </w:r>
      <w:r>
        <w:instrText xml:space="preserve"> PAGEREF _Toc28847619 \h </w:instrText>
      </w:r>
      <w:r>
        <w:fldChar w:fldCharType="separate"/>
      </w:r>
      <w:r>
        <w:t>7</w:t>
      </w:r>
      <w:r>
        <w:fldChar w:fldCharType="end"/>
      </w:r>
    </w:p>
    <w:p w14:paraId="7EE15E0E" w14:textId="77777777" w:rsidR="000E0846" w:rsidRDefault="000E0846" w:rsidP="000E0846">
      <w:pPr>
        <w:pStyle w:val="TOC2"/>
        <w:rPr>
          <w:rFonts w:eastAsiaTheme="minorEastAsia" w:cstheme="minorBidi"/>
          <w:bCs w:val="0"/>
          <w:color w:val="auto"/>
        </w:rPr>
      </w:pPr>
      <w:r>
        <w:t>3.4</w:t>
      </w:r>
      <w:r>
        <w:rPr>
          <w:rFonts w:eastAsiaTheme="minorEastAsia" w:cstheme="minorBidi"/>
          <w:bCs w:val="0"/>
          <w:color w:val="auto"/>
        </w:rPr>
        <w:tab/>
      </w:r>
      <w:r>
        <w:t>Issue Management</w:t>
      </w:r>
      <w:r>
        <w:tab/>
      </w:r>
      <w:r>
        <w:fldChar w:fldCharType="begin"/>
      </w:r>
      <w:r>
        <w:instrText xml:space="preserve"> PAGEREF _Toc28847620 \h </w:instrText>
      </w:r>
      <w:r>
        <w:fldChar w:fldCharType="separate"/>
      </w:r>
      <w:r>
        <w:t>7</w:t>
      </w:r>
      <w:r>
        <w:fldChar w:fldCharType="end"/>
      </w:r>
    </w:p>
    <w:p w14:paraId="26E23C85" w14:textId="77777777" w:rsidR="000E0846" w:rsidRDefault="000E0846" w:rsidP="000E0846">
      <w:pPr>
        <w:pStyle w:val="TOC2"/>
        <w:rPr>
          <w:rFonts w:eastAsiaTheme="minorEastAsia" w:cstheme="minorBidi"/>
          <w:bCs w:val="0"/>
          <w:color w:val="auto"/>
        </w:rPr>
      </w:pPr>
      <w:r>
        <w:t>3.5</w:t>
      </w:r>
      <w:r>
        <w:rPr>
          <w:rFonts w:eastAsiaTheme="minorEastAsia" w:cstheme="minorBidi"/>
          <w:bCs w:val="0"/>
          <w:color w:val="auto"/>
        </w:rPr>
        <w:tab/>
      </w:r>
      <w:r>
        <w:t>Documentation and Record Retention</w:t>
      </w:r>
      <w:r>
        <w:tab/>
      </w:r>
      <w:r>
        <w:fldChar w:fldCharType="begin"/>
      </w:r>
      <w:r>
        <w:instrText xml:space="preserve"> PAGEREF _Toc28847621 \h </w:instrText>
      </w:r>
      <w:r>
        <w:fldChar w:fldCharType="separate"/>
      </w:r>
      <w:r>
        <w:t>7</w:t>
      </w:r>
      <w:r>
        <w:fldChar w:fldCharType="end"/>
      </w:r>
    </w:p>
    <w:p w14:paraId="5038707D" w14:textId="77777777" w:rsidR="000E0846" w:rsidRDefault="000E0846" w:rsidP="000E0846">
      <w:pPr>
        <w:pStyle w:val="TOC1"/>
        <w:tabs>
          <w:tab w:val="left" w:pos="440"/>
          <w:tab w:val="right" w:leader="underscore" w:pos="9350"/>
        </w:tabs>
        <w:rPr>
          <w:rFonts w:eastAsiaTheme="minorEastAsia" w:cstheme="minorBidi"/>
          <w:b w:val="0"/>
          <w:bCs w:val="0"/>
          <w:i w:val="0"/>
          <w:iCs w:val="0"/>
          <w:noProof/>
          <w:color w:val="auto"/>
          <w:sz w:val="22"/>
          <w:szCs w:val="22"/>
        </w:rPr>
      </w:pPr>
      <w:r>
        <w:rPr>
          <w:noProof/>
        </w:rPr>
        <w:t>4.</w:t>
      </w:r>
      <w:r>
        <w:rPr>
          <w:rFonts w:eastAsiaTheme="minorEastAsia" w:cstheme="minorBidi"/>
          <w:b w:val="0"/>
          <w:bCs w:val="0"/>
          <w:i w:val="0"/>
          <w:iCs w:val="0"/>
          <w:noProof/>
          <w:color w:val="auto"/>
          <w:sz w:val="22"/>
          <w:szCs w:val="22"/>
        </w:rPr>
        <w:tab/>
      </w:r>
      <w:r>
        <w:rPr>
          <w:noProof/>
        </w:rPr>
        <w:t>ROLES AND RESPONSIBILITIES</w:t>
      </w:r>
      <w:r>
        <w:rPr>
          <w:noProof/>
        </w:rPr>
        <w:tab/>
      </w:r>
      <w:r>
        <w:rPr>
          <w:noProof/>
        </w:rPr>
        <w:fldChar w:fldCharType="begin"/>
      </w:r>
      <w:r>
        <w:rPr>
          <w:noProof/>
        </w:rPr>
        <w:instrText xml:space="preserve"> PAGEREF _Toc28847622 \h </w:instrText>
      </w:r>
      <w:r>
        <w:rPr>
          <w:noProof/>
        </w:rPr>
      </w:r>
      <w:r>
        <w:rPr>
          <w:noProof/>
        </w:rPr>
        <w:fldChar w:fldCharType="separate"/>
      </w:r>
      <w:r>
        <w:rPr>
          <w:noProof/>
        </w:rPr>
        <w:t>7</w:t>
      </w:r>
      <w:r>
        <w:rPr>
          <w:noProof/>
        </w:rPr>
        <w:fldChar w:fldCharType="end"/>
      </w:r>
    </w:p>
    <w:p w14:paraId="204051C4" w14:textId="77777777" w:rsidR="000E0846" w:rsidRDefault="000E0846" w:rsidP="000E0846">
      <w:pPr>
        <w:pStyle w:val="TOC1"/>
        <w:tabs>
          <w:tab w:val="left" w:pos="440"/>
          <w:tab w:val="right" w:leader="underscore" w:pos="9350"/>
        </w:tabs>
        <w:rPr>
          <w:rFonts w:eastAsiaTheme="minorEastAsia" w:cstheme="minorBidi"/>
          <w:b w:val="0"/>
          <w:bCs w:val="0"/>
          <w:i w:val="0"/>
          <w:iCs w:val="0"/>
          <w:noProof/>
          <w:color w:val="auto"/>
          <w:sz w:val="22"/>
          <w:szCs w:val="22"/>
        </w:rPr>
      </w:pPr>
      <w:r>
        <w:rPr>
          <w:noProof/>
        </w:rPr>
        <w:t>5.</w:t>
      </w:r>
      <w:r>
        <w:rPr>
          <w:rFonts w:eastAsiaTheme="minorEastAsia" w:cstheme="minorBidi"/>
          <w:b w:val="0"/>
          <w:bCs w:val="0"/>
          <w:i w:val="0"/>
          <w:iCs w:val="0"/>
          <w:noProof/>
          <w:color w:val="auto"/>
          <w:sz w:val="22"/>
          <w:szCs w:val="22"/>
        </w:rPr>
        <w:tab/>
      </w:r>
      <w:r>
        <w:rPr>
          <w:noProof/>
        </w:rPr>
        <w:t>EXCEPTIONS</w:t>
      </w:r>
      <w:r>
        <w:rPr>
          <w:noProof/>
        </w:rPr>
        <w:tab/>
      </w:r>
      <w:r>
        <w:rPr>
          <w:noProof/>
        </w:rPr>
        <w:fldChar w:fldCharType="begin"/>
      </w:r>
      <w:r>
        <w:rPr>
          <w:noProof/>
        </w:rPr>
        <w:instrText xml:space="preserve"> PAGEREF _Toc28847623 \h </w:instrText>
      </w:r>
      <w:r>
        <w:rPr>
          <w:noProof/>
        </w:rPr>
      </w:r>
      <w:r>
        <w:rPr>
          <w:noProof/>
        </w:rPr>
        <w:fldChar w:fldCharType="separate"/>
      </w:r>
      <w:r>
        <w:rPr>
          <w:noProof/>
        </w:rPr>
        <w:t>8</w:t>
      </w:r>
      <w:r>
        <w:rPr>
          <w:noProof/>
        </w:rPr>
        <w:fldChar w:fldCharType="end"/>
      </w:r>
    </w:p>
    <w:p w14:paraId="5E8D8453" w14:textId="77777777" w:rsidR="000E0846" w:rsidRDefault="000E0846" w:rsidP="000E0846">
      <w:pPr>
        <w:pStyle w:val="TOC1"/>
        <w:tabs>
          <w:tab w:val="left" w:pos="440"/>
          <w:tab w:val="right" w:leader="underscore" w:pos="9350"/>
        </w:tabs>
        <w:rPr>
          <w:rFonts w:eastAsiaTheme="minorEastAsia" w:cstheme="minorBidi"/>
          <w:b w:val="0"/>
          <w:bCs w:val="0"/>
          <w:i w:val="0"/>
          <w:iCs w:val="0"/>
          <w:noProof/>
          <w:color w:val="auto"/>
          <w:sz w:val="22"/>
          <w:szCs w:val="22"/>
        </w:rPr>
      </w:pPr>
      <w:r>
        <w:rPr>
          <w:noProof/>
        </w:rPr>
        <w:t>6.</w:t>
      </w:r>
      <w:r>
        <w:rPr>
          <w:rFonts w:eastAsiaTheme="minorEastAsia" w:cstheme="minorBidi"/>
          <w:b w:val="0"/>
          <w:bCs w:val="0"/>
          <w:i w:val="0"/>
          <w:iCs w:val="0"/>
          <w:noProof/>
          <w:color w:val="auto"/>
          <w:sz w:val="22"/>
          <w:szCs w:val="22"/>
        </w:rPr>
        <w:tab/>
      </w:r>
      <w:r>
        <w:rPr>
          <w:noProof/>
        </w:rPr>
        <w:t>POLICY ADMINISTRATION</w:t>
      </w:r>
      <w:r>
        <w:rPr>
          <w:noProof/>
        </w:rPr>
        <w:tab/>
      </w:r>
      <w:r>
        <w:rPr>
          <w:noProof/>
        </w:rPr>
        <w:fldChar w:fldCharType="begin"/>
      </w:r>
      <w:r>
        <w:rPr>
          <w:noProof/>
        </w:rPr>
        <w:instrText xml:space="preserve"> PAGEREF _Toc28847624 \h </w:instrText>
      </w:r>
      <w:r>
        <w:rPr>
          <w:noProof/>
        </w:rPr>
      </w:r>
      <w:r>
        <w:rPr>
          <w:noProof/>
        </w:rPr>
        <w:fldChar w:fldCharType="separate"/>
      </w:r>
      <w:r>
        <w:rPr>
          <w:noProof/>
        </w:rPr>
        <w:t>9</w:t>
      </w:r>
      <w:r>
        <w:rPr>
          <w:noProof/>
        </w:rPr>
        <w:fldChar w:fldCharType="end"/>
      </w:r>
    </w:p>
    <w:p w14:paraId="761A3FDD" w14:textId="77777777" w:rsidR="000E0846" w:rsidRDefault="000E0846" w:rsidP="000E0846">
      <w:pPr>
        <w:pStyle w:val="TOC2"/>
        <w:rPr>
          <w:rFonts w:eastAsiaTheme="minorEastAsia" w:cstheme="minorBidi"/>
          <w:bCs w:val="0"/>
          <w:color w:val="auto"/>
        </w:rPr>
      </w:pPr>
      <w:r>
        <w:t>6.1</w:t>
      </w:r>
      <w:r>
        <w:rPr>
          <w:rFonts w:eastAsiaTheme="minorEastAsia" w:cstheme="minorBidi"/>
          <w:bCs w:val="0"/>
          <w:color w:val="auto"/>
        </w:rPr>
        <w:tab/>
      </w:r>
      <w:r>
        <w:t>Effective Date</w:t>
      </w:r>
      <w:r>
        <w:tab/>
      </w:r>
      <w:r>
        <w:fldChar w:fldCharType="begin"/>
      </w:r>
      <w:r>
        <w:instrText xml:space="preserve"> PAGEREF _Toc28847625 \h </w:instrText>
      </w:r>
      <w:r>
        <w:fldChar w:fldCharType="separate"/>
      </w:r>
      <w:r>
        <w:t>9</w:t>
      </w:r>
      <w:r>
        <w:fldChar w:fldCharType="end"/>
      </w:r>
    </w:p>
    <w:p w14:paraId="6810E7B6" w14:textId="77777777" w:rsidR="000E0846" w:rsidRDefault="000E0846" w:rsidP="000E0846">
      <w:pPr>
        <w:pStyle w:val="TOC2"/>
        <w:rPr>
          <w:rFonts w:eastAsiaTheme="minorEastAsia" w:cstheme="minorBidi"/>
          <w:bCs w:val="0"/>
          <w:color w:val="auto"/>
        </w:rPr>
      </w:pPr>
      <w:r>
        <w:t>6.2</w:t>
      </w:r>
      <w:r>
        <w:rPr>
          <w:rFonts w:eastAsiaTheme="minorEastAsia" w:cstheme="minorBidi"/>
          <w:bCs w:val="0"/>
          <w:color w:val="auto"/>
        </w:rPr>
        <w:tab/>
      </w:r>
      <w:r>
        <w:t>Document Management</w:t>
      </w:r>
      <w:r>
        <w:tab/>
      </w:r>
      <w:r>
        <w:fldChar w:fldCharType="begin"/>
      </w:r>
      <w:r>
        <w:instrText xml:space="preserve"> PAGEREF _Toc28847626 \h </w:instrText>
      </w:r>
      <w:r>
        <w:fldChar w:fldCharType="separate"/>
      </w:r>
      <w:r>
        <w:t>9</w:t>
      </w:r>
      <w:r>
        <w:fldChar w:fldCharType="end"/>
      </w:r>
    </w:p>
    <w:p w14:paraId="6B9616A5" w14:textId="77777777" w:rsidR="000E0846" w:rsidRDefault="000E0846" w:rsidP="000E0846">
      <w:pPr>
        <w:pStyle w:val="TOC2"/>
        <w:rPr>
          <w:rFonts w:eastAsiaTheme="minorEastAsia" w:cstheme="minorBidi"/>
          <w:bCs w:val="0"/>
          <w:color w:val="auto"/>
        </w:rPr>
      </w:pPr>
      <w:r>
        <w:t>6.3</w:t>
      </w:r>
      <w:r>
        <w:rPr>
          <w:rFonts w:eastAsiaTheme="minorEastAsia" w:cstheme="minorBidi"/>
          <w:bCs w:val="0"/>
          <w:color w:val="auto"/>
        </w:rPr>
        <w:tab/>
      </w:r>
      <w:r>
        <w:t>Approval Management</w:t>
      </w:r>
      <w:r>
        <w:tab/>
      </w:r>
      <w:r>
        <w:fldChar w:fldCharType="begin"/>
      </w:r>
      <w:r>
        <w:instrText xml:space="preserve"> PAGEREF _Toc28847627 \h </w:instrText>
      </w:r>
      <w:r>
        <w:fldChar w:fldCharType="separate"/>
      </w:r>
      <w:r>
        <w:t>9</w:t>
      </w:r>
      <w:r>
        <w:fldChar w:fldCharType="end"/>
      </w:r>
    </w:p>
    <w:p w14:paraId="77EF967F" w14:textId="77777777" w:rsidR="000E0846" w:rsidRDefault="000E0846" w:rsidP="000E0846">
      <w:pPr>
        <w:pStyle w:val="Norma"/>
      </w:pPr>
      <w:r w:rsidRPr="005F3AEB">
        <w:fldChar w:fldCharType="end"/>
      </w:r>
      <w:bookmarkStart w:id="0" w:name="_Toc2114439"/>
      <w:bookmarkStart w:id="1" w:name="_Toc2114524"/>
    </w:p>
    <w:p w14:paraId="3D6D8F55" w14:textId="77777777" w:rsidR="000E0846" w:rsidRDefault="000E0846" w:rsidP="000E0846">
      <w:pPr>
        <w:spacing w:before="0" w:after="0" w:line="240" w:lineRule="auto"/>
        <w:rPr>
          <w:rFonts w:ascii="Times New Roman" w:eastAsia="Times New Roman" w:hAnsi="Times New Roman" w:cs="Times New Roman"/>
          <w:b/>
          <w:sz w:val="24"/>
          <w:szCs w:val="24"/>
        </w:rPr>
      </w:pPr>
      <w:r>
        <w:br w:type="page"/>
      </w:r>
    </w:p>
    <w:p w14:paraId="2F2079D6" w14:textId="77777777" w:rsidR="000E0846" w:rsidRPr="0085291C" w:rsidRDefault="000E0846" w:rsidP="000E0846">
      <w:pPr>
        <w:pStyle w:val="Heading1"/>
        <w:spacing w:before="0" w:after="0" w:line="240" w:lineRule="auto"/>
      </w:pPr>
      <w:bookmarkStart w:id="2" w:name="_Toc28847610"/>
      <w:r>
        <w:lastRenderedPageBreak/>
        <w:t>OVERVIEW</w:t>
      </w:r>
      <w:bookmarkEnd w:id="0"/>
      <w:bookmarkEnd w:id="1"/>
      <w:bookmarkEnd w:id="2"/>
    </w:p>
    <w:p w14:paraId="0BEEC4F0" w14:textId="77777777" w:rsidR="000E0846" w:rsidRDefault="000E0846" w:rsidP="000E0846">
      <w:pPr>
        <w:pStyle w:val="Heading2"/>
        <w:numPr>
          <w:ilvl w:val="0"/>
          <w:numId w:val="0"/>
        </w:numPr>
        <w:spacing w:before="0" w:after="0"/>
      </w:pPr>
      <w:bookmarkStart w:id="3" w:name="_Toc2114441"/>
      <w:bookmarkStart w:id="4" w:name="_Toc2114526"/>
    </w:p>
    <w:p w14:paraId="6205D585" w14:textId="77777777" w:rsidR="000E0846" w:rsidRDefault="000E0846" w:rsidP="000E0846">
      <w:pPr>
        <w:pStyle w:val="Heading2"/>
        <w:spacing w:before="0" w:after="0"/>
      </w:pPr>
      <w:bookmarkStart w:id="5" w:name="_Toc28847611"/>
      <w:r>
        <w:t>Policy Overview</w:t>
      </w:r>
      <w:bookmarkEnd w:id="5"/>
    </w:p>
    <w:p w14:paraId="14DD4136" w14:textId="77777777" w:rsidR="000E0846" w:rsidRDefault="000E0846" w:rsidP="000E0846">
      <w:pPr>
        <w:spacing w:before="0" w:after="0" w:line="240" w:lineRule="auto"/>
      </w:pPr>
      <w:r>
        <w:rPr>
          <w:color w:val="00B0F0"/>
        </w:rPr>
        <w:t>[</w:t>
      </w:r>
      <w:r w:rsidRPr="000E0846">
        <w:rPr>
          <w:color w:val="000000" w:themeColor="text1"/>
        </w:rPr>
        <w:t>Insert Company Here</w:t>
      </w:r>
      <w:r>
        <w:rPr>
          <w:color w:val="00B0F0"/>
        </w:rPr>
        <w:t>]</w:t>
      </w:r>
      <w:r w:rsidRPr="000E0846">
        <w:rPr>
          <w:color w:val="00B0F0"/>
        </w:rPr>
        <w:t xml:space="preserve"> </w:t>
      </w:r>
      <w:r>
        <w:t>(“</w:t>
      </w:r>
      <w:r>
        <w:rPr>
          <w:color w:val="00B0F0"/>
        </w:rPr>
        <w:t>[</w:t>
      </w:r>
      <w:r w:rsidRPr="000E0846">
        <w:rPr>
          <w:color w:val="000000" w:themeColor="text1"/>
        </w:rPr>
        <w:t>Insert Company Here</w:t>
      </w:r>
      <w:r>
        <w:rPr>
          <w:color w:val="00B0F0"/>
        </w:rPr>
        <w:t>]</w:t>
      </w:r>
      <w:r>
        <w:t xml:space="preserve">” or the “Company”) is committed to preventing fraudulent use of personally identifiable information on its lending platform. This document (“Policy”) governs the oversight of the Identity Theft Red Flags used by </w:t>
      </w:r>
      <w:r>
        <w:rPr>
          <w:color w:val="00B0F0"/>
        </w:rPr>
        <w:t>[</w:t>
      </w:r>
      <w:r w:rsidRPr="000E0846">
        <w:rPr>
          <w:color w:val="000000" w:themeColor="text1"/>
        </w:rPr>
        <w:t>Insert Company Here</w:t>
      </w:r>
      <w:r>
        <w:rPr>
          <w:color w:val="00B0F0"/>
        </w:rPr>
        <w:t>]</w:t>
      </w:r>
      <w:r w:rsidRPr="000E0846">
        <w:rPr>
          <w:color w:val="00B0F0"/>
        </w:rPr>
        <w:t xml:space="preserve"> </w:t>
      </w:r>
      <w:r>
        <w:t xml:space="preserve">in connection with the lending program with </w:t>
      </w:r>
      <w:r>
        <w:rPr>
          <w:color w:val="00B0F0"/>
        </w:rPr>
        <w:t>[</w:t>
      </w:r>
      <w:r w:rsidRPr="000E0846">
        <w:rPr>
          <w:color w:val="000000" w:themeColor="text1"/>
        </w:rPr>
        <w:t xml:space="preserve">Insert </w:t>
      </w:r>
      <w:r>
        <w:rPr>
          <w:color w:val="000000" w:themeColor="text1"/>
        </w:rPr>
        <w:t>Financial Institution</w:t>
      </w:r>
      <w:r w:rsidRPr="000E0846">
        <w:rPr>
          <w:color w:val="000000" w:themeColor="text1"/>
        </w:rPr>
        <w:t xml:space="preserve"> Here</w:t>
      </w:r>
      <w:r>
        <w:rPr>
          <w:color w:val="00B0F0"/>
        </w:rPr>
        <w:t>]</w:t>
      </w:r>
      <w:r w:rsidRPr="000E0846">
        <w:rPr>
          <w:color w:val="00B0F0"/>
        </w:rPr>
        <w:t xml:space="preserve"> </w:t>
      </w:r>
      <w:r>
        <w:t xml:space="preserve">(“Bank”). This Policy also outlines the practices </w:t>
      </w:r>
      <w:r>
        <w:rPr>
          <w:color w:val="00B0F0"/>
        </w:rPr>
        <w:t>[</w:t>
      </w:r>
      <w:r w:rsidRPr="000E0846">
        <w:rPr>
          <w:color w:val="000000" w:themeColor="text1"/>
        </w:rPr>
        <w:t>Insert Company Here</w:t>
      </w:r>
      <w:r>
        <w:rPr>
          <w:color w:val="00B0F0"/>
        </w:rPr>
        <w:t>]</w:t>
      </w:r>
      <w:r w:rsidRPr="000E0846">
        <w:rPr>
          <w:color w:val="00B0F0"/>
        </w:rPr>
        <w:t xml:space="preserve"> </w:t>
      </w:r>
      <w:r>
        <w:t>uses to detect, prevent and mitigate instances of identity theft.</w:t>
      </w:r>
    </w:p>
    <w:p w14:paraId="071B6BB1" w14:textId="77777777" w:rsidR="000E0846" w:rsidRDefault="000E0846" w:rsidP="000E0846">
      <w:pPr>
        <w:spacing w:before="0" w:after="0" w:line="240" w:lineRule="auto"/>
      </w:pPr>
    </w:p>
    <w:p w14:paraId="41FF2C2F" w14:textId="77777777" w:rsidR="000E0846" w:rsidRDefault="000E0846" w:rsidP="000E0846">
      <w:pPr>
        <w:spacing w:before="0" w:after="0" w:line="240" w:lineRule="auto"/>
      </w:pPr>
      <w:r>
        <w:t>In November 2007, Federal Banking Agencies issued a set of regulations, known as the “Identity Theft Red Flags and Address Discrepancies Rule,” requiring that banks develop and implement written identity theft prevention and detection programs to protect consumers from identity theft. This rule implements sections 114 and 315 of the Fair and Accurate Credit Transactions Act of 2003 (“FACTA”), which amends the Fair Credit Reporting Act (“FCRA”).</w:t>
      </w:r>
    </w:p>
    <w:p w14:paraId="754EDA77" w14:textId="77777777" w:rsidR="000E0846" w:rsidRDefault="000E0846" w:rsidP="000E0846">
      <w:pPr>
        <w:spacing w:before="0" w:after="0" w:line="240" w:lineRule="auto"/>
      </w:pPr>
    </w:p>
    <w:p w14:paraId="6D200DCD" w14:textId="77777777" w:rsidR="000E0846" w:rsidRDefault="000E0846" w:rsidP="000E0846">
      <w:pPr>
        <w:spacing w:before="0" w:after="0" w:line="240" w:lineRule="auto"/>
      </w:pPr>
      <w:r>
        <w:rPr>
          <w:color w:val="00B0F0"/>
        </w:rPr>
        <w:t>[</w:t>
      </w:r>
      <w:r w:rsidRPr="000E0846">
        <w:rPr>
          <w:color w:val="000000" w:themeColor="text1"/>
        </w:rPr>
        <w:t>Insert Company Here</w:t>
      </w:r>
      <w:r>
        <w:rPr>
          <w:color w:val="00B0F0"/>
        </w:rPr>
        <w:t>]</w:t>
      </w:r>
      <w:r w:rsidRPr="000E0846">
        <w:rPr>
          <w:color w:val="00B0F0"/>
        </w:rPr>
        <w:t xml:space="preserve"> </w:t>
      </w:r>
      <w:r>
        <w:t>complies</w:t>
      </w:r>
      <w:r w:rsidRPr="00327F32">
        <w:t xml:space="preserve"> with all applicable laws, regulations and guidance pertaining to Identity Theft/Red Flags for regulated financial institutions</w:t>
      </w:r>
      <w:r>
        <w:t>.</w:t>
      </w:r>
    </w:p>
    <w:p w14:paraId="01BE5402" w14:textId="77777777" w:rsidR="000E0846" w:rsidRDefault="000E0846" w:rsidP="000E0846">
      <w:pPr>
        <w:spacing w:before="0" w:after="0" w:line="240" w:lineRule="auto"/>
      </w:pPr>
      <w:r w:rsidRPr="00327F32">
        <w:t xml:space="preserve"> </w:t>
      </w:r>
    </w:p>
    <w:p w14:paraId="7DA97ECE" w14:textId="77777777" w:rsidR="000E0846" w:rsidRDefault="000E0846" w:rsidP="000E0846">
      <w:pPr>
        <w:pStyle w:val="Heading2"/>
        <w:spacing w:before="0" w:after="0"/>
      </w:pPr>
      <w:bookmarkStart w:id="6" w:name="_Toc28847612"/>
      <w:r>
        <w:t>Purpose</w:t>
      </w:r>
      <w:bookmarkStart w:id="7" w:name="_Toc2114442"/>
      <w:bookmarkStart w:id="8" w:name="_Toc2114527"/>
      <w:bookmarkEnd w:id="3"/>
      <w:bookmarkEnd w:id="4"/>
      <w:bookmarkEnd w:id="6"/>
      <w:r>
        <w:t xml:space="preserve"> </w:t>
      </w:r>
    </w:p>
    <w:p w14:paraId="6A7299E0" w14:textId="77777777" w:rsidR="000E0846" w:rsidRDefault="000E0846" w:rsidP="000E0846">
      <w:pPr>
        <w:spacing w:before="0" w:after="0" w:line="240" w:lineRule="auto"/>
      </w:pPr>
      <w:r w:rsidRPr="00327F32">
        <w:t xml:space="preserve">The purpose of the Policy is to ensure that the risks related to </w:t>
      </w:r>
      <w:r>
        <w:t>I</w:t>
      </w:r>
      <w:r w:rsidRPr="00327F32">
        <w:t xml:space="preserve">dentity </w:t>
      </w:r>
      <w:r>
        <w:t>T</w:t>
      </w:r>
      <w:r w:rsidRPr="00327F32">
        <w:t>heft</w:t>
      </w:r>
      <w:r>
        <w:t xml:space="preserve"> R</w:t>
      </w:r>
      <w:r w:rsidRPr="00327F32">
        <w:t xml:space="preserve">ed </w:t>
      </w:r>
      <w:r>
        <w:t>F</w:t>
      </w:r>
      <w:r w:rsidRPr="00327F32">
        <w:t xml:space="preserve">lags are understood and managed in a systematic fashion that is compliant with Bank policy, applicable laws, regulations and guidance, and serves the best interests of </w:t>
      </w:r>
      <w:r>
        <w:rPr>
          <w:color w:val="00B0F0"/>
        </w:rPr>
        <w:t>[</w:t>
      </w:r>
      <w:r w:rsidRPr="000E0846">
        <w:rPr>
          <w:color w:val="000000" w:themeColor="text1"/>
        </w:rPr>
        <w:t>Insert Company Here</w:t>
      </w:r>
      <w:r>
        <w:rPr>
          <w:color w:val="00B0F0"/>
        </w:rPr>
        <w:t>]</w:t>
      </w:r>
      <w:r w:rsidRPr="00327F32">
        <w:t>, the Bank</w:t>
      </w:r>
      <w:r>
        <w:t>,</w:t>
      </w:r>
      <w:r w:rsidRPr="00327F32">
        <w:t xml:space="preserve"> and consumers.</w:t>
      </w:r>
      <w:r>
        <w:t xml:space="preserve"> This Policy is intended to assist </w:t>
      </w:r>
      <w:r>
        <w:rPr>
          <w:color w:val="00B0F0"/>
        </w:rPr>
        <w:t>[</w:t>
      </w:r>
      <w:r w:rsidRPr="000E0846">
        <w:rPr>
          <w:color w:val="000000" w:themeColor="text1"/>
        </w:rPr>
        <w:t>Insert Company Here</w:t>
      </w:r>
      <w:r>
        <w:rPr>
          <w:color w:val="00B0F0"/>
        </w:rPr>
        <w:t>]</w:t>
      </w:r>
      <w:r w:rsidRPr="000E0846">
        <w:rPr>
          <w:color w:val="00B0F0"/>
        </w:rPr>
        <w:t xml:space="preserve"> </w:t>
      </w:r>
      <w:r>
        <w:t>in:</w:t>
      </w:r>
    </w:p>
    <w:p w14:paraId="49860CA7" w14:textId="77777777" w:rsidR="000E0846" w:rsidRDefault="000E0846" w:rsidP="000E0846">
      <w:pPr>
        <w:spacing w:before="0" w:after="0" w:line="240" w:lineRule="auto"/>
      </w:pPr>
    </w:p>
    <w:p w14:paraId="36A03A2F" w14:textId="77777777" w:rsidR="000E0846" w:rsidRDefault="000E0846" w:rsidP="000E0846">
      <w:pPr>
        <w:pStyle w:val="ListParagraph"/>
        <w:numPr>
          <w:ilvl w:val="0"/>
          <w:numId w:val="8"/>
        </w:numPr>
        <w:spacing w:before="0" w:after="0" w:line="240" w:lineRule="auto"/>
      </w:pPr>
      <w:r>
        <w:t>Minimizing the threat of identity theft through disclosure or compromise of customer information held by the Company;</w:t>
      </w:r>
    </w:p>
    <w:p w14:paraId="3BE4FCE8" w14:textId="77777777" w:rsidR="000E0846" w:rsidRDefault="000E0846" w:rsidP="000E0846">
      <w:pPr>
        <w:pStyle w:val="ListParagraph"/>
        <w:numPr>
          <w:ilvl w:val="0"/>
          <w:numId w:val="8"/>
        </w:numPr>
        <w:spacing w:before="0" w:after="0" w:line="240" w:lineRule="auto"/>
      </w:pPr>
      <w:r>
        <w:t>Responding to known or suspected identity theft involving the Company or its customers;</w:t>
      </w:r>
    </w:p>
    <w:p w14:paraId="5AC73655" w14:textId="77777777" w:rsidR="000E0846" w:rsidRDefault="000E0846" w:rsidP="000E0846">
      <w:pPr>
        <w:pStyle w:val="ListParagraph"/>
        <w:numPr>
          <w:ilvl w:val="0"/>
          <w:numId w:val="8"/>
        </w:numPr>
        <w:spacing w:before="0" w:after="0" w:line="240" w:lineRule="auto"/>
      </w:pPr>
      <w:r>
        <w:t>Aiding Company customers who may have been victims of identity theft;</w:t>
      </w:r>
    </w:p>
    <w:p w14:paraId="277C43DB" w14:textId="77777777" w:rsidR="000E0846" w:rsidRDefault="000E0846" w:rsidP="000E0846">
      <w:pPr>
        <w:pStyle w:val="ListParagraph"/>
        <w:numPr>
          <w:ilvl w:val="0"/>
          <w:numId w:val="8"/>
        </w:numPr>
        <w:spacing w:before="0" w:after="0" w:line="240" w:lineRule="auto"/>
      </w:pPr>
      <w:r>
        <w:t>Establishing processes or procedures for training Company personnel; and</w:t>
      </w:r>
    </w:p>
    <w:p w14:paraId="6543EE64" w14:textId="77777777" w:rsidR="000E0846" w:rsidRDefault="000E0846" w:rsidP="000E0846">
      <w:pPr>
        <w:pStyle w:val="ListParagraph"/>
        <w:numPr>
          <w:ilvl w:val="0"/>
          <w:numId w:val="8"/>
        </w:numPr>
        <w:spacing w:before="0" w:after="0" w:line="240" w:lineRule="auto"/>
      </w:pPr>
      <w:r>
        <w:t>Establishing processes or procedures for educating Company customers.</w:t>
      </w:r>
    </w:p>
    <w:p w14:paraId="7A1D5741" w14:textId="77777777" w:rsidR="000E0846" w:rsidRDefault="000E0846" w:rsidP="000E0846">
      <w:pPr>
        <w:pStyle w:val="ListParagraph"/>
        <w:spacing w:before="0" w:after="0" w:line="240" w:lineRule="auto"/>
        <w:ind w:left="720"/>
      </w:pPr>
    </w:p>
    <w:p w14:paraId="52A94C27" w14:textId="77777777" w:rsidR="000E0846" w:rsidRDefault="000E0846" w:rsidP="000E0846">
      <w:pPr>
        <w:spacing w:before="0" w:after="0" w:line="240" w:lineRule="auto"/>
      </w:pPr>
      <w:r w:rsidRPr="00276ADB">
        <w:t>Except where specifically addressed herein, this Policy follows the Roles and Responsibilities, Training, Monitoring and Testing, Issue Management, and Document and Record Retention sections in the</w:t>
      </w:r>
      <w:r>
        <w:t xml:space="preserve"> </w:t>
      </w:r>
      <w:r w:rsidRPr="00276ADB">
        <w:t>Compliance Management System Policy (“CMS”).</w:t>
      </w:r>
    </w:p>
    <w:p w14:paraId="43DB519B" w14:textId="77777777" w:rsidR="000E0846" w:rsidRDefault="000E0846" w:rsidP="000E0846">
      <w:pPr>
        <w:spacing w:before="0" w:after="0" w:line="240" w:lineRule="auto"/>
      </w:pPr>
    </w:p>
    <w:p w14:paraId="4FD66E31" w14:textId="77777777" w:rsidR="000E0846" w:rsidRDefault="000E0846" w:rsidP="000E0846">
      <w:pPr>
        <w:pStyle w:val="Heading2"/>
        <w:spacing w:before="0" w:after="0"/>
      </w:pPr>
      <w:bookmarkStart w:id="9" w:name="_Toc28847613"/>
      <w:r w:rsidRPr="007F390B">
        <w:t>Scope</w:t>
      </w:r>
      <w:bookmarkEnd w:id="7"/>
      <w:bookmarkEnd w:id="8"/>
      <w:bookmarkEnd w:id="9"/>
    </w:p>
    <w:p w14:paraId="704E2131" w14:textId="77777777" w:rsidR="000E0846" w:rsidRDefault="000E0846" w:rsidP="000E0846">
      <w:pPr>
        <w:spacing w:before="0" w:after="0" w:line="240" w:lineRule="auto"/>
      </w:pPr>
      <w:bookmarkStart w:id="10" w:name="_Toc2114443"/>
      <w:bookmarkStart w:id="11" w:name="_Toc2114528"/>
      <w:r>
        <w:t xml:space="preserve">This Policy governs all aspects of </w:t>
      </w:r>
      <w:r>
        <w:rPr>
          <w:color w:val="00B0F0"/>
        </w:rPr>
        <w:t>[</w:t>
      </w:r>
      <w:r w:rsidRPr="000E0846">
        <w:rPr>
          <w:color w:val="000000" w:themeColor="text1"/>
        </w:rPr>
        <w:t>Insert Company Here</w:t>
      </w:r>
      <w:r>
        <w:rPr>
          <w:color w:val="00B0F0"/>
        </w:rPr>
        <w:t>]</w:t>
      </w:r>
      <w:r w:rsidRPr="000E0846">
        <w:rPr>
          <w:color w:val="000000" w:themeColor="text1"/>
        </w:rPr>
        <w:t>’s</w:t>
      </w:r>
      <w:r>
        <w:rPr>
          <w:color w:val="00B0F0"/>
        </w:rPr>
        <w:t xml:space="preserve"> </w:t>
      </w:r>
      <w:r>
        <w:t xml:space="preserve">Red Flags/Identity Theft Program (“Program”), and is applicable to all </w:t>
      </w:r>
      <w:r w:rsidRPr="00867038">
        <w:t xml:space="preserve">personnel at </w:t>
      </w:r>
      <w:r>
        <w:rPr>
          <w:color w:val="00B0F0"/>
        </w:rPr>
        <w:t>[</w:t>
      </w:r>
      <w:r w:rsidRPr="000E0846">
        <w:rPr>
          <w:color w:val="000000" w:themeColor="text1"/>
        </w:rPr>
        <w:t>Insert Company Here</w:t>
      </w:r>
      <w:r>
        <w:rPr>
          <w:color w:val="00B0F0"/>
        </w:rPr>
        <w:t>]</w:t>
      </w:r>
      <w:r>
        <w:t>, including both employees and consultants. It is also applicable to all third parties</w:t>
      </w:r>
      <w:r w:rsidRPr="00867038">
        <w:t xml:space="preserve"> with whom </w:t>
      </w:r>
      <w:r>
        <w:rPr>
          <w:color w:val="00B0F0"/>
        </w:rPr>
        <w:t>[</w:t>
      </w:r>
      <w:r w:rsidRPr="000E0846">
        <w:rPr>
          <w:color w:val="000000" w:themeColor="text1"/>
        </w:rPr>
        <w:t>Insert Company Here</w:t>
      </w:r>
      <w:r>
        <w:rPr>
          <w:color w:val="00B0F0"/>
        </w:rPr>
        <w:t>]</w:t>
      </w:r>
      <w:r w:rsidRPr="000E0846">
        <w:rPr>
          <w:color w:val="00B0F0"/>
        </w:rPr>
        <w:t xml:space="preserve"> </w:t>
      </w:r>
      <w:r w:rsidRPr="00867038">
        <w:t xml:space="preserve">has entered into business arrangements for ongoing operational activities. </w:t>
      </w:r>
      <w:r>
        <w:t>Third parties include, but are not limited to, dental office partnerships, bank partnerships, and service providers.</w:t>
      </w:r>
    </w:p>
    <w:p w14:paraId="005C5B60" w14:textId="77777777" w:rsidR="000E0846" w:rsidRDefault="000E0846" w:rsidP="000E0846">
      <w:pPr>
        <w:spacing w:before="0" w:after="0" w:line="240" w:lineRule="auto"/>
      </w:pPr>
    </w:p>
    <w:p w14:paraId="722A2E0A" w14:textId="77777777" w:rsidR="000E0846" w:rsidRPr="00867038" w:rsidRDefault="000E0846" w:rsidP="000E0846">
      <w:pPr>
        <w:pStyle w:val="Heading2"/>
        <w:spacing w:before="0" w:after="0"/>
      </w:pPr>
      <w:bookmarkStart w:id="12" w:name="_Toc28847614"/>
      <w:r w:rsidRPr="00962F8C">
        <w:t>Related</w:t>
      </w:r>
      <w:r w:rsidRPr="00867038">
        <w:t xml:space="preserve"> Documents</w:t>
      </w:r>
      <w:bookmarkEnd w:id="12"/>
    </w:p>
    <w:p w14:paraId="5735305E" w14:textId="77777777" w:rsidR="000E0846" w:rsidRPr="0087726E" w:rsidRDefault="000E0846" w:rsidP="000E0846">
      <w:pPr>
        <w:pStyle w:val="Heading3"/>
        <w:numPr>
          <w:ilvl w:val="0"/>
          <w:numId w:val="0"/>
        </w:numPr>
        <w:spacing w:before="0" w:after="0"/>
        <w:ind w:left="720"/>
        <w:rPr>
          <w:i w:val="0"/>
          <w:iCs/>
        </w:rPr>
      </w:pPr>
    </w:p>
    <w:p w14:paraId="2E8D5C3E" w14:textId="77777777" w:rsidR="000E0846" w:rsidRDefault="000E0846" w:rsidP="000E0846">
      <w:pPr>
        <w:pStyle w:val="Heading3"/>
        <w:spacing w:before="0" w:after="0"/>
      </w:pPr>
      <w:r>
        <w:t>Related Policies and Procedures</w:t>
      </w:r>
    </w:p>
    <w:p w14:paraId="0018850D" w14:textId="77777777" w:rsidR="000E0846" w:rsidRPr="008C2F3B" w:rsidRDefault="000E0846" w:rsidP="000E0846">
      <w:pPr>
        <w:pStyle w:val="ListParagraph"/>
        <w:numPr>
          <w:ilvl w:val="0"/>
          <w:numId w:val="7"/>
        </w:numPr>
        <w:spacing w:before="0" w:after="0" w:line="240" w:lineRule="auto"/>
      </w:pPr>
      <w:r w:rsidRPr="00A84DDF">
        <w:rPr>
          <w:rFonts w:eastAsia="Calibri" w:cstheme="minorHAnsi"/>
        </w:rPr>
        <w:t>Compliance Management System Policy</w:t>
      </w:r>
    </w:p>
    <w:p w14:paraId="47B504FC" w14:textId="77777777" w:rsidR="000E0846" w:rsidRDefault="000E0846" w:rsidP="000E0846">
      <w:pPr>
        <w:pStyle w:val="ListParagraph"/>
        <w:numPr>
          <w:ilvl w:val="0"/>
          <w:numId w:val="7"/>
        </w:numPr>
        <w:spacing w:before="0" w:after="0" w:line="240" w:lineRule="auto"/>
      </w:pPr>
      <w:r>
        <w:t>BSA/AML and OFAC Policy</w:t>
      </w:r>
    </w:p>
    <w:p w14:paraId="068D1969" w14:textId="77777777" w:rsidR="000E0846" w:rsidRDefault="000E0846" w:rsidP="000E0846">
      <w:pPr>
        <w:pStyle w:val="ListParagraph"/>
        <w:numPr>
          <w:ilvl w:val="0"/>
          <w:numId w:val="7"/>
        </w:numPr>
        <w:spacing w:before="0" w:after="0" w:line="240" w:lineRule="auto"/>
      </w:pPr>
      <w:r>
        <w:lastRenderedPageBreak/>
        <w:t>Data Handling and Retention Policy</w:t>
      </w:r>
    </w:p>
    <w:p w14:paraId="6E14746F" w14:textId="77777777" w:rsidR="000E0846" w:rsidRPr="008C2F3B" w:rsidRDefault="000E0846" w:rsidP="000E0846">
      <w:pPr>
        <w:pStyle w:val="ListParagraph"/>
        <w:numPr>
          <w:ilvl w:val="0"/>
          <w:numId w:val="7"/>
        </w:numPr>
        <w:spacing w:before="0" w:after="0" w:line="240" w:lineRule="auto"/>
      </w:pPr>
      <w:r>
        <w:t>Identity Theft and Red Flags Procedure</w:t>
      </w:r>
    </w:p>
    <w:p w14:paraId="21C3B55F" w14:textId="77777777" w:rsidR="000E0846" w:rsidRPr="0087726E" w:rsidRDefault="000E0846" w:rsidP="000E0846">
      <w:pPr>
        <w:pStyle w:val="Heading3"/>
        <w:numPr>
          <w:ilvl w:val="0"/>
          <w:numId w:val="0"/>
        </w:numPr>
        <w:spacing w:before="0" w:after="0"/>
        <w:ind w:left="720"/>
        <w:rPr>
          <w:i w:val="0"/>
          <w:iCs/>
        </w:rPr>
      </w:pPr>
    </w:p>
    <w:p w14:paraId="6C11B87A" w14:textId="77777777" w:rsidR="000E0846" w:rsidRPr="00F77154" w:rsidRDefault="000E0846" w:rsidP="000E0846">
      <w:pPr>
        <w:pStyle w:val="Heading3"/>
        <w:spacing w:before="0" w:after="0"/>
      </w:pPr>
      <w:r w:rsidRPr="00867038">
        <w:t>Applicable Law and Regulations</w:t>
      </w:r>
    </w:p>
    <w:p w14:paraId="7EDF1EA5" w14:textId="77777777" w:rsidR="000E0846" w:rsidRDefault="000E0846" w:rsidP="000E0846">
      <w:pPr>
        <w:pStyle w:val="ListParagraph"/>
        <w:numPr>
          <w:ilvl w:val="0"/>
          <w:numId w:val="6"/>
        </w:numPr>
        <w:spacing w:before="0" w:after="0" w:line="240" w:lineRule="auto"/>
      </w:pPr>
      <w:r>
        <w:t>Fair Credit Reporting Act (FCRA)</w:t>
      </w:r>
    </w:p>
    <w:p w14:paraId="50A7A9BC" w14:textId="77777777" w:rsidR="000E0846" w:rsidRDefault="000E0846" w:rsidP="000E0846">
      <w:pPr>
        <w:pStyle w:val="ListParagraph"/>
        <w:numPr>
          <w:ilvl w:val="0"/>
          <w:numId w:val="6"/>
        </w:numPr>
        <w:spacing w:before="0" w:after="0" w:line="240" w:lineRule="auto"/>
      </w:pPr>
      <w:r>
        <w:t>Fair and Accurate Credit Transactions Act of 2003 (FACTA)</w:t>
      </w:r>
    </w:p>
    <w:p w14:paraId="4B276CA2" w14:textId="77777777" w:rsidR="000E0846" w:rsidRPr="00867038" w:rsidRDefault="000E0846" w:rsidP="000E0846">
      <w:pPr>
        <w:spacing w:before="0" w:after="0" w:line="240" w:lineRule="auto"/>
      </w:pPr>
    </w:p>
    <w:p w14:paraId="427F6CCD" w14:textId="77777777" w:rsidR="000E0846" w:rsidRDefault="000E0846" w:rsidP="000E0846">
      <w:pPr>
        <w:pStyle w:val="Heading1"/>
        <w:spacing w:before="0" w:after="0" w:line="240" w:lineRule="auto"/>
      </w:pPr>
      <w:bookmarkStart w:id="13" w:name="_Toc28847615"/>
      <w:r w:rsidRPr="0085291C">
        <w:t>DEFINITIONS</w:t>
      </w:r>
      <w:bookmarkEnd w:id="10"/>
      <w:bookmarkEnd w:id="11"/>
      <w:bookmarkEnd w:id="13"/>
    </w:p>
    <w:p w14:paraId="2D7DC82B" w14:textId="77777777" w:rsidR="000E0846" w:rsidRDefault="000E0846" w:rsidP="000E0846">
      <w:pPr>
        <w:spacing w:before="0" w:after="0" w:line="240" w:lineRule="auto"/>
        <w:rPr>
          <w:bCs/>
        </w:rPr>
      </w:pPr>
      <w:r>
        <w:rPr>
          <w:bCs/>
        </w:rPr>
        <w:t>For the purposes of this policy, the following terms are defined –</w:t>
      </w:r>
    </w:p>
    <w:p w14:paraId="4D74EF57" w14:textId="77777777" w:rsidR="000E0846" w:rsidRDefault="000E0846" w:rsidP="000E0846">
      <w:pPr>
        <w:spacing w:before="0" w:after="0" w:line="240" w:lineRule="auto"/>
        <w:rPr>
          <w:bCs/>
        </w:rPr>
      </w:pPr>
    </w:p>
    <w:p w14:paraId="1A0EAEA8" w14:textId="77777777" w:rsidR="000E0846" w:rsidRDefault="000E0846" w:rsidP="000E0846">
      <w:pPr>
        <w:spacing w:before="0" w:after="0" w:line="240" w:lineRule="auto"/>
      </w:pPr>
      <w:r w:rsidRPr="006367C7">
        <w:rPr>
          <w:bCs/>
        </w:rPr>
        <w:t>A</w:t>
      </w:r>
      <w:r>
        <w:rPr>
          <w:b/>
        </w:rPr>
        <w:t xml:space="preserve"> </w:t>
      </w:r>
      <w:r w:rsidRPr="0087726E">
        <w:rPr>
          <w:b/>
          <w:i/>
          <w:iCs/>
        </w:rPr>
        <w:t>Credit Reporting Agency (“CRA”)</w:t>
      </w:r>
      <w:r>
        <w:t xml:space="preserve"> is </w:t>
      </w:r>
      <w:r w:rsidRPr="00012889">
        <w:t>a company that collects credit information on individual consumers from various sources and provides that individual’s borrowing and bill-paying history to financial institutions, creditors, and others.</w:t>
      </w:r>
    </w:p>
    <w:p w14:paraId="404F1289" w14:textId="77777777" w:rsidR="000E0846" w:rsidRDefault="000E0846" w:rsidP="000E0846">
      <w:pPr>
        <w:spacing w:before="0" w:after="0" w:line="240" w:lineRule="auto"/>
        <w:rPr>
          <w:bCs/>
        </w:rPr>
      </w:pPr>
    </w:p>
    <w:p w14:paraId="3486F1C1" w14:textId="77777777" w:rsidR="000E0846" w:rsidRDefault="000E0846" w:rsidP="000E0846">
      <w:pPr>
        <w:spacing w:before="0" w:after="0" w:line="240" w:lineRule="auto"/>
      </w:pPr>
      <w:r w:rsidRPr="005B5BB9">
        <w:rPr>
          <w:bCs/>
        </w:rPr>
        <w:t>A</w:t>
      </w:r>
      <w:r>
        <w:rPr>
          <w:b/>
        </w:rPr>
        <w:t xml:space="preserve"> </w:t>
      </w:r>
      <w:r w:rsidRPr="0087726E">
        <w:rPr>
          <w:b/>
          <w:i/>
          <w:iCs/>
        </w:rPr>
        <w:t>Covered Account</w:t>
      </w:r>
      <w:r>
        <w:rPr>
          <w:bCs/>
        </w:rPr>
        <w:t xml:space="preserve"> is</w:t>
      </w:r>
      <w:r>
        <w:t xml:space="preserve"> any consumer account </w:t>
      </w:r>
      <w:r>
        <w:rPr>
          <w:color w:val="00B0F0"/>
        </w:rPr>
        <w:t>[</w:t>
      </w:r>
      <w:r w:rsidRPr="000E0846">
        <w:rPr>
          <w:color w:val="000000" w:themeColor="text1"/>
        </w:rPr>
        <w:t>Insert Company Here</w:t>
      </w:r>
      <w:r>
        <w:rPr>
          <w:color w:val="00B0F0"/>
        </w:rPr>
        <w:t>]</w:t>
      </w:r>
      <w:r w:rsidRPr="000E0846">
        <w:rPr>
          <w:color w:val="00B0F0"/>
        </w:rPr>
        <w:t xml:space="preserve"> </w:t>
      </w:r>
      <w:r>
        <w:t xml:space="preserve">offers on behalf of its banking </w:t>
      </w:r>
      <w:r w:rsidRPr="00D20E8F">
        <w:t>partners primarily for personal, family or household purposes</w:t>
      </w:r>
      <w:r>
        <w:t xml:space="preserve">, that involves multiple payments or transactions, for which there is a reasonably foreseeable risk of identity theft. All </w:t>
      </w:r>
      <w:r>
        <w:rPr>
          <w:color w:val="00B0F0"/>
        </w:rPr>
        <w:t>[</w:t>
      </w:r>
      <w:r w:rsidRPr="000E0846">
        <w:rPr>
          <w:color w:val="000000" w:themeColor="text1"/>
        </w:rPr>
        <w:t>Insert Company Here</w:t>
      </w:r>
      <w:r>
        <w:rPr>
          <w:color w:val="00B0F0"/>
        </w:rPr>
        <w:t>]</w:t>
      </w:r>
      <w:r w:rsidRPr="000E0846">
        <w:rPr>
          <w:color w:val="00B0F0"/>
        </w:rPr>
        <w:t xml:space="preserve"> </w:t>
      </w:r>
      <w:r>
        <w:t>consumer accounts are covered accounts.</w:t>
      </w:r>
    </w:p>
    <w:p w14:paraId="37F546BD" w14:textId="77777777" w:rsidR="000E0846" w:rsidRPr="0087726E" w:rsidRDefault="000E0846" w:rsidP="000E0846">
      <w:pPr>
        <w:spacing w:before="0" w:after="0" w:line="240" w:lineRule="auto"/>
        <w:rPr>
          <w:b/>
        </w:rPr>
      </w:pPr>
    </w:p>
    <w:p w14:paraId="57A7A164" w14:textId="77777777" w:rsidR="000E0846" w:rsidRDefault="000E0846" w:rsidP="000E0846">
      <w:pPr>
        <w:spacing w:before="0" w:after="0" w:line="240" w:lineRule="auto"/>
      </w:pPr>
      <w:r w:rsidRPr="0087726E">
        <w:rPr>
          <w:b/>
          <w:i/>
          <w:iCs/>
        </w:rPr>
        <w:t>Identifying Information</w:t>
      </w:r>
      <w:r>
        <w:t xml:space="preserve"> encompasses any name or number that may be used, alone or in conjunction with any other information, to identify a specific person, including, but not limited to: name, address, telephone number, social security number, date of birth, government issued driver’s license or identification number, alien registration number, government passport number, employer or taxpayer identification number, unique electronic identification number, computer’s Internet Protocol address, or routing code. </w:t>
      </w:r>
    </w:p>
    <w:p w14:paraId="54E76646" w14:textId="77777777" w:rsidR="000E0846" w:rsidRPr="0087726E" w:rsidRDefault="000E0846" w:rsidP="000E0846">
      <w:pPr>
        <w:spacing w:before="0" w:after="0" w:line="240" w:lineRule="auto"/>
        <w:rPr>
          <w:b/>
        </w:rPr>
      </w:pPr>
    </w:p>
    <w:p w14:paraId="4C4B6950" w14:textId="77777777" w:rsidR="000E0846" w:rsidRDefault="000E0846" w:rsidP="000E0846">
      <w:pPr>
        <w:spacing w:before="0" w:after="0" w:line="240" w:lineRule="auto"/>
      </w:pPr>
      <w:r w:rsidRPr="0087726E">
        <w:rPr>
          <w:b/>
          <w:i/>
          <w:iCs/>
        </w:rPr>
        <w:t>Identity Theft</w:t>
      </w:r>
      <w:r>
        <w:t xml:space="preserve"> is fraud committed using the identifying information of another person.</w:t>
      </w:r>
    </w:p>
    <w:p w14:paraId="041412C2" w14:textId="77777777" w:rsidR="000E0846" w:rsidRDefault="000E0846" w:rsidP="000E0846">
      <w:pPr>
        <w:spacing w:before="0" w:after="0" w:line="240" w:lineRule="auto"/>
        <w:rPr>
          <w:bCs/>
        </w:rPr>
      </w:pPr>
    </w:p>
    <w:p w14:paraId="11205726" w14:textId="77777777" w:rsidR="000E0846" w:rsidRDefault="000E0846" w:rsidP="000E0846">
      <w:pPr>
        <w:spacing w:before="0" w:after="0" w:line="240" w:lineRule="auto"/>
      </w:pPr>
      <w:r>
        <w:rPr>
          <w:bCs/>
        </w:rPr>
        <w:t xml:space="preserve">A </w:t>
      </w:r>
      <w:r w:rsidRPr="0087726E">
        <w:rPr>
          <w:b/>
          <w:i/>
          <w:iCs/>
        </w:rPr>
        <w:t>Red Flag</w:t>
      </w:r>
      <w:r>
        <w:t xml:space="preserve"> is a pattern, practice, or specific activity that indicates the possible existence of identity theft.</w:t>
      </w:r>
    </w:p>
    <w:p w14:paraId="20BC08E6" w14:textId="77777777" w:rsidR="000E0846" w:rsidRPr="002129FE" w:rsidRDefault="000E0846" w:rsidP="000E0846">
      <w:pPr>
        <w:pStyle w:val="ListParagraph"/>
        <w:widowControl w:val="0"/>
        <w:numPr>
          <w:ilvl w:val="0"/>
          <w:numId w:val="5"/>
        </w:numPr>
        <w:pBdr>
          <w:top w:val="nil"/>
          <w:left w:val="nil"/>
          <w:bottom w:val="nil"/>
          <w:right w:val="nil"/>
          <w:between w:val="nil"/>
        </w:pBdr>
        <w:spacing w:before="0" w:after="0" w:line="240" w:lineRule="auto"/>
        <w:rPr>
          <w:rFonts w:ascii="Arial" w:hAnsi="Arial"/>
          <w:b/>
          <w:vanish/>
        </w:rPr>
      </w:pPr>
    </w:p>
    <w:p w14:paraId="68AE2CF4" w14:textId="77777777" w:rsidR="000E0846" w:rsidRPr="002129FE" w:rsidRDefault="000E0846" w:rsidP="000E0846">
      <w:pPr>
        <w:pStyle w:val="ListParagraph"/>
        <w:widowControl w:val="0"/>
        <w:numPr>
          <w:ilvl w:val="0"/>
          <w:numId w:val="5"/>
        </w:numPr>
        <w:pBdr>
          <w:top w:val="nil"/>
          <w:left w:val="nil"/>
          <w:bottom w:val="nil"/>
          <w:right w:val="nil"/>
          <w:between w:val="nil"/>
        </w:pBdr>
        <w:spacing w:before="0" w:after="0" w:line="240" w:lineRule="auto"/>
        <w:rPr>
          <w:rFonts w:ascii="Arial" w:hAnsi="Arial"/>
          <w:b/>
          <w:vanish/>
        </w:rPr>
      </w:pPr>
    </w:p>
    <w:p w14:paraId="7CFF7ED4" w14:textId="77777777" w:rsidR="000E0846" w:rsidRDefault="000E0846" w:rsidP="000E0846">
      <w:pPr>
        <w:spacing w:before="0" w:after="0" w:line="240" w:lineRule="auto"/>
      </w:pPr>
      <w:bookmarkStart w:id="14" w:name="_Toc2114444"/>
      <w:bookmarkStart w:id="15" w:name="_Toc2114529"/>
    </w:p>
    <w:p w14:paraId="70B18452" w14:textId="77777777" w:rsidR="000E0846" w:rsidRDefault="000E0846" w:rsidP="000E0846">
      <w:pPr>
        <w:spacing w:before="0" w:after="0" w:line="240" w:lineRule="auto"/>
      </w:pPr>
    </w:p>
    <w:p w14:paraId="652E40FD" w14:textId="77777777" w:rsidR="000E0846" w:rsidRDefault="000E0846" w:rsidP="000E0846">
      <w:pPr>
        <w:spacing w:before="0" w:after="0" w:line="240" w:lineRule="auto"/>
      </w:pPr>
    </w:p>
    <w:p w14:paraId="3A8005D9" w14:textId="77777777" w:rsidR="000E0846" w:rsidRDefault="000E0846" w:rsidP="000E0846">
      <w:pPr>
        <w:spacing w:before="0" w:after="0" w:line="240" w:lineRule="auto"/>
      </w:pPr>
    </w:p>
    <w:p w14:paraId="5C6D2ACD" w14:textId="77777777" w:rsidR="000E0846" w:rsidRDefault="000E0846" w:rsidP="000E0846">
      <w:pPr>
        <w:spacing w:before="0" w:after="0" w:line="240" w:lineRule="auto"/>
      </w:pPr>
    </w:p>
    <w:p w14:paraId="630FD390" w14:textId="77777777" w:rsidR="000E0846" w:rsidRDefault="000E0846" w:rsidP="000E0846">
      <w:pPr>
        <w:spacing w:before="0" w:after="0" w:line="240" w:lineRule="auto"/>
      </w:pPr>
    </w:p>
    <w:p w14:paraId="71341406" w14:textId="77777777" w:rsidR="000E0846" w:rsidRPr="007F346B" w:rsidRDefault="000E0846" w:rsidP="000E0846">
      <w:pPr>
        <w:spacing w:before="0" w:after="0" w:line="240" w:lineRule="auto"/>
      </w:pPr>
    </w:p>
    <w:p w14:paraId="75F12CC7" w14:textId="77777777" w:rsidR="000E0846" w:rsidRPr="00791F97" w:rsidRDefault="000E0846" w:rsidP="000E0846">
      <w:pPr>
        <w:pStyle w:val="Heading1"/>
        <w:spacing w:before="0" w:after="0" w:line="240" w:lineRule="auto"/>
      </w:pPr>
      <w:r>
        <w:t xml:space="preserve"> </w:t>
      </w:r>
      <w:bookmarkStart w:id="16" w:name="_Toc28847616"/>
      <w:r w:rsidRPr="00791F97">
        <w:t>REQUIREMENTS</w:t>
      </w:r>
      <w:bookmarkEnd w:id="14"/>
      <w:bookmarkEnd w:id="15"/>
      <w:bookmarkEnd w:id="16"/>
    </w:p>
    <w:p w14:paraId="404FBF36" w14:textId="77777777" w:rsidR="000E0846" w:rsidRDefault="000E0846" w:rsidP="000E0846">
      <w:pPr>
        <w:spacing w:before="0" w:after="0" w:line="240" w:lineRule="auto"/>
      </w:pPr>
      <w:r>
        <w:t xml:space="preserve">The processes listed below constitute the required Program elements as executed day-to-day. Standards, requirements and execution steps are further defined in supporting procedures. </w:t>
      </w:r>
    </w:p>
    <w:p w14:paraId="4E674A44" w14:textId="77777777" w:rsidR="000E0846" w:rsidRDefault="000E0846" w:rsidP="000E0846">
      <w:pPr>
        <w:pStyle w:val="Heading2"/>
        <w:numPr>
          <w:ilvl w:val="0"/>
          <w:numId w:val="0"/>
        </w:numPr>
        <w:spacing w:before="0" w:after="0"/>
      </w:pPr>
    </w:p>
    <w:p w14:paraId="6B98EFC3" w14:textId="77777777" w:rsidR="000E0846" w:rsidRDefault="000E0846" w:rsidP="000E0846">
      <w:pPr>
        <w:pStyle w:val="Heading2"/>
        <w:spacing w:before="0" w:after="0"/>
      </w:pPr>
      <w:bookmarkStart w:id="17" w:name="_Toc28847617"/>
      <w:r>
        <w:t>Program requirements</w:t>
      </w:r>
      <w:bookmarkEnd w:id="17"/>
    </w:p>
    <w:p w14:paraId="6532FC9B" w14:textId="77777777" w:rsidR="000E0846" w:rsidRPr="006B3067" w:rsidRDefault="000E0846" w:rsidP="000E0846">
      <w:pPr>
        <w:spacing w:before="0" w:after="0" w:line="240" w:lineRule="auto"/>
        <w:rPr>
          <w:color w:val="000000" w:themeColor="text1"/>
        </w:rPr>
      </w:pPr>
    </w:p>
    <w:p w14:paraId="7011AE62" w14:textId="77777777" w:rsidR="000E0846" w:rsidRPr="006B3067" w:rsidRDefault="000E0846" w:rsidP="000E0846">
      <w:pPr>
        <w:spacing w:before="0" w:after="0" w:line="240" w:lineRule="auto"/>
        <w:rPr>
          <w:color w:val="000000" w:themeColor="text1"/>
        </w:rPr>
      </w:pPr>
      <w:r w:rsidRPr="007F346B">
        <w:rPr>
          <w:b/>
          <w:bCs/>
          <w:color w:val="000000" w:themeColor="text1"/>
        </w:rPr>
        <w:t>3.1.1 Periodic Review</w:t>
      </w:r>
      <w:r w:rsidRPr="006B3067">
        <w:rPr>
          <w:color w:val="000000" w:themeColor="text1"/>
        </w:rPr>
        <w:t xml:space="preserve">. </w:t>
      </w:r>
      <w:r>
        <w:rPr>
          <w:color w:val="00B0F0"/>
        </w:rPr>
        <w:t>[</w:t>
      </w:r>
      <w:r w:rsidRPr="000E0846">
        <w:rPr>
          <w:color w:val="000000" w:themeColor="text1"/>
        </w:rPr>
        <w:t>Insert Company Here</w:t>
      </w:r>
      <w:r>
        <w:rPr>
          <w:color w:val="00B0F0"/>
        </w:rPr>
        <w:t>]</w:t>
      </w:r>
      <w:r w:rsidRPr="000E0846">
        <w:rPr>
          <w:color w:val="000000" w:themeColor="text1"/>
        </w:rPr>
        <w:t>’s</w:t>
      </w:r>
      <w:r>
        <w:rPr>
          <w:color w:val="00B0F0"/>
        </w:rPr>
        <w:t xml:space="preserve"> </w:t>
      </w:r>
      <w:r w:rsidRPr="006B3067">
        <w:rPr>
          <w:color w:val="000000" w:themeColor="text1"/>
        </w:rPr>
        <w:t>Red Flag Policy will be reviewed by the Bank and submitted to the Bank</w:t>
      </w:r>
      <w:r>
        <w:rPr>
          <w:color w:val="000000" w:themeColor="text1"/>
        </w:rPr>
        <w:t xml:space="preserve"> </w:t>
      </w:r>
      <w:r w:rsidRPr="006B3067">
        <w:rPr>
          <w:color w:val="000000" w:themeColor="text1"/>
        </w:rPr>
        <w:t xml:space="preserve">for review and approval. In addition, the Bank will conduct period reviews of </w:t>
      </w:r>
      <w:r>
        <w:rPr>
          <w:color w:val="00B0F0"/>
        </w:rPr>
        <w:t>[</w:t>
      </w:r>
      <w:r w:rsidRPr="000E0846">
        <w:rPr>
          <w:color w:val="000000" w:themeColor="text1"/>
        </w:rPr>
        <w:t>Insert Company Here</w:t>
      </w:r>
      <w:r>
        <w:rPr>
          <w:color w:val="00B0F0"/>
        </w:rPr>
        <w:t>]</w:t>
      </w:r>
      <w:r w:rsidRPr="000E0846">
        <w:rPr>
          <w:color w:val="000000" w:themeColor="text1"/>
        </w:rPr>
        <w:t>’s</w:t>
      </w:r>
      <w:r>
        <w:rPr>
          <w:color w:val="00B0F0"/>
        </w:rPr>
        <w:t xml:space="preserve"> </w:t>
      </w:r>
      <w:r w:rsidRPr="006B3067">
        <w:rPr>
          <w:color w:val="000000" w:themeColor="text1"/>
        </w:rPr>
        <w:t>practices in this area, and through ongoing testing and periodic site visits, will ensure the Policy and programs are properly followed.</w:t>
      </w:r>
    </w:p>
    <w:p w14:paraId="715BCAE7" w14:textId="77777777" w:rsidR="000E0846" w:rsidRPr="006B3067" w:rsidRDefault="000E0846" w:rsidP="000E0846">
      <w:pPr>
        <w:spacing w:before="0" w:after="0" w:line="240" w:lineRule="auto"/>
        <w:rPr>
          <w:color w:val="000000" w:themeColor="text1"/>
        </w:rPr>
      </w:pPr>
    </w:p>
    <w:p w14:paraId="6983EFEF" w14:textId="77777777" w:rsidR="000E0846" w:rsidRPr="006B3067" w:rsidRDefault="000E0846" w:rsidP="000E0846">
      <w:pPr>
        <w:spacing w:before="0" w:after="0" w:line="240" w:lineRule="auto"/>
        <w:rPr>
          <w:color w:val="000000" w:themeColor="text1"/>
        </w:rPr>
      </w:pPr>
      <w:r w:rsidRPr="007F346B">
        <w:rPr>
          <w:b/>
          <w:bCs/>
          <w:color w:val="000000" w:themeColor="text1"/>
        </w:rPr>
        <w:lastRenderedPageBreak/>
        <w:t>3.1.2 Policy Updates</w:t>
      </w:r>
      <w:r w:rsidRPr="006B3067">
        <w:rPr>
          <w:color w:val="000000" w:themeColor="text1"/>
        </w:rPr>
        <w:t xml:space="preserve">. </w:t>
      </w:r>
      <w:r>
        <w:rPr>
          <w:color w:val="00B0F0"/>
        </w:rPr>
        <w:t>[</w:t>
      </w:r>
      <w:r w:rsidRPr="000E0846">
        <w:rPr>
          <w:color w:val="000000" w:themeColor="text1"/>
        </w:rPr>
        <w:t>Insert Company Here</w:t>
      </w:r>
      <w:r>
        <w:rPr>
          <w:color w:val="00B0F0"/>
        </w:rPr>
        <w:t>]</w:t>
      </w:r>
      <w:r w:rsidRPr="000E0846">
        <w:rPr>
          <w:color w:val="00B0F0"/>
        </w:rPr>
        <w:t xml:space="preserve"> </w:t>
      </w:r>
      <w:r w:rsidRPr="006B3067">
        <w:rPr>
          <w:color w:val="000000" w:themeColor="text1"/>
        </w:rPr>
        <w:t>will update this Identity Theft Red Flags Policy (including the Red Flags determined to be relevant) periodically, to reflect chan</w:t>
      </w:r>
      <w:r>
        <w:rPr>
          <w:color w:val="000000" w:themeColor="text1"/>
        </w:rPr>
        <w:t>g</w:t>
      </w:r>
      <w:r w:rsidRPr="006B3067">
        <w:rPr>
          <w:color w:val="000000" w:themeColor="text1"/>
        </w:rPr>
        <w:t xml:space="preserve">e in risks to customers or to the safety and soundness of </w:t>
      </w:r>
      <w:r>
        <w:rPr>
          <w:color w:val="00B0F0"/>
        </w:rPr>
        <w:t>[</w:t>
      </w:r>
      <w:r w:rsidRPr="000E0846">
        <w:rPr>
          <w:color w:val="000000" w:themeColor="text1"/>
        </w:rPr>
        <w:t>Insert Company Here</w:t>
      </w:r>
      <w:r>
        <w:rPr>
          <w:color w:val="00B0F0"/>
        </w:rPr>
        <w:t>]</w:t>
      </w:r>
      <w:r w:rsidRPr="000E0846">
        <w:rPr>
          <w:color w:val="00B0F0"/>
        </w:rPr>
        <w:t xml:space="preserve"> </w:t>
      </w:r>
      <w:r w:rsidRPr="006B3067">
        <w:rPr>
          <w:color w:val="000000" w:themeColor="text1"/>
        </w:rPr>
        <w:t xml:space="preserve">or the Bank from Identity Theft. </w:t>
      </w:r>
      <w:r>
        <w:rPr>
          <w:color w:val="00B0F0"/>
        </w:rPr>
        <w:t>[</w:t>
      </w:r>
      <w:r w:rsidRPr="000E0846">
        <w:rPr>
          <w:color w:val="000000" w:themeColor="text1"/>
        </w:rPr>
        <w:t>Insert Company Here</w:t>
      </w:r>
      <w:r>
        <w:rPr>
          <w:color w:val="00B0F0"/>
        </w:rPr>
        <w:t>]</w:t>
      </w:r>
      <w:r w:rsidRPr="000E0846">
        <w:rPr>
          <w:color w:val="00B0F0"/>
        </w:rPr>
        <w:t xml:space="preserve"> </w:t>
      </w:r>
      <w:r w:rsidRPr="006B3067">
        <w:rPr>
          <w:color w:val="000000" w:themeColor="text1"/>
        </w:rPr>
        <w:t xml:space="preserve">will use risk assessments and other policies, and work with the Bank to make changes that may be necessary to the Identity Theft prevention and detection programs that </w:t>
      </w:r>
      <w:r>
        <w:rPr>
          <w:color w:val="00B0F0"/>
        </w:rPr>
        <w:t>[</w:t>
      </w:r>
      <w:r w:rsidRPr="000E0846">
        <w:rPr>
          <w:color w:val="000000" w:themeColor="text1"/>
        </w:rPr>
        <w:t>Insert Company Here</w:t>
      </w:r>
      <w:r>
        <w:rPr>
          <w:color w:val="00B0F0"/>
        </w:rPr>
        <w:t>]</w:t>
      </w:r>
      <w:r w:rsidRPr="000E0846">
        <w:rPr>
          <w:color w:val="00B0F0"/>
        </w:rPr>
        <w:t xml:space="preserve"> </w:t>
      </w:r>
      <w:r w:rsidRPr="006B3067">
        <w:rPr>
          <w:color w:val="000000" w:themeColor="text1"/>
        </w:rPr>
        <w:t xml:space="preserve">has developed and implemented. </w:t>
      </w:r>
      <w:r>
        <w:rPr>
          <w:color w:val="00B0F0"/>
        </w:rPr>
        <w:t>[</w:t>
      </w:r>
      <w:r w:rsidRPr="000E0846">
        <w:rPr>
          <w:color w:val="000000" w:themeColor="text1"/>
        </w:rPr>
        <w:t>Insert Company Here</w:t>
      </w:r>
      <w:r>
        <w:rPr>
          <w:color w:val="00B0F0"/>
        </w:rPr>
        <w:t>]</w:t>
      </w:r>
      <w:r w:rsidRPr="000E0846">
        <w:rPr>
          <w:color w:val="00B0F0"/>
        </w:rPr>
        <w:t xml:space="preserve"> </w:t>
      </w:r>
      <w:r w:rsidRPr="006B3067">
        <w:rPr>
          <w:color w:val="000000" w:themeColor="text1"/>
        </w:rPr>
        <w:t xml:space="preserve">will manage and administer an Identity Theft/Red Flags Program that is specifically tailored to the needs and experience of the program administered by </w:t>
      </w:r>
      <w:r>
        <w:rPr>
          <w:color w:val="00B0F0"/>
        </w:rPr>
        <w:t>[</w:t>
      </w:r>
      <w:r w:rsidRPr="000E0846">
        <w:rPr>
          <w:color w:val="000000" w:themeColor="text1"/>
        </w:rPr>
        <w:t>Insert Company Here</w:t>
      </w:r>
      <w:r>
        <w:rPr>
          <w:color w:val="00B0F0"/>
        </w:rPr>
        <w:t>]</w:t>
      </w:r>
      <w:r w:rsidRPr="006B3067">
        <w:rPr>
          <w:color w:val="000000" w:themeColor="text1"/>
        </w:rPr>
        <w:t xml:space="preserve">. </w:t>
      </w:r>
      <w:r>
        <w:rPr>
          <w:color w:val="00B0F0"/>
        </w:rPr>
        <w:t>[</w:t>
      </w:r>
      <w:r w:rsidRPr="000E0846">
        <w:rPr>
          <w:color w:val="000000" w:themeColor="text1"/>
        </w:rPr>
        <w:t>Insert Company Here</w:t>
      </w:r>
      <w:r>
        <w:rPr>
          <w:color w:val="00B0F0"/>
        </w:rPr>
        <w:t>]</w:t>
      </w:r>
      <w:r w:rsidRPr="000E0846">
        <w:rPr>
          <w:color w:val="00B0F0"/>
        </w:rPr>
        <w:t xml:space="preserve"> </w:t>
      </w:r>
      <w:r w:rsidRPr="006B3067">
        <w:rPr>
          <w:color w:val="000000" w:themeColor="text1"/>
        </w:rPr>
        <w:t xml:space="preserve">will assign a qualified individual with responsibility and accountability for overseeing the program. Changes to </w:t>
      </w:r>
      <w:r>
        <w:rPr>
          <w:color w:val="00B0F0"/>
        </w:rPr>
        <w:t>[</w:t>
      </w:r>
      <w:r w:rsidRPr="000E0846">
        <w:rPr>
          <w:color w:val="000000" w:themeColor="text1"/>
        </w:rPr>
        <w:t>Insert Company Here</w:t>
      </w:r>
      <w:r>
        <w:rPr>
          <w:color w:val="00B0F0"/>
        </w:rPr>
        <w:t>]</w:t>
      </w:r>
      <w:r w:rsidRPr="000E0846">
        <w:rPr>
          <w:color w:val="000000" w:themeColor="text1"/>
        </w:rPr>
        <w:t>’s</w:t>
      </w:r>
      <w:r>
        <w:rPr>
          <w:color w:val="00B0F0"/>
        </w:rPr>
        <w:t xml:space="preserve"> </w:t>
      </w:r>
      <w:r w:rsidRPr="006B3067">
        <w:rPr>
          <w:color w:val="000000" w:themeColor="text1"/>
        </w:rPr>
        <w:t>policy or program may be required based on factors, including, but not limited to:</w:t>
      </w:r>
    </w:p>
    <w:p w14:paraId="059892F2" w14:textId="77777777" w:rsidR="000E0846" w:rsidRPr="006B3067" w:rsidRDefault="000E0846" w:rsidP="000E0846">
      <w:pPr>
        <w:pStyle w:val="ListParagraph"/>
        <w:numPr>
          <w:ilvl w:val="0"/>
          <w:numId w:val="9"/>
        </w:numPr>
        <w:spacing w:before="0" w:after="0" w:line="240" w:lineRule="auto"/>
        <w:rPr>
          <w:color w:val="000000" w:themeColor="text1"/>
        </w:rPr>
      </w:pPr>
      <w:r w:rsidRPr="006B3067">
        <w:rPr>
          <w:color w:val="000000" w:themeColor="text1"/>
        </w:rPr>
        <w:t>Previous experience with Identity Theft;</w:t>
      </w:r>
    </w:p>
    <w:p w14:paraId="494A0FB3" w14:textId="77777777" w:rsidR="000E0846" w:rsidRPr="006B3067" w:rsidRDefault="000E0846" w:rsidP="000E0846">
      <w:pPr>
        <w:pStyle w:val="ListParagraph"/>
        <w:numPr>
          <w:ilvl w:val="0"/>
          <w:numId w:val="9"/>
        </w:numPr>
        <w:spacing w:before="0" w:after="0" w:line="240" w:lineRule="auto"/>
        <w:rPr>
          <w:color w:val="000000" w:themeColor="text1"/>
        </w:rPr>
      </w:pPr>
      <w:r w:rsidRPr="006B3067">
        <w:rPr>
          <w:color w:val="000000" w:themeColor="text1"/>
        </w:rPr>
        <w:t>Changes in methods to detect, prevent, and mitigate Identity Theft;</w:t>
      </w:r>
    </w:p>
    <w:p w14:paraId="3949324D" w14:textId="77777777" w:rsidR="000E0846" w:rsidRPr="006B3067" w:rsidRDefault="000E0846" w:rsidP="000E0846">
      <w:pPr>
        <w:pStyle w:val="ListParagraph"/>
        <w:numPr>
          <w:ilvl w:val="0"/>
          <w:numId w:val="9"/>
        </w:numPr>
        <w:spacing w:before="0" w:after="0" w:line="240" w:lineRule="auto"/>
        <w:rPr>
          <w:color w:val="000000" w:themeColor="text1"/>
        </w:rPr>
      </w:pPr>
      <w:r w:rsidRPr="006B3067">
        <w:rPr>
          <w:color w:val="000000" w:themeColor="text1"/>
        </w:rPr>
        <w:t>Changes in types of accounts offered or maintained; and</w:t>
      </w:r>
    </w:p>
    <w:p w14:paraId="481B7982" w14:textId="77777777" w:rsidR="000E0846" w:rsidRPr="006B3067" w:rsidRDefault="000E0846" w:rsidP="000E0846">
      <w:pPr>
        <w:pStyle w:val="ListParagraph"/>
        <w:numPr>
          <w:ilvl w:val="0"/>
          <w:numId w:val="9"/>
        </w:numPr>
        <w:spacing w:before="0" w:after="0" w:line="240" w:lineRule="auto"/>
        <w:rPr>
          <w:color w:val="000000" w:themeColor="text1"/>
        </w:rPr>
      </w:pPr>
      <w:r w:rsidRPr="006B3067">
        <w:rPr>
          <w:color w:val="000000" w:themeColor="text1"/>
        </w:rPr>
        <w:t xml:space="preserve">Changes in business arrangements between </w:t>
      </w:r>
      <w:r>
        <w:rPr>
          <w:color w:val="00B0F0"/>
        </w:rPr>
        <w:t>[</w:t>
      </w:r>
      <w:r w:rsidRPr="000E0846">
        <w:rPr>
          <w:color w:val="000000" w:themeColor="text1"/>
        </w:rPr>
        <w:t>Insert Company Here</w:t>
      </w:r>
      <w:r>
        <w:rPr>
          <w:color w:val="00B0F0"/>
        </w:rPr>
        <w:t>]</w:t>
      </w:r>
      <w:r w:rsidRPr="000E0846">
        <w:rPr>
          <w:color w:val="00B0F0"/>
        </w:rPr>
        <w:t xml:space="preserve"> </w:t>
      </w:r>
      <w:r w:rsidRPr="006B3067">
        <w:rPr>
          <w:color w:val="000000" w:themeColor="text1"/>
        </w:rPr>
        <w:t>and its partners</w:t>
      </w:r>
    </w:p>
    <w:p w14:paraId="61113948" w14:textId="77777777" w:rsidR="000E0846" w:rsidRPr="006B3067" w:rsidRDefault="000E0846" w:rsidP="000E0846">
      <w:pPr>
        <w:spacing w:before="0" w:after="0" w:line="240" w:lineRule="auto"/>
        <w:rPr>
          <w:color w:val="000000" w:themeColor="text1"/>
        </w:rPr>
      </w:pPr>
    </w:p>
    <w:p w14:paraId="6CCF5CD0" w14:textId="77777777" w:rsidR="000E0846" w:rsidRPr="006B3067" w:rsidRDefault="000E0846" w:rsidP="000E0846">
      <w:pPr>
        <w:spacing w:before="0" w:after="0" w:line="240" w:lineRule="auto"/>
        <w:rPr>
          <w:color w:val="000000" w:themeColor="text1"/>
        </w:rPr>
      </w:pPr>
      <w:r w:rsidRPr="007F346B">
        <w:rPr>
          <w:b/>
          <w:bCs/>
          <w:color w:val="000000" w:themeColor="text1"/>
        </w:rPr>
        <w:t>3.1.3 Identity Theft Detection, Prevention and Mitigation</w:t>
      </w:r>
      <w:r w:rsidRPr="006B3067">
        <w:rPr>
          <w:color w:val="000000" w:themeColor="text1"/>
        </w:rPr>
        <w:t xml:space="preserve">. </w:t>
      </w:r>
      <w:r>
        <w:rPr>
          <w:color w:val="00B0F0"/>
        </w:rPr>
        <w:t>[</w:t>
      </w:r>
      <w:r w:rsidRPr="000E0846">
        <w:rPr>
          <w:color w:val="000000" w:themeColor="text1"/>
        </w:rPr>
        <w:t>Insert Company Here</w:t>
      </w:r>
      <w:r>
        <w:rPr>
          <w:color w:val="00B0F0"/>
        </w:rPr>
        <w:t>]</w:t>
      </w:r>
      <w:r w:rsidRPr="000E0846">
        <w:rPr>
          <w:color w:val="00B0F0"/>
        </w:rPr>
        <w:t xml:space="preserve"> </w:t>
      </w:r>
      <w:r w:rsidRPr="006B3067">
        <w:rPr>
          <w:color w:val="000000" w:themeColor="text1"/>
        </w:rPr>
        <w:t>will adhere to the guidelines presented in Appendix J to the Interagency Guidelines on Identity Theft Detection, Prevention and Mitigation. The Program shall include the following elements:</w:t>
      </w:r>
    </w:p>
    <w:p w14:paraId="6A2899B6" w14:textId="77777777" w:rsidR="000E0846" w:rsidRPr="006B3067" w:rsidRDefault="000E0846" w:rsidP="000E0846">
      <w:pPr>
        <w:pStyle w:val="ListParagraph"/>
        <w:numPr>
          <w:ilvl w:val="0"/>
          <w:numId w:val="10"/>
        </w:numPr>
        <w:spacing w:before="0" w:after="0" w:line="240" w:lineRule="auto"/>
        <w:rPr>
          <w:color w:val="000000" w:themeColor="text1"/>
        </w:rPr>
      </w:pPr>
      <w:r w:rsidRPr="006B3067">
        <w:rPr>
          <w:color w:val="000000" w:themeColor="text1"/>
        </w:rPr>
        <w:t>Identification of relevant Red Flags;</w:t>
      </w:r>
    </w:p>
    <w:p w14:paraId="329DC897" w14:textId="77777777" w:rsidR="000E0846" w:rsidRPr="006B3067" w:rsidRDefault="000E0846" w:rsidP="000E0846">
      <w:pPr>
        <w:pStyle w:val="ListParagraph"/>
        <w:numPr>
          <w:ilvl w:val="0"/>
          <w:numId w:val="10"/>
        </w:numPr>
        <w:spacing w:before="0" w:after="0" w:line="240" w:lineRule="auto"/>
        <w:rPr>
          <w:color w:val="000000" w:themeColor="text1"/>
        </w:rPr>
      </w:pPr>
      <w:r w:rsidRPr="006B3067">
        <w:rPr>
          <w:color w:val="000000" w:themeColor="text1"/>
        </w:rPr>
        <w:t>Detection of Red Flags that are part of the Program;</w:t>
      </w:r>
    </w:p>
    <w:p w14:paraId="6A250ACA" w14:textId="77777777" w:rsidR="000E0846" w:rsidRPr="006B3067" w:rsidRDefault="000E0846" w:rsidP="000E0846">
      <w:pPr>
        <w:pStyle w:val="ListParagraph"/>
        <w:numPr>
          <w:ilvl w:val="0"/>
          <w:numId w:val="10"/>
        </w:numPr>
        <w:spacing w:before="0" w:after="0" w:line="240" w:lineRule="auto"/>
        <w:rPr>
          <w:color w:val="000000" w:themeColor="text1"/>
        </w:rPr>
      </w:pPr>
      <w:r w:rsidRPr="006B3067">
        <w:rPr>
          <w:color w:val="000000" w:themeColor="text1"/>
        </w:rPr>
        <w:t>Responding appropriately to any detected Red Flags to prevent and mitigate Identity Theft; and</w:t>
      </w:r>
    </w:p>
    <w:p w14:paraId="2A1BE198" w14:textId="77777777" w:rsidR="000E0846" w:rsidRPr="006B3067" w:rsidRDefault="000E0846" w:rsidP="000E0846">
      <w:pPr>
        <w:pStyle w:val="ListParagraph"/>
        <w:numPr>
          <w:ilvl w:val="0"/>
          <w:numId w:val="10"/>
        </w:numPr>
        <w:spacing w:before="0" w:after="0" w:line="240" w:lineRule="auto"/>
        <w:rPr>
          <w:color w:val="000000" w:themeColor="text1"/>
        </w:rPr>
      </w:pPr>
      <w:r w:rsidRPr="006B3067">
        <w:rPr>
          <w:color w:val="000000" w:themeColor="text1"/>
        </w:rPr>
        <w:t>Ensuring the Program is updated periodically to reflect changes in risks</w:t>
      </w:r>
    </w:p>
    <w:p w14:paraId="0AAA4184" w14:textId="77777777" w:rsidR="000E0846" w:rsidRPr="006B3067" w:rsidRDefault="000E0846" w:rsidP="000E0846">
      <w:pPr>
        <w:spacing w:before="0" w:after="0" w:line="240" w:lineRule="auto"/>
        <w:rPr>
          <w:color w:val="000000" w:themeColor="text1"/>
        </w:rPr>
      </w:pPr>
    </w:p>
    <w:p w14:paraId="40A00865" w14:textId="77777777" w:rsidR="000E0846" w:rsidRPr="006B3067" w:rsidRDefault="000E0846" w:rsidP="000E0846">
      <w:pPr>
        <w:spacing w:before="0" w:after="0" w:line="240" w:lineRule="auto"/>
        <w:rPr>
          <w:color w:val="000000" w:themeColor="text1"/>
        </w:rPr>
      </w:pPr>
      <w:r w:rsidRPr="007F346B">
        <w:rPr>
          <w:b/>
          <w:bCs/>
          <w:color w:val="000000" w:themeColor="text1"/>
        </w:rPr>
        <w:t>3.1.4 Third Party Servicers</w:t>
      </w:r>
      <w:r w:rsidRPr="006B3067">
        <w:rPr>
          <w:color w:val="000000" w:themeColor="text1"/>
        </w:rPr>
        <w:t xml:space="preserve">. </w:t>
      </w:r>
      <w:r>
        <w:rPr>
          <w:color w:val="00B0F0"/>
        </w:rPr>
        <w:t>[</w:t>
      </w:r>
      <w:r w:rsidRPr="000E0846">
        <w:rPr>
          <w:color w:val="000000" w:themeColor="text1"/>
        </w:rPr>
        <w:t>Insert Company Here</w:t>
      </w:r>
      <w:r>
        <w:rPr>
          <w:color w:val="00B0F0"/>
        </w:rPr>
        <w:t>]</w:t>
      </w:r>
      <w:r w:rsidRPr="000E0846">
        <w:rPr>
          <w:color w:val="000000" w:themeColor="text1"/>
        </w:rPr>
        <w:t>’s</w:t>
      </w:r>
      <w:r>
        <w:rPr>
          <w:color w:val="00B0F0"/>
        </w:rPr>
        <w:t xml:space="preserve"> </w:t>
      </w:r>
      <w:r w:rsidRPr="006B3067">
        <w:rPr>
          <w:color w:val="000000" w:themeColor="text1"/>
        </w:rPr>
        <w:t xml:space="preserve">Program must also address the oversight of any third-party servicers that perform services in connection with Covered Accounts. </w:t>
      </w:r>
    </w:p>
    <w:p w14:paraId="566EE14F" w14:textId="77777777" w:rsidR="000E0846" w:rsidRPr="006B3067" w:rsidRDefault="000E0846" w:rsidP="000E0846">
      <w:pPr>
        <w:shd w:val="clear" w:color="auto" w:fill="FFFFFF"/>
        <w:spacing w:before="0" w:after="0" w:line="240" w:lineRule="auto"/>
        <w:rPr>
          <w:color w:val="000000" w:themeColor="text1"/>
        </w:rPr>
      </w:pPr>
    </w:p>
    <w:p w14:paraId="76C66CA3" w14:textId="77777777" w:rsidR="000E0846" w:rsidRPr="006B3067" w:rsidRDefault="000E0846" w:rsidP="000E0846">
      <w:pPr>
        <w:shd w:val="clear" w:color="auto" w:fill="FFFFFF"/>
        <w:spacing w:before="0" w:after="0" w:line="240" w:lineRule="auto"/>
        <w:rPr>
          <w:color w:val="000000" w:themeColor="text1"/>
        </w:rPr>
      </w:pPr>
      <w:r w:rsidRPr="007F346B">
        <w:rPr>
          <w:b/>
          <w:bCs/>
          <w:color w:val="000000" w:themeColor="text1"/>
        </w:rPr>
        <w:t>3.1.5 Annual Reporting</w:t>
      </w:r>
      <w:r w:rsidRPr="006B3067">
        <w:rPr>
          <w:color w:val="000000" w:themeColor="text1"/>
        </w:rPr>
        <w:t xml:space="preserve">. </w:t>
      </w:r>
      <w:r>
        <w:rPr>
          <w:color w:val="00B0F0"/>
        </w:rPr>
        <w:t>[</w:t>
      </w:r>
      <w:r w:rsidRPr="000E0846">
        <w:rPr>
          <w:color w:val="000000" w:themeColor="text1"/>
        </w:rPr>
        <w:t>Insert Company Here</w:t>
      </w:r>
      <w:r>
        <w:rPr>
          <w:color w:val="00B0F0"/>
        </w:rPr>
        <w:t>]</w:t>
      </w:r>
      <w:r w:rsidRPr="000E0846">
        <w:rPr>
          <w:color w:val="00B0F0"/>
        </w:rPr>
        <w:t xml:space="preserve"> </w:t>
      </w:r>
      <w:r w:rsidRPr="006B3067">
        <w:rPr>
          <w:color w:val="000000" w:themeColor="text1"/>
        </w:rPr>
        <w:t xml:space="preserve">will provide a report to the Bank on the effectiveness of its Identity Theft/Red Flags Policy no less than annually. The report provided to the Bank by </w:t>
      </w:r>
      <w:r>
        <w:rPr>
          <w:color w:val="00B0F0"/>
        </w:rPr>
        <w:t>[</w:t>
      </w:r>
      <w:r w:rsidRPr="000E0846">
        <w:rPr>
          <w:color w:val="000000" w:themeColor="text1"/>
        </w:rPr>
        <w:t>Insert Company Here</w:t>
      </w:r>
      <w:r>
        <w:rPr>
          <w:color w:val="00B0F0"/>
        </w:rPr>
        <w:t>]</w:t>
      </w:r>
      <w:r w:rsidRPr="000E0846">
        <w:rPr>
          <w:color w:val="00B0F0"/>
        </w:rPr>
        <w:t xml:space="preserve"> </w:t>
      </w:r>
      <w:r w:rsidRPr="006B3067">
        <w:rPr>
          <w:color w:val="000000" w:themeColor="text1"/>
        </w:rPr>
        <w:t>should address material matters related to the Program and evaluate issues such as:</w:t>
      </w:r>
    </w:p>
    <w:p w14:paraId="35429A5C" w14:textId="77777777" w:rsidR="000E0846" w:rsidRPr="006B3067" w:rsidRDefault="000E0846" w:rsidP="000E0846">
      <w:pPr>
        <w:pStyle w:val="ListParagraph"/>
        <w:numPr>
          <w:ilvl w:val="0"/>
          <w:numId w:val="11"/>
        </w:numPr>
        <w:shd w:val="clear" w:color="auto" w:fill="FFFFFF"/>
        <w:spacing w:before="0" w:after="0" w:line="240" w:lineRule="auto"/>
        <w:rPr>
          <w:color w:val="000000" w:themeColor="text1"/>
        </w:rPr>
      </w:pPr>
      <w:r w:rsidRPr="006B3067">
        <w:rPr>
          <w:color w:val="000000" w:themeColor="text1"/>
        </w:rPr>
        <w:t>The effectiveness of the policies and procedure sin addressing the risk of Identity Theft in connection with the opening of Covered Accounts and with respect to existing Covered Accounts;</w:t>
      </w:r>
    </w:p>
    <w:p w14:paraId="572879B0" w14:textId="77777777" w:rsidR="000E0846" w:rsidRPr="006B3067" w:rsidRDefault="000E0846" w:rsidP="000E0846">
      <w:pPr>
        <w:pStyle w:val="ListParagraph"/>
        <w:numPr>
          <w:ilvl w:val="0"/>
          <w:numId w:val="11"/>
        </w:numPr>
        <w:shd w:val="clear" w:color="auto" w:fill="FFFFFF"/>
        <w:spacing w:before="0" w:after="0" w:line="240" w:lineRule="auto"/>
        <w:rPr>
          <w:color w:val="000000" w:themeColor="text1"/>
        </w:rPr>
      </w:pPr>
      <w:r w:rsidRPr="006B3067">
        <w:rPr>
          <w:color w:val="000000" w:themeColor="text1"/>
        </w:rPr>
        <w:t>Service provider arrangements;</w:t>
      </w:r>
    </w:p>
    <w:p w14:paraId="46D12C9A" w14:textId="77777777" w:rsidR="000E0846" w:rsidRPr="006B3067" w:rsidRDefault="000E0846" w:rsidP="000E0846">
      <w:pPr>
        <w:pStyle w:val="ListParagraph"/>
        <w:numPr>
          <w:ilvl w:val="0"/>
          <w:numId w:val="11"/>
        </w:numPr>
        <w:shd w:val="clear" w:color="auto" w:fill="FFFFFF"/>
        <w:spacing w:before="0" w:after="0" w:line="240" w:lineRule="auto"/>
        <w:rPr>
          <w:color w:val="000000" w:themeColor="text1"/>
        </w:rPr>
      </w:pPr>
      <w:r w:rsidRPr="006B3067">
        <w:rPr>
          <w:color w:val="000000" w:themeColor="text1"/>
        </w:rPr>
        <w:t>Significant instances involving Identity Theft and management response; and</w:t>
      </w:r>
    </w:p>
    <w:p w14:paraId="61A8FDB7" w14:textId="77777777" w:rsidR="000E0846" w:rsidRPr="006B3067" w:rsidRDefault="000E0846" w:rsidP="000E0846">
      <w:pPr>
        <w:pStyle w:val="ListParagraph"/>
        <w:numPr>
          <w:ilvl w:val="0"/>
          <w:numId w:val="11"/>
        </w:numPr>
        <w:shd w:val="clear" w:color="auto" w:fill="FFFFFF"/>
        <w:spacing w:before="0" w:after="0" w:line="240" w:lineRule="auto"/>
        <w:rPr>
          <w:color w:val="000000" w:themeColor="text1"/>
        </w:rPr>
      </w:pPr>
      <w:r w:rsidRPr="006B3067">
        <w:rPr>
          <w:color w:val="000000" w:themeColor="text1"/>
        </w:rPr>
        <w:t>Recommendations for material changes to the Program</w:t>
      </w:r>
    </w:p>
    <w:p w14:paraId="2B1A334B" w14:textId="77777777" w:rsidR="000E0846" w:rsidRPr="006B3067" w:rsidRDefault="000E0846" w:rsidP="000E0846">
      <w:pPr>
        <w:shd w:val="clear" w:color="auto" w:fill="FFFFFF"/>
        <w:spacing w:before="0" w:after="0" w:line="240" w:lineRule="auto"/>
        <w:rPr>
          <w:color w:val="000000" w:themeColor="text1"/>
        </w:rPr>
      </w:pPr>
    </w:p>
    <w:p w14:paraId="272E879C" w14:textId="77777777" w:rsidR="000E0846" w:rsidRPr="006B3067" w:rsidRDefault="000E0846" w:rsidP="000E0846">
      <w:pPr>
        <w:shd w:val="clear" w:color="auto" w:fill="FFFFFF"/>
        <w:spacing w:before="0" w:after="0" w:line="240" w:lineRule="auto"/>
        <w:rPr>
          <w:color w:val="000000" w:themeColor="text1"/>
        </w:rPr>
      </w:pPr>
      <w:r w:rsidRPr="007F346B">
        <w:rPr>
          <w:b/>
          <w:bCs/>
          <w:color w:val="000000" w:themeColor="text1"/>
        </w:rPr>
        <w:t>3.1.6 Program Categories</w:t>
      </w:r>
      <w:r w:rsidRPr="006B3067">
        <w:rPr>
          <w:color w:val="000000" w:themeColor="text1"/>
        </w:rPr>
        <w:t xml:space="preserve">. The Rule requires all financial institutions and creditors to design and implement a risk-based program that is appropriate for the size, complexity, and nature of operations. Guidelines issues by the FDIC and other federal law enforcement agencies </w:t>
      </w:r>
      <w:r>
        <w:rPr>
          <w:color w:val="000000" w:themeColor="text1"/>
        </w:rPr>
        <w:t>were</w:t>
      </w:r>
      <w:r w:rsidRPr="006B3067">
        <w:rPr>
          <w:color w:val="000000" w:themeColor="text1"/>
        </w:rPr>
        <w:t xml:space="preserve"> used by </w:t>
      </w:r>
      <w:r>
        <w:rPr>
          <w:color w:val="00B0F0"/>
        </w:rPr>
        <w:t>[</w:t>
      </w:r>
      <w:r w:rsidRPr="000E0846">
        <w:rPr>
          <w:color w:val="000000" w:themeColor="text1"/>
        </w:rPr>
        <w:t>Insert Company Here</w:t>
      </w:r>
      <w:r>
        <w:rPr>
          <w:color w:val="00B0F0"/>
        </w:rPr>
        <w:t>]</w:t>
      </w:r>
      <w:r w:rsidRPr="000E0846">
        <w:rPr>
          <w:color w:val="00B0F0"/>
        </w:rPr>
        <w:t xml:space="preserve"> </w:t>
      </w:r>
      <w:r w:rsidRPr="006B3067">
        <w:rPr>
          <w:color w:val="000000" w:themeColor="text1"/>
        </w:rPr>
        <w:t xml:space="preserve">in designing its Program. A supplement to the Guidelines identifies 26 possible Red Flags. These Red Flags are not a checklist, but rather examples that may be used be used as a starting point in identifying concerns. </w:t>
      </w:r>
      <w:r>
        <w:rPr>
          <w:color w:val="00B0F0"/>
        </w:rPr>
        <w:t>[</w:t>
      </w:r>
      <w:r w:rsidRPr="000E0846">
        <w:rPr>
          <w:color w:val="000000" w:themeColor="text1"/>
        </w:rPr>
        <w:t>Insert Company Here</w:t>
      </w:r>
      <w:r>
        <w:rPr>
          <w:color w:val="00B0F0"/>
        </w:rPr>
        <w:t>]</w:t>
      </w:r>
      <w:r w:rsidRPr="000E0846">
        <w:rPr>
          <w:color w:val="000000" w:themeColor="text1"/>
        </w:rPr>
        <w:t>’s</w:t>
      </w:r>
      <w:r>
        <w:rPr>
          <w:color w:val="00B0F0"/>
        </w:rPr>
        <w:t xml:space="preserve"> </w:t>
      </w:r>
      <w:r w:rsidRPr="006B3067">
        <w:rPr>
          <w:color w:val="000000" w:themeColor="text1"/>
        </w:rPr>
        <w:t>Program should ensure that they have appropriately addressed each of the five categories of Red Flags as necessary. These five categories are as follows:</w:t>
      </w:r>
    </w:p>
    <w:p w14:paraId="3F152A76" w14:textId="77777777" w:rsidR="000E0846" w:rsidRPr="006B3067" w:rsidRDefault="000E0846" w:rsidP="000E0846">
      <w:pPr>
        <w:pStyle w:val="ListParagraph"/>
        <w:numPr>
          <w:ilvl w:val="0"/>
          <w:numId w:val="12"/>
        </w:numPr>
        <w:shd w:val="clear" w:color="auto" w:fill="FFFFFF"/>
        <w:spacing w:before="0" w:after="0" w:line="240" w:lineRule="auto"/>
        <w:rPr>
          <w:color w:val="000000" w:themeColor="text1"/>
        </w:rPr>
      </w:pPr>
      <w:r w:rsidRPr="006B3067">
        <w:rPr>
          <w:color w:val="000000" w:themeColor="text1"/>
        </w:rPr>
        <w:t>Alerts, notifications, or warnings from a CRA or other service provider;</w:t>
      </w:r>
    </w:p>
    <w:p w14:paraId="2A0AD2F3" w14:textId="77777777" w:rsidR="000E0846" w:rsidRPr="006B3067" w:rsidRDefault="000E0846" w:rsidP="000E0846">
      <w:pPr>
        <w:pStyle w:val="ListParagraph"/>
        <w:numPr>
          <w:ilvl w:val="0"/>
          <w:numId w:val="12"/>
        </w:numPr>
        <w:shd w:val="clear" w:color="auto" w:fill="FFFFFF"/>
        <w:spacing w:before="0" w:after="0" w:line="240" w:lineRule="auto"/>
        <w:rPr>
          <w:color w:val="000000" w:themeColor="text1"/>
        </w:rPr>
      </w:pPr>
      <w:r w:rsidRPr="006B3067">
        <w:rPr>
          <w:color w:val="000000" w:themeColor="text1"/>
        </w:rPr>
        <w:t>Suspicious Documents</w:t>
      </w:r>
    </w:p>
    <w:p w14:paraId="7C4B8532" w14:textId="77777777" w:rsidR="000E0846" w:rsidRPr="006B3067" w:rsidRDefault="000E0846" w:rsidP="000E0846">
      <w:pPr>
        <w:pStyle w:val="ListParagraph"/>
        <w:numPr>
          <w:ilvl w:val="0"/>
          <w:numId w:val="12"/>
        </w:numPr>
        <w:shd w:val="clear" w:color="auto" w:fill="FFFFFF"/>
        <w:spacing w:before="0" w:after="0" w:line="240" w:lineRule="auto"/>
        <w:rPr>
          <w:color w:val="000000" w:themeColor="text1"/>
        </w:rPr>
      </w:pPr>
      <w:r w:rsidRPr="006B3067">
        <w:rPr>
          <w:color w:val="000000" w:themeColor="text1"/>
        </w:rPr>
        <w:t>Suspicious personally identifying information, such as a suspicious address change</w:t>
      </w:r>
    </w:p>
    <w:p w14:paraId="7841D5F5" w14:textId="77777777" w:rsidR="000E0846" w:rsidRPr="006B3067" w:rsidRDefault="000E0846" w:rsidP="000E0846">
      <w:pPr>
        <w:pStyle w:val="ListParagraph"/>
        <w:numPr>
          <w:ilvl w:val="0"/>
          <w:numId w:val="12"/>
        </w:numPr>
        <w:shd w:val="clear" w:color="auto" w:fill="FFFFFF"/>
        <w:spacing w:before="0" w:after="0" w:line="240" w:lineRule="auto"/>
        <w:rPr>
          <w:color w:val="000000" w:themeColor="text1"/>
        </w:rPr>
      </w:pPr>
      <w:r w:rsidRPr="006B3067">
        <w:rPr>
          <w:color w:val="000000" w:themeColor="text1"/>
        </w:rPr>
        <w:lastRenderedPageBreak/>
        <w:t>Usual use of – or suspicious activity relating to – a Covered Account; and</w:t>
      </w:r>
    </w:p>
    <w:p w14:paraId="10BA0F85" w14:textId="77777777" w:rsidR="000E0846" w:rsidRPr="006B3067" w:rsidRDefault="000E0846" w:rsidP="000E0846">
      <w:pPr>
        <w:pStyle w:val="ListParagraph"/>
        <w:numPr>
          <w:ilvl w:val="0"/>
          <w:numId w:val="12"/>
        </w:numPr>
        <w:shd w:val="clear" w:color="auto" w:fill="FFFFFF"/>
        <w:spacing w:before="0" w:after="0" w:line="240" w:lineRule="auto"/>
        <w:rPr>
          <w:color w:val="000000" w:themeColor="text1"/>
        </w:rPr>
      </w:pPr>
      <w:r w:rsidRPr="006B3067">
        <w:rPr>
          <w:color w:val="000000" w:themeColor="text1"/>
        </w:rPr>
        <w:t>Notices from customers, victims of Identity Theft, law enforcement authorities, or other businesses about possible Identity Theft in connection with Covered Accounts.</w:t>
      </w:r>
    </w:p>
    <w:p w14:paraId="4CF20A01" w14:textId="77777777" w:rsidR="000E0846" w:rsidRPr="006B3067" w:rsidRDefault="000E0846" w:rsidP="000E0846">
      <w:pPr>
        <w:shd w:val="clear" w:color="auto" w:fill="FFFFFF"/>
        <w:spacing w:before="0" w:after="0" w:line="240" w:lineRule="auto"/>
        <w:rPr>
          <w:color w:val="000000" w:themeColor="text1"/>
        </w:rPr>
      </w:pPr>
    </w:p>
    <w:p w14:paraId="7C76940A" w14:textId="77777777" w:rsidR="000E0846" w:rsidRPr="006B3067" w:rsidRDefault="000E0846" w:rsidP="000E0846">
      <w:pPr>
        <w:shd w:val="clear" w:color="auto" w:fill="FFFFFF"/>
        <w:spacing w:before="0" w:after="0" w:line="240" w:lineRule="auto"/>
        <w:rPr>
          <w:color w:val="000000" w:themeColor="text1"/>
        </w:rPr>
      </w:pPr>
      <w:r w:rsidRPr="006B3067">
        <w:rPr>
          <w:color w:val="000000" w:themeColor="text1"/>
        </w:rPr>
        <w:t xml:space="preserve">In addition to addressing these five categories, </w:t>
      </w:r>
      <w:r>
        <w:rPr>
          <w:color w:val="00B0F0"/>
        </w:rPr>
        <w:t>[</w:t>
      </w:r>
      <w:r w:rsidRPr="000E0846">
        <w:rPr>
          <w:color w:val="000000" w:themeColor="text1"/>
        </w:rPr>
        <w:t>Insert Company Here</w:t>
      </w:r>
      <w:r>
        <w:rPr>
          <w:color w:val="00B0F0"/>
        </w:rPr>
        <w:t>]</w:t>
      </w:r>
      <w:r w:rsidRPr="000E0846">
        <w:rPr>
          <w:color w:val="000000" w:themeColor="text1"/>
        </w:rPr>
        <w:t>’s</w:t>
      </w:r>
      <w:r>
        <w:rPr>
          <w:color w:val="00B0F0"/>
        </w:rPr>
        <w:t xml:space="preserve"> </w:t>
      </w:r>
      <w:r w:rsidRPr="006B3067">
        <w:rPr>
          <w:color w:val="000000" w:themeColor="text1"/>
        </w:rPr>
        <w:t>Program include</w:t>
      </w:r>
      <w:r>
        <w:rPr>
          <w:color w:val="000000" w:themeColor="text1"/>
        </w:rPr>
        <w:t>s</w:t>
      </w:r>
      <w:r w:rsidRPr="006B3067">
        <w:rPr>
          <w:color w:val="000000" w:themeColor="text1"/>
        </w:rPr>
        <w:t xml:space="preserve"> a requirement for annual review and approval of the Red Flags Program, designation of a Program Administrator, and mandatory annual training</w:t>
      </w:r>
      <w:r>
        <w:rPr>
          <w:color w:val="000000" w:themeColor="text1"/>
        </w:rPr>
        <w:t>.</w:t>
      </w:r>
    </w:p>
    <w:p w14:paraId="6C1A2F01" w14:textId="77777777" w:rsidR="000E0846" w:rsidRPr="006B3067" w:rsidRDefault="000E0846" w:rsidP="000E0846">
      <w:pPr>
        <w:shd w:val="clear" w:color="auto" w:fill="FFFFFF"/>
        <w:spacing w:before="0" w:after="0" w:line="240" w:lineRule="auto"/>
        <w:rPr>
          <w:color w:val="000000" w:themeColor="text1"/>
        </w:rPr>
      </w:pPr>
    </w:p>
    <w:p w14:paraId="438A1E71" w14:textId="77777777" w:rsidR="000E0846" w:rsidRDefault="000E0846" w:rsidP="000E0846">
      <w:pPr>
        <w:spacing w:before="0" w:after="0" w:line="240" w:lineRule="auto"/>
        <w:rPr>
          <w:color w:val="000000" w:themeColor="text1"/>
        </w:rPr>
      </w:pPr>
      <w:r w:rsidRPr="007F346B">
        <w:rPr>
          <w:b/>
          <w:bCs/>
          <w:color w:val="000000" w:themeColor="text1"/>
        </w:rPr>
        <w:t>3.1.7 Address Discrepancies</w:t>
      </w:r>
      <w:r w:rsidRPr="006B3067">
        <w:rPr>
          <w:color w:val="000000" w:themeColor="text1"/>
        </w:rPr>
        <w:t xml:space="preserve">. On behalf of the Bank, </w:t>
      </w:r>
      <w:r>
        <w:rPr>
          <w:color w:val="00B0F0"/>
        </w:rPr>
        <w:t>[</w:t>
      </w:r>
      <w:r w:rsidRPr="000E0846">
        <w:rPr>
          <w:color w:val="000000" w:themeColor="text1"/>
        </w:rPr>
        <w:t>Insert Company Here</w:t>
      </w:r>
      <w:r>
        <w:rPr>
          <w:color w:val="00B0F0"/>
        </w:rPr>
        <w:t>]</w:t>
      </w:r>
      <w:r w:rsidRPr="000E0846">
        <w:rPr>
          <w:color w:val="00B0F0"/>
        </w:rPr>
        <w:t xml:space="preserve"> </w:t>
      </w:r>
      <w:r w:rsidRPr="006B3067">
        <w:rPr>
          <w:color w:val="000000" w:themeColor="text1"/>
        </w:rPr>
        <w:t xml:space="preserve">must also develop and implement reasonable processes and procedure designed to handle notices of address discrepancy received from CRAs. Whenever </w:t>
      </w:r>
      <w:r>
        <w:rPr>
          <w:color w:val="00B0F0"/>
        </w:rPr>
        <w:t>[</w:t>
      </w:r>
      <w:r w:rsidRPr="000E0846">
        <w:rPr>
          <w:color w:val="000000" w:themeColor="text1"/>
        </w:rPr>
        <w:t>Insert Company Here</w:t>
      </w:r>
      <w:r>
        <w:rPr>
          <w:color w:val="00B0F0"/>
        </w:rPr>
        <w:t>]</w:t>
      </w:r>
      <w:r w:rsidRPr="000E0846">
        <w:rPr>
          <w:color w:val="00B0F0"/>
        </w:rPr>
        <w:t xml:space="preserve"> </w:t>
      </w:r>
      <w:r w:rsidRPr="006B3067">
        <w:rPr>
          <w:color w:val="000000" w:themeColor="text1"/>
        </w:rPr>
        <w:t>receives a notice of address discrepancy in connection with a new or existing account, it must take action to resolve the discrepancy and form a reasonable belief that the consumer report related to the consumer whose report was requested.</w:t>
      </w:r>
      <w:r>
        <w:rPr>
          <w:color w:val="000000" w:themeColor="text1"/>
        </w:rPr>
        <w:t xml:space="preserve"> See Fair Credit Reporting Act Policy and associated procedures for additional information related to handling address discrepancies.</w:t>
      </w:r>
    </w:p>
    <w:p w14:paraId="24BEB03E" w14:textId="77777777" w:rsidR="000E0846" w:rsidRPr="00276ADB" w:rsidRDefault="000E0846" w:rsidP="000E0846">
      <w:pPr>
        <w:spacing w:before="0" w:after="0" w:line="240" w:lineRule="auto"/>
      </w:pPr>
    </w:p>
    <w:p w14:paraId="427BF02C" w14:textId="77777777" w:rsidR="000E0846" w:rsidRPr="00CB7C50" w:rsidRDefault="000E0846" w:rsidP="000E0846">
      <w:pPr>
        <w:pStyle w:val="Heading2"/>
        <w:spacing w:before="0" w:after="0"/>
      </w:pPr>
      <w:bookmarkStart w:id="18" w:name="_Toc28847618"/>
      <w:r>
        <w:t>Training</w:t>
      </w:r>
      <w:bookmarkEnd w:id="18"/>
    </w:p>
    <w:p w14:paraId="27B9A3EC" w14:textId="77777777" w:rsidR="000E0846" w:rsidRPr="00FE189D" w:rsidRDefault="000E0846" w:rsidP="000E0846">
      <w:pPr>
        <w:spacing w:before="0" w:after="0" w:line="240" w:lineRule="auto"/>
        <w:rPr>
          <w:u w:color="231F20"/>
        </w:rPr>
      </w:pPr>
      <w:r>
        <w:rPr>
          <w:u w:color="231F20"/>
        </w:rPr>
        <w:t>In accordance with the Compliance Management System Policy, a</w:t>
      </w:r>
      <w:r w:rsidRPr="00776F0B">
        <w:rPr>
          <w:u w:color="231F20"/>
        </w:rPr>
        <w:t>ll employees</w:t>
      </w:r>
      <w:r>
        <w:rPr>
          <w:u w:color="231F20"/>
        </w:rPr>
        <w:t xml:space="preserve"> and, as appropriate, contractors and temporary staff</w:t>
      </w:r>
      <w:r w:rsidRPr="00776F0B">
        <w:rPr>
          <w:u w:color="231F20"/>
        </w:rPr>
        <w:t xml:space="preserve"> receive </w:t>
      </w:r>
      <w:r>
        <w:rPr>
          <w:u w:color="231F20"/>
        </w:rPr>
        <w:t>training on the Red Flag Policy/Program at least annually</w:t>
      </w:r>
      <w:r w:rsidRPr="00776F0B">
        <w:rPr>
          <w:u w:color="231F20"/>
        </w:rPr>
        <w:t>. Additional training should occur commensurate with roles and</w:t>
      </w:r>
      <w:r>
        <w:rPr>
          <w:u w:color="231F20"/>
        </w:rPr>
        <w:t xml:space="preserve"> </w:t>
      </w:r>
      <w:r w:rsidRPr="00776F0B">
        <w:rPr>
          <w:u w:color="231F20"/>
        </w:rPr>
        <w:t xml:space="preserve">responsibilities for </w:t>
      </w:r>
      <w:r>
        <w:rPr>
          <w:u w:color="231F20"/>
        </w:rPr>
        <w:t>personnel</w:t>
      </w:r>
      <w:r w:rsidRPr="00776F0B">
        <w:rPr>
          <w:u w:color="231F20"/>
        </w:rPr>
        <w:t xml:space="preserve"> more actively involved in the execution and</w:t>
      </w:r>
      <w:r>
        <w:rPr>
          <w:u w:color="231F20"/>
        </w:rPr>
        <w:t xml:space="preserve"> </w:t>
      </w:r>
      <w:r w:rsidRPr="00776F0B">
        <w:rPr>
          <w:u w:color="231F20"/>
        </w:rPr>
        <w:t>development of</w:t>
      </w:r>
      <w:r>
        <w:rPr>
          <w:u w:color="231F20"/>
        </w:rPr>
        <w:t xml:space="preserve"> related-</w:t>
      </w:r>
      <w:r w:rsidRPr="00776F0B">
        <w:rPr>
          <w:u w:color="231F20"/>
        </w:rPr>
        <w:t>policies and procedures</w:t>
      </w:r>
      <w:r>
        <w:rPr>
          <w:u w:color="231F20"/>
        </w:rPr>
        <w:t>. Evidence of training is retained and made available upon request.</w:t>
      </w:r>
    </w:p>
    <w:p w14:paraId="17D269B5" w14:textId="77777777" w:rsidR="000E0846" w:rsidRDefault="000E0846" w:rsidP="000E0846">
      <w:pPr>
        <w:pStyle w:val="Heading2"/>
        <w:numPr>
          <w:ilvl w:val="0"/>
          <w:numId w:val="0"/>
        </w:numPr>
        <w:spacing w:before="0" w:after="0"/>
      </w:pPr>
    </w:p>
    <w:p w14:paraId="7E2DF77A" w14:textId="77777777" w:rsidR="000E0846" w:rsidRPr="00741A9C" w:rsidRDefault="000E0846" w:rsidP="000E0846"/>
    <w:p w14:paraId="447C0266" w14:textId="77777777" w:rsidR="000E0846" w:rsidRPr="00CB7C50" w:rsidRDefault="000E0846" w:rsidP="000E0846">
      <w:pPr>
        <w:pStyle w:val="Heading2"/>
        <w:spacing w:before="0" w:after="0"/>
      </w:pPr>
      <w:bookmarkStart w:id="19" w:name="_Toc28847619"/>
      <w:r>
        <w:t>Monitoring and testing</w:t>
      </w:r>
      <w:bookmarkEnd w:id="19"/>
    </w:p>
    <w:p w14:paraId="6474DF4A" w14:textId="77777777" w:rsidR="000E0846" w:rsidRDefault="000E0846" w:rsidP="000E0846">
      <w:pPr>
        <w:spacing w:before="0" w:after="0" w:line="240" w:lineRule="auto"/>
        <w:rPr>
          <w:u w:color="231F20"/>
        </w:rPr>
      </w:pPr>
      <w:r>
        <w:rPr>
          <w:color w:val="00B0F0"/>
        </w:rPr>
        <w:t>[</w:t>
      </w:r>
      <w:r w:rsidRPr="000E0846">
        <w:rPr>
          <w:color w:val="000000" w:themeColor="text1"/>
        </w:rPr>
        <w:t>Insert Company Here</w:t>
      </w:r>
      <w:r>
        <w:rPr>
          <w:color w:val="00B0F0"/>
        </w:rPr>
        <w:t>]</w:t>
      </w:r>
      <w:r w:rsidRPr="000E0846">
        <w:rPr>
          <w:color w:val="00B0F0"/>
        </w:rPr>
        <w:t xml:space="preserve"> </w:t>
      </w:r>
      <w:r>
        <w:rPr>
          <w:u w:color="231F20"/>
        </w:rPr>
        <w:t xml:space="preserve">maintains appropriate monitoring and testing to reasonably detect and prevent control design or effectiveness failures. Additionally, </w:t>
      </w:r>
      <w:r>
        <w:rPr>
          <w:color w:val="00B0F0"/>
        </w:rPr>
        <w:t>[</w:t>
      </w:r>
      <w:r w:rsidRPr="000E0846">
        <w:rPr>
          <w:color w:val="000000" w:themeColor="text1"/>
        </w:rPr>
        <w:t>Insert Company Here</w:t>
      </w:r>
      <w:r>
        <w:rPr>
          <w:color w:val="00B0F0"/>
        </w:rPr>
        <w:t>]</w:t>
      </w:r>
      <w:r w:rsidRPr="000E0846">
        <w:rPr>
          <w:color w:val="00B0F0"/>
        </w:rPr>
        <w:t xml:space="preserve"> </w:t>
      </w:r>
      <w:r>
        <w:rPr>
          <w:u w:color="231F20"/>
        </w:rPr>
        <w:t xml:space="preserve">will provide necessary reporting or data to the Bank in support of its monitoring and testing requirements. The Bank and </w:t>
      </w:r>
      <w:r>
        <w:rPr>
          <w:color w:val="00B0F0"/>
        </w:rPr>
        <w:t>[</w:t>
      </w:r>
      <w:r w:rsidRPr="000E0846">
        <w:rPr>
          <w:color w:val="000000" w:themeColor="text1"/>
        </w:rPr>
        <w:t>Insert Company Here</w:t>
      </w:r>
      <w:r>
        <w:rPr>
          <w:color w:val="00B0F0"/>
        </w:rPr>
        <w:t>]</w:t>
      </w:r>
      <w:r w:rsidRPr="000E0846">
        <w:rPr>
          <w:color w:val="00B0F0"/>
        </w:rPr>
        <w:t xml:space="preserve"> </w:t>
      </w:r>
      <w:r>
        <w:rPr>
          <w:u w:color="231F20"/>
        </w:rPr>
        <w:t>will work closely to ensure effective coordination and communication of such activities</w:t>
      </w:r>
    </w:p>
    <w:p w14:paraId="72A70AB9" w14:textId="77777777" w:rsidR="000E0846" w:rsidRDefault="000E0846" w:rsidP="000E0846">
      <w:pPr>
        <w:spacing w:before="0" w:after="0" w:line="240" w:lineRule="auto"/>
      </w:pPr>
    </w:p>
    <w:p w14:paraId="0D534A2E" w14:textId="77777777" w:rsidR="000E0846" w:rsidRPr="00CB7C50" w:rsidRDefault="000E0846" w:rsidP="000E0846">
      <w:pPr>
        <w:pStyle w:val="Heading2"/>
        <w:spacing w:before="0" w:after="0"/>
      </w:pPr>
      <w:bookmarkStart w:id="20" w:name="_Toc28847620"/>
      <w:r>
        <w:t>Issue Management</w:t>
      </w:r>
      <w:bookmarkEnd w:id="20"/>
    </w:p>
    <w:p w14:paraId="4F517AA3" w14:textId="77777777" w:rsidR="000E0846" w:rsidRDefault="000E0846" w:rsidP="000E0846">
      <w:pPr>
        <w:spacing w:before="0" w:after="0" w:line="240" w:lineRule="auto"/>
        <w:rPr>
          <w:u w:color="231F20"/>
        </w:rPr>
      </w:pPr>
      <w:r>
        <w:rPr>
          <w:u w:color="231F20"/>
        </w:rPr>
        <w:t xml:space="preserve">Issues or changes related to risk, process or control failures pertaining to Identity are tracked and managed by </w:t>
      </w:r>
      <w:r>
        <w:rPr>
          <w:color w:val="00B0F0"/>
        </w:rPr>
        <w:t>[</w:t>
      </w:r>
      <w:r w:rsidRPr="000E0846">
        <w:rPr>
          <w:color w:val="000000" w:themeColor="text1"/>
        </w:rPr>
        <w:t>Insert Company Here</w:t>
      </w:r>
      <w:r>
        <w:rPr>
          <w:color w:val="00B0F0"/>
        </w:rPr>
        <w:t>]</w:t>
      </w:r>
      <w:r>
        <w:rPr>
          <w:u w:color="231F20"/>
        </w:rPr>
        <w:t>. Issues logged have an owner, issue date, issue description, priority level, risk level, and an action plan for remediation, including a target date for closure. A summary of issues is reported to Risk Management Committee and the Bank on a monthly basis. Issues requiring action or management attention are managed through the issue escalation process.</w:t>
      </w:r>
    </w:p>
    <w:p w14:paraId="03DA9456" w14:textId="77777777" w:rsidR="000E0846" w:rsidRDefault="000E0846" w:rsidP="000E0846">
      <w:pPr>
        <w:spacing w:before="0" w:after="0" w:line="240" w:lineRule="auto"/>
      </w:pPr>
    </w:p>
    <w:p w14:paraId="737967E7" w14:textId="77777777" w:rsidR="000E0846" w:rsidRPr="00CB7C50" w:rsidRDefault="000E0846" w:rsidP="000E0846">
      <w:pPr>
        <w:pStyle w:val="Heading2"/>
        <w:spacing w:before="0" w:after="0"/>
      </w:pPr>
      <w:bookmarkStart w:id="21" w:name="_Toc28847621"/>
      <w:r>
        <w:t>Documentation and Record Retention</w:t>
      </w:r>
      <w:bookmarkEnd w:id="21"/>
    </w:p>
    <w:p w14:paraId="1393FFC2" w14:textId="77777777" w:rsidR="000E0846" w:rsidRDefault="000E0846" w:rsidP="000E0846">
      <w:pPr>
        <w:spacing w:before="0" w:after="0" w:line="240" w:lineRule="auto"/>
      </w:pPr>
      <w:r>
        <w:rPr>
          <w:u w:color="231F20"/>
        </w:rPr>
        <w:t xml:space="preserve">All activities supporting adherence to this Policy are documented and retained for review by the Bank and external auditors, including federal and state regulators in compliance with </w:t>
      </w:r>
      <w:r w:rsidRPr="009D7F10">
        <w:rPr>
          <w:i/>
          <w:iCs/>
          <w:u w:color="231F20"/>
        </w:rPr>
        <w:t>the Data Handling and Retention Policy</w:t>
      </w:r>
      <w:r>
        <w:rPr>
          <w:u w:color="231F20"/>
        </w:rPr>
        <w:t>. This includes policies and procedure, risk assessments, monitoring reports, training materials, and issues that are currently opened or closed.</w:t>
      </w:r>
    </w:p>
    <w:p w14:paraId="2FC76C40" w14:textId="77777777" w:rsidR="000E0846" w:rsidRDefault="000E0846" w:rsidP="000E0846">
      <w:pPr>
        <w:pStyle w:val="Heading1"/>
        <w:numPr>
          <w:ilvl w:val="0"/>
          <w:numId w:val="0"/>
        </w:numPr>
        <w:spacing w:before="0" w:after="0" w:line="240" w:lineRule="auto"/>
      </w:pPr>
      <w:bookmarkStart w:id="22" w:name="_Toc2114449"/>
      <w:bookmarkStart w:id="23" w:name="_Toc2114534"/>
    </w:p>
    <w:p w14:paraId="1090A4A0" w14:textId="77777777" w:rsidR="000E0846" w:rsidRPr="00F77154" w:rsidRDefault="000E0846" w:rsidP="000E0846">
      <w:pPr>
        <w:pStyle w:val="Heading1"/>
        <w:spacing w:before="0" w:after="0" w:line="240" w:lineRule="auto"/>
      </w:pPr>
      <w:bookmarkStart w:id="24" w:name="_Toc28847622"/>
      <w:r w:rsidRPr="00867038">
        <w:t>ROLES AND RESPONSIBILITIES</w:t>
      </w:r>
      <w:bookmarkEnd w:id="22"/>
      <w:bookmarkEnd w:id="23"/>
      <w:bookmarkEnd w:id="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988"/>
        <w:gridCol w:w="7362"/>
      </w:tblGrid>
      <w:tr w:rsidR="000E0846" w:rsidRPr="00AB4D6D" w14:paraId="79802E22" w14:textId="77777777" w:rsidTr="00CD27C3">
        <w:trPr>
          <w:tblHeader/>
        </w:trPr>
        <w:tc>
          <w:tcPr>
            <w:tcW w:w="1063" w:type="pct"/>
            <w:tcMar>
              <w:top w:w="100" w:type="dxa"/>
              <w:left w:w="100" w:type="dxa"/>
              <w:bottom w:w="100" w:type="dxa"/>
              <w:right w:w="100" w:type="dxa"/>
            </w:tcMar>
          </w:tcPr>
          <w:p w14:paraId="18084BA5" w14:textId="77777777" w:rsidR="000E0846" w:rsidRPr="00AB4D6D" w:rsidRDefault="000E0846" w:rsidP="00CD27C3">
            <w:pPr>
              <w:keepLines/>
              <w:widowControl w:val="0"/>
              <w:spacing w:before="0" w:after="0" w:line="240" w:lineRule="auto"/>
              <w:ind w:left="71"/>
              <w:contextualSpacing/>
              <w:jc w:val="center"/>
              <w:rPr>
                <w:rFonts w:eastAsia="Calibri" w:cstheme="minorHAnsi"/>
                <w:b/>
              </w:rPr>
            </w:pPr>
            <w:r w:rsidRPr="00AB4D6D">
              <w:rPr>
                <w:rFonts w:eastAsia="Calibri" w:cstheme="minorHAnsi"/>
                <w:b/>
              </w:rPr>
              <w:lastRenderedPageBreak/>
              <w:t>Responsible Party</w:t>
            </w:r>
          </w:p>
        </w:tc>
        <w:tc>
          <w:tcPr>
            <w:tcW w:w="3937" w:type="pct"/>
            <w:tcMar>
              <w:top w:w="100" w:type="dxa"/>
              <w:left w:w="100" w:type="dxa"/>
              <w:bottom w:w="100" w:type="dxa"/>
              <w:right w:w="100" w:type="dxa"/>
            </w:tcMar>
          </w:tcPr>
          <w:p w14:paraId="114AB14A" w14:textId="77777777" w:rsidR="000E0846" w:rsidRPr="00AB4D6D" w:rsidRDefault="000E0846" w:rsidP="00CD27C3">
            <w:pPr>
              <w:keepLines/>
              <w:widowControl w:val="0"/>
              <w:spacing w:before="0" w:after="0" w:line="240" w:lineRule="auto"/>
              <w:ind w:left="71"/>
              <w:contextualSpacing/>
              <w:jc w:val="center"/>
              <w:rPr>
                <w:rFonts w:eastAsia="Calibri" w:cstheme="minorHAnsi"/>
                <w:b/>
              </w:rPr>
            </w:pPr>
            <w:r w:rsidRPr="00AB4D6D">
              <w:rPr>
                <w:rFonts w:eastAsia="Calibri" w:cstheme="minorHAnsi"/>
                <w:b/>
              </w:rPr>
              <w:t>Roles</w:t>
            </w:r>
          </w:p>
        </w:tc>
      </w:tr>
      <w:tr w:rsidR="000E0846" w:rsidRPr="00AB4D6D" w14:paraId="26AEF8E2" w14:textId="77777777" w:rsidTr="00CD27C3">
        <w:tc>
          <w:tcPr>
            <w:tcW w:w="1063" w:type="pct"/>
            <w:tcMar>
              <w:top w:w="100" w:type="dxa"/>
              <w:left w:w="100" w:type="dxa"/>
              <w:bottom w:w="100" w:type="dxa"/>
              <w:right w:w="100" w:type="dxa"/>
            </w:tcMar>
          </w:tcPr>
          <w:p w14:paraId="4576CEC7" w14:textId="77777777" w:rsidR="000E0846" w:rsidRDefault="000E0846" w:rsidP="00CD27C3">
            <w:pPr>
              <w:keepLines/>
              <w:widowControl w:val="0"/>
              <w:spacing w:before="0" w:after="0" w:line="240" w:lineRule="auto"/>
              <w:ind w:left="71"/>
              <w:contextualSpacing/>
              <w:rPr>
                <w:rFonts w:eastAsia="Calibri" w:cstheme="minorHAnsi"/>
              </w:rPr>
            </w:pPr>
            <w:r>
              <w:rPr>
                <w:rFonts w:eastAsia="Calibri" w:cstheme="minorHAnsi"/>
              </w:rPr>
              <w:t xml:space="preserve">Risk Management </w:t>
            </w:r>
            <w:r w:rsidRPr="00867038">
              <w:rPr>
                <w:rFonts w:eastAsia="Calibri" w:cstheme="minorHAnsi"/>
              </w:rPr>
              <w:t>Committee</w:t>
            </w:r>
            <w:r>
              <w:rPr>
                <w:rFonts w:eastAsia="Calibri" w:cstheme="minorHAnsi"/>
              </w:rPr>
              <w:t xml:space="preserve"> – Chief Executive Officer, Chief Risk Officer, Chief Compliance Officer, Chief Information Technology Officer</w:t>
            </w:r>
          </w:p>
          <w:p w14:paraId="79E78F04" w14:textId="77777777" w:rsidR="000E0846" w:rsidRPr="00867038" w:rsidRDefault="000E0846" w:rsidP="00CD27C3">
            <w:pPr>
              <w:keepLines/>
              <w:widowControl w:val="0"/>
              <w:spacing w:before="0" w:after="0" w:line="240" w:lineRule="auto"/>
              <w:ind w:left="71"/>
              <w:contextualSpacing/>
              <w:rPr>
                <w:rFonts w:eastAsia="Calibri" w:cstheme="minorHAnsi"/>
              </w:rPr>
            </w:pPr>
          </w:p>
        </w:tc>
        <w:tc>
          <w:tcPr>
            <w:tcW w:w="3937" w:type="pct"/>
            <w:tcMar>
              <w:top w:w="100" w:type="dxa"/>
              <w:left w:w="100" w:type="dxa"/>
              <w:bottom w:w="100" w:type="dxa"/>
              <w:right w:w="100" w:type="dxa"/>
            </w:tcMar>
          </w:tcPr>
          <w:p w14:paraId="43668DC8" w14:textId="77777777" w:rsidR="000E0846" w:rsidRPr="00AB4D6D" w:rsidRDefault="000E0846" w:rsidP="00CD27C3">
            <w:pPr>
              <w:pStyle w:val="ListParagraph"/>
              <w:keepLines/>
              <w:widowControl w:val="0"/>
              <w:numPr>
                <w:ilvl w:val="0"/>
                <w:numId w:val="4"/>
              </w:numPr>
              <w:spacing w:before="0" w:after="0" w:line="240" w:lineRule="auto"/>
              <w:ind w:left="699"/>
              <w:rPr>
                <w:rFonts w:eastAsia="Calibri" w:cstheme="minorHAnsi"/>
              </w:rPr>
            </w:pPr>
            <w:r w:rsidRPr="00AB4D6D">
              <w:rPr>
                <w:rFonts w:eastAsia="Calibri" w:cstheme="minorHAnsi"/>
              </w:rPr>
              <w:t>Review this Policy</w:t>
            </w:r>
            <w:r>
              <w:rPr>
                <w:rFonts w:eastAsia="Calibri" w:cstheme="minorHAnsi"/>
              </w:rPr>
              <w:t>, and either approve proposed changes or return to the Policy Owner for revision and resubmission</w:t>
            </w:r>
          </w:p>
          <w:p w14:paraId="5059F8EA" w14:textId="77777777" w:rsidR="000E0846" w:rsidRPr="00A438C0" w:rsidRDefault="000E0846" w:rsidP="00CD27C3">
            <w:pPr>
              <w:pStyle w:val="ListParagraph"/>
              <w:keepLines/>
              <w:widowControl w:val="0"/>
              <w:numPr>
                <w:ilvl w:val="0"/>
                <w:numId w:val="4"/>
              </w:numPr>
              <w:spacing w:before="0" w:after="0" w:line="240" w:lineRule="auto"/>
              <w:ind w:left="699"/>
              <w:rPr>
                <w:rFonts w:eastAsia="Calibri" w:cstheme="minorHAnsi"/>
              </w:rPr>
            </w:pPr>
            <w:r>
              <w:rPr>
                <w:rFonts w:eastAsia="Calibri" w:cstheme="minorHAnsi"/>
              </w:rPr>
              <w:t>Provide oversight of the Company’s compliance with requirements outlined in this Policy, including monitoring and testing results, and recommendations for corrective action.</w:t>
            </w:r>
          </w:p>
        </w:tc>
      </w:tr>
      <w:tr w:rsidR="000E0846" w:rsidRPr="00AB4D6D" w14:paraId="358B9850" w14:textId="77777777" w:rsidTr="00CD27C3">
        <w:trPr>
          <w:trHeight w:val="583"/>
        </w:trPr>
        <w:tc>
          <w:tcPr>
            <w:tcW w:w="1063" w:type="pct"/>
            <w:tcMar>
              <w:top w:w="100" w:type="dxa"/>
              <w:left w:w="100" w:type="dxa"/>
              <w:bottom w:w="100" w:type="dxa"/>
              <w:right w:w="100" w:type="dxa"/>
            </w:tcMar>
          </w:tcPr>
          <w:p w14:paraId="218EC1B5" w14:textId="77777777" w:rsidR="000E0846" w:rsidRPr="00AB4D6D" w:rsidRDefault="000E0846" w:rsidP="00CD27C3">
            <w:pPr>
              <w:keepLines/>
              <w:widowControl w:val="0"/>
              <w:spacing w:before="0" w:after="0" w:line="240" w:lineRule="auto"/>
              <w:ind w:left="71"/>
              <w:contextualSpacing/>
              <w:rPr>
                <w:rFonts w:eastAsia="Calibri" w:cstheme="minorHAnsi"/>
              </w:rPr>
            </w:pPr>
            <w:r w:rsidRPr="00867038">
              <w:rPr>
                <w:rFonts w:eastAsia="Calibri" w:cstheme="minorHAnsi"/>
              </w:rPr>
              <w:t xml:space="preserve">Policy Owner: </w:t>
            </w:r>
            <w:r w:rsidRPr="00AB4D6D">
              <w:rPr>
                <w:rFonts w:eastAsia="Calibri" w:cstheme="minorHAnsi"/>
              </w:rPr>
              <w:t>C</w:t>
            </w:r>
            <w:r>
              <w:rPr>
                <w:rFonts w:eastAsia="Calibri" w:cstheme="minorHAnsi"/>
              </w:rPr>
              <w:t>hief Compliance Officer</w:t>
            </w:r>
            <w:r w:rsidRPr="00AB4D6D">
              <w:rPr>
                <w:rFonts w:eastAsia="Calibri" w:cstheme="minorHAnsi"/>
              </w:rPr>
              <w:t xml:space="preserve">  </w:t>
            </w:r>
          </w:p>
        </w:tc>
        <w:tc>
          <w:tcPr>
            <w:tcW w:w="3937" w:type="pct"/>
            <w:tcMar>
              <w:top w:w="100" w:type="dxa"/>
              <w:left w:w="100" w:type="dxa"/>
              <w:bottom w:w="100" w:type="dxa"/>
              <w:right w:w="100" w:type="dxa"/>
            </w:tcMar>
          </w:tcPr>
          <w:p w14:paraId="7CA9FACB" w14:textId="77777777" w:rsidR="000E0846" w:rsidRPr="006B3067" w:rsidRDefault="000E0846" w:rsidP="00CD27C3">
            <w:pPr>
              <w:pStyle w:val="ListParagraph"/>
              <w:keepLines/>
              <w:widowControl w:val="0"/>
              <w:numPr>
                <w:ilvl w:val="0"/>
                <w:numId w:val="3"/>
              </w:numPr>
              <w:spacing w:before="0" w:after="0" w:line="240" w:lineRule="auto"/>
              <w:ind w:left="706"/>
              <w:rPr>
                <w:rFonts w:eastAsia="Calibri" w:cstheme="minorHAnsi"/>
              </w:rPr>
            </w:pPr>
            <w:r w:rsidRPr="00AB4D6D">
              <w:rPr>
                <w:rFonts w:eastAsia="Calibri" w:cstheme="minorHAnsi"/>
              </w:rPr>
              <w:t xml:space="preserve">Review and maintain this Policy and submit for approval to the </w:t>
            </w:r>
            <w:r>
              <w:rPr>
                <w:rFonts w:eastAsia="Calibri" w:cstheme="minorHAnsi"/>
              </w:rPr>
              <w:t>Risk Management Committee</w:t>
            </w:r>
            <w:r w:rsidRPr="00AB4D6D">
              <w:rPr>
                <w:rFonts w:eastAsia="Calibri" w:cstheme="minorHAnsi"/>
              </w:rPr>
              <w:t>;</w:t>
            </w:r>
          </w:p>
          <w:p w14:paraId="200726DF" w14:textId="77777777" w:rsidR="000E0846" w:rsidRPr="006B3067" w:rsidRDefault="000E0846" w:rsidP="00CD27C3">
            <w:pPr>
              <w:pStyle w:val="ListParagraph"/>
              <w:keepLines/>
              <w:widowControl w:val="0"/>
              <w:numPr>
                <w:ilvl w:val="0"/>
                <w:numId w:val="3"/>
              </w:numPr>
              <w:spacing w:before="0" w:after="0" w:line="240" w:lineRule="auto"/>
              <w:ind w:left="706"/>
              <w:rPr>
                <w:rFonts w:eastAsia="Calibri" w:cstheme="minorHAnsi"/>
              </w:rPr>
            </w:pPr>
            <w:r>
              <w:rPr>
                <w:rFonts w:eastAsia="Calibri" w:cstheme="minorHAnsi"/>
              </w:rPr>
              <w:t>Document</w:t>
            </w:r>
            <w:r w:rsidRPr="00AB4D6D">
              <w:rPr>
                <w:rFonts w:eastAsia="Calibri" w:cstheme="minorHAnsi"/>
              </w:rPr>
              <w:t>, approve</w:t>
            </w:r>
            <w:r>
              <w:rPr>
                <w:rFonts w:eastAsia="Calibri" w:cstheme="minorHAnsi"/>
              </w:rPr>
              <w:t xml:space="preserve"> (if applicable)</w:t>
            </w:r>
            <w:r w:rsidRPr="00AB4D6D">
              <w:rPr>
                <w:rFonts w:eastAsia="Calibri" w:cstheme="minorHAnsi"/>
              </w:rPr>
              <w:t xml:space="preserve">, and report Policy exceptions to </w:t>
            </w:r>
            <w:r>
              <w:rPr>
                <w:rFonts w:eastAsia="Calibri" w:cstheme="minorHAnsi"/>
              </w:rPr>
              <w:t>the Risk Management Committee</w:t>
            </w:r>
            <w:r w:rsidRPr="00AB4D6D">
              <w:rPr>
                <w:rFonts w:eastAsia="Calibri" w:cstheme="minorHAnsi"/>
              </w:rPr>
              <w:t>;</w:t>
            </w:r>
          </w:p>
          <w:p w14:paraId="4D6B0CDB" w14:textId="77777777" w:rsidR="000E0846" w:rsidRDefault="000E0846" w:rsidP="00CD27C3">
            <w:pPr>
              <w:pStyle w:val="ListParagraph"/>
              <w:numPr>
                <w:ilvl w:val="0"/>
                <w:numId w:val="3"/>
              </w:numPr>
              <w:spacing w:before="0" w:after="0" w:line="240" w:lineRule="auto"/>
              <w:ind w:left="706"/>
              <w:rPr>
                <w:rFonts w:eastAsia="Calibri" w:cstheme="minorHAnsi"/>
              </w:rPr>
            </w:pPr>
            <w:r>
              <w:rPr>
                <w:rFonts w:eastAsia="Calibri" w:cstheme="minorHAnsi"/>
              </w:rPr>
              <w:t>Assist</w:t>
            </w:r>
            <w:r w:rsidRPr="00601712">
              <w:rPr>
                <w:rFonts w:eastAsia="Calibri" w:cstheme="minorHAnsi"/>
              </w:rPr>
              <w:t xml:space="preserve"> senior management in developing procedures an</w:t>
            </w:r>
            <w:r>
              <w:rPr>
                <w:rFonts w:eastAsia="Calibri" w:cstheme="minorHAnsi"/>
              </w:rPr>
              <w:t xml:space="preserve">d controls to implement the </w:t>
            </w:r>
            <w:r w:rsidRPr="00601712">
              <w:rPr>
                <w:rFonts w:eastAsia="Calibri" w:cstheme="minorHAnsi"/>
              </w:rPr>
              <w:t>Policy (for example, changes in operating procedures, standards, guidelines, and technologies)</w:t>
            </w:r>
            <w:r>
              <w:rPr>
                <w:rFonts w:eastAsia="Calibri" w:cstheme="minorHAnsi"/>
              </w:rPr>
              <w:t>;</w:t>
            </w:r>
          </w:p>
          <w:p w14:paraId="1ED91137" w14:textId="77777777" w:rsidR="000E0846" w:rsidRPr="00601712" w:rsidRDefault="000E0846" w:rsidP="00CD27C3">
            <w:pPr>
              <w:pStyle w:val="ListParagraph"/>
              <w:numPr>
                <w:ilvl w:val="0"/>
                <w:numId w:val="3"/>
              </w:numPr>
              <w:spacing w:before="0" w:after="0" w:line="240" w:lineRule="auto"/>
              <w:ind w:left="706"/>
              <w:rPr>
                <w:rFonts w:eastAsia="Calibri" w:cstheme="minorHAnsi"/>
              </w:rPr>
            </w:pPr>
            <w:r>
              <w:rPr>
                <w:rFonts w:eastAsia="Calibri" w:cstheme="minorHAnsi"/>
              </w:rPr>
              <w:t>Provide</w:t>
            </w:r>
            <w:r w:rsidRPr="00601712">
              <w:rPr>
                <w:rFonts w:eastAsia="Calibri" w:cstheme="minorHAnsi"/>
              </w:rPr>
              <w:t xml:space="preserve"> reports to the </w:t>
            </w:r>
            <w:r>
              <w:rPr>
                <w:rFonts w:eastAsia="Calibri" w:cstheme="minorHAnsi"/>
              </w:rPr>
              <w:t>Risk Management Committee</w:t>
            </w:r>
            <w:r w:rsidRPr="00601712">
              <w:rPr>
                <w:rFonts w:eastAsia="Calibri" w:cstheme="minorHAnsi"/>
              </w:rPr>
              <w:t xml:space="preserve"> regarding material n</w:t>
            </w:r>
            <w:r>
              <w:rPr>
                <w:rFonts w:eastAsia="Calibri" w:cstheme="minorHAnsi"/>
              </w:rPr>
              <w:t>oncompliance with respect to identity theft and red flags,</w:t>
            </w:r>
            <w:r w:rsidRPr="00601712">
              <w:rPr>
                <w:rFonts w:eastAsia="Calibri" w:cstheme="minorHAnsi"/>
              </w:rPr>
              <w:t xml:space="preserve"> as appropriate</w:t>
            </w:r>
            <w:r>
              <w:rPr>
                <w:rFonts w:eastAsia="Calibri" w:cstheme="minorHAnsi"/>
              </w:rPr>
              <w:t>;</w:t>
            </w:r>
          </w:p>
          <w:p w14:paraId="087634CA" w14:textId="77777777" w:rsidR="000E0846" w:rsidRDefault="000E0846" w:rsidP="00CD27C3">
            <w:pPr>
              <w:pStyle w:val="ListParagraph"/>
              <w:keepLines/>
              <w:widowControl w:val="0"/>
              <w:numPr>
                <w:ilvl w:val="0"/>
                <w:numId w:val="3"/>
              </w:numPr>
              <w:spacing w:before="0" w:after="0" w:line="240" w:lineRule="auto"/>
              <w:ind w:left="699"/>
              <w:rPr>
                <w:rFonts w:eastAsia="Calibri" w:cstheme="minorHAnsi"/>
              </w:rPr>
            </w:pPr>
            <w:r>
              <w:rPr>
                <w:rFonts w:eastAsia="Calibri" w:cstheme="minorHAnsi"/>
              </w:rPr>
              <w:t>Engage Legal Counsel, as appropriate, to ensure Policy risks are appropriately evaluated;</w:t>
            </w:r>
          </w:p>
          <w:p w14:paraId="39D3D9A3" w14:textId="77777777" w:rsidR="000E0846" w:rsidRDefault="000E0846" w:rsidP="00CD27C3">
            <w:pPr>
              <w:pStyle w:val="ListParagraph"/>
              <w:keepLines/>
              <w:widowControl w:val="0"/>
              <w:numPr>
                <w:ilvl w:val="0"/>
                <w:numId w:val="3"/>
              </w:numPr>
              <w:spacing w:before="0" w:after="0" w:line="240" w:lineRule="auto"/>
              <w:ind w:left="699"/>
              <w:rPr>
                <w:rFonts w:eastAsia="Calibri" w:cstheme="minorHAnsi"/>
              </w:rPr>
            </w:pPr>
            <w:r>
              <w:rPr>
                <w:rFonts w:eastAsia="Calibri" w:cstheme="minorHAnsi"/>
              </w:rPr>
              <w:t>Monitor implementation of and compliance with this Policy; and</w:t>
            </w:r>
          </w:p>
          <w:p w14:paraId="0F511B28" w14:textId="77777777" w:rsidR="000E0846" w:rsidRPr="009D7F10" w:rsidRDefault="000E0846" w:rsidP="00CD27C3">
            <w:pPr>
              <w:pStyle w:val="ListParagraph"/>
              <w:keepLines/>
              <w:widowControl w:val="0"/>
              <w:numPr>
                <w:ilvl w:val="0"/>
                <w:numId w:val="3"/>
              </w:numPr>
              <w:spacing w:before="0" w:after="0" w:line="240" w:lineRule="auto"/>
              <w:ind w:left="699"/>
              <w:rPr>
                <w:rFonts w:eastAsia="Calibri" w:cstheme="minorHAnsi"/>
              </w:rPr>
            </w:pPr>
            <w:r>
              <w:rPr>
                <w:rFonts w:eastAsia="Calibri" w:cstheme="minorHAnsi"/>
              </w:rPr>
              <w:t>Advise and support</w:t>
            </w:r>
            <w:r w:rsidRPr="00BB5D90">
              <w:rPr>
                <w:rFonts w:eastAsia="Calibri" w:cstheme="minorHAnsi"/>
              </w:rPr>
              <w:t xml:space="preserve"> senior man</w:t>
            </w:r>
            <w:r>
              <w:rPr>
                <w:rFonts w:eastAsia="Calibri" w:cstheme="minorHAnsi"/>
              </w:rPr>
              <w:t>agement, business units and service providers with r</w:t>
            </w:r>
            <w:r w:rsidRPr="00BB5D90">
              <w:rPr>
                <w:rFonts w:eastAsia="Calibri" w:cstheme="minorHAnsi"/>
              </w:rPr>
              <w:t xml:space="preserve">espect to </w:t>
            </w:r>
            <w:r>
              <w:rPr>
                <w:rFonts w:eastAsia="Calibri" w:cstheme="minorHAnsi"/>
              </w:rPr>
              <w:t>identity theft and red flags as appropriate</w:t>
            </w:r>
          </w:p>
        </w:tc>
      </w:tr>
      <w:tr w:rsidR="000E0846" w:rsidRPr="00AB4D6D" w14:paraId="64E13B91" w14:textId="77777777" w:rsidTr="00CD27C3">
        <w:tc>
          <w:tcPr>
            <w:tcW w:w="1063" w:type="pct"/>
            <w:tcMar>
              <w:top w:w="100" w:type="dxa"/>
              <w:left w:w="100" w:type="dxa"/>
              <w:bottom w:w="100" w:type="dxa"/>
              <w:right w:w="100" w:type="dxa"/>
            </w:tcMar>
          </w:tcPr>
          <w:p w14:paraId="475EF32E" w14:textId="77777777" w:rsidR="000E0846" w:rsidRDefault="000E0846" w:rsidP="00CD27C3">
            <w:pPr>
              <w:keepLines/>
              <w:widowControl w:val="0"/>
              <w:spacing w:before="0" w:after="0" w:line="240" w:lineRule="auto"/>
              <w:ind w:left="71"/>
              <w:contextualSpacing/>
              <w:rPr>
                <w:rFonts w:eastAsia="Calibri" w:cstheme="minorHAnsi"/>
              </w:rPr>
            </w:pPr>
            <w:r>
              <w:rPr>
                <w:rFonts w:eastAsia="Calibri" w:cstheme="minorHAnsi"/>
              </w:rPr>
              <w:t>Business Lines and Service Providers</w:t>
            </w:r>
          </w:p>
        </w:tc>
        <w:tc>
          <w:tcPr>
            <w:tcW w:w="3937" w:type="pct"/>
            <w:tcMar>
              <w:top w:w="100" w:type="dxa"/>
              <w:left w:w="100" w:type="dxa"/>
              <w:bottom w:w="100" w:type="dxa"/>
              <w:right w:w="100" w:type="dxa"/>
            </w:tcMar>
          </w:tcPr>
          <w:p w14:paraId="20A3F571" w14:textId="77777777" w:rsidR="000E0846" w:rsidRDefault="000E0846" w:rsidP="00CD27C3">
            <w:pPr>
              <w:pStyle w:val="ListParagraph"/>
              <w:keepLines/>
              <w:numPr>
                <w:ilvl w:val="0"/>
                <w:numId w:val="2"/>
              </w:numPr>
              <w:spacing w:before="0" w:after="0" w:line="240" w:lineRule="auto"/>
            </w:pPr>
            <w:r>
              <w:t>Comply with the requirements of this Policy</w:t>
            </w:r>
          </w:p>
          <w:p w14:paraId="4D0BBFB3" w14:textId="77777777" w:rsidR="000E0846" w:rsidRDefault="000E0846" w:rsidP="00CD27C3">
            <w:pPr>
              <w:pStyle w:val="ListParagraph"/>
              <w:keepLines/>
              <w:numPr>
                <w:ilvl w:val="0"/>
                <w:numId w:val="2"/>
              </w:numPr>
              <w:spacing w:before="0" w:after="0" w:line="240" w:lineRule="auto"/>
            </w:pPr>
            <w:r>
              <w:t>Develop, implement and maintain procedures, processes, and controls to detect, prevent, and mitigate identity theft;</w:t>
            </w:r>
          </w:p>
          <w:p w14:paraId="56C61316" w14:textId="77777777" w:rsidR="000E0846" w:rsidRDefault="000E0846" w:rsidP="00CD27C3">
            <w:pPr>
              <w:pStyle w:val="ListParagraph"/>
              <w:keepLines/>
              <w:numPr>
                <w:ilvl w:val="0"/>
                <w:numId w:val="2"/>
              </w:numPr>
              <w:spacing w:before="0" w:after="0" w:line="240" w:lineRule="auto"/>
            </w:pPr>
            <w:r>
              <w:t>Resolve and escalate identity theft and red flags as appropriate;</w:t>
            </w:r>
          </w:p>
          <w:p w14:paraId="07D723C3" w14:textId="77777777" w:rsidR="000E0846" w:rsidRDefault="000E0846" w:rsidP="00CD27C3">
            <w:pPr>
              <w:pStyle w:val="ListParagraph"/>
              <w:keepLines/>
              <w:numPr>
                <w:ilvl w:val="0"/>
                <w:numId w:val="2"/>
              </w:numPr>
              <w:spacing w:before="0" w:after="0" w:line="240" w:lineRule="auto"/>
            </w:pPr>
            <w:r>
              <w:t>Perform related responsibilities defined under the BSA/AML and OFAC Policy;</w:t>
            </w:r>
          </w:p>
          <w:p w14:paraId="6383B17A" w14:textId="77777777" w:rsidR="000E0846" w:rsidRDefault="000E0846" w:rsidP="00CD27C3">
            <w:pPr>
              <w:pStyle w:val="ListParagraph"/>
              <w:keepLines/>
              <w:numPr>
                <w:ilvl w:val="0"/>
                <w:numId w:val="2"/>
              </w:numPr>
              <w:spacing w:before="0" w:after="0" w:line="240" w:lineRule="auto"/>
            </w:pPr>
            <w:r>
              <w:t>Escalate any questions or issues regarding this Policy or its implementation to the CCO;</w:t>
            </w:r>
          </w:p>
          <w:p w14:paraId="4E3C73A8" w14:textId="77777777" w:rsidR="000E0846" w:rsidRDefault="000E0846" w:rsidP="00CD27C3">
            <w:pPr>
              <w:pStyle w:val="ListParagraph"/>
              <w:keepLines/>
              <w:numPr>
                <w:ilvl w:val="0"/>
                <w:numId w:val="2"/>
              </w:numPr>
              <w:spacing w:before="0" w:after="0" w:line="240" w:lineRule="auto"/>
            </w:pPr>
            <w:r>
              <w:t>Immediately notify the CCO if they become aware of a failure to comply with this Policy;</w:t>
            </w:r>
          </w:p>
          <w:p w14:paraId="002DC1D0" w14:textId="77777777" w:rsidR="000E0846" w:rsidRDefault="000E0846" w:rsidP="00CD27C3">
            <w:pPr>
              <w:pStyle w:val="ListParagraph"/>
              <w:keepLines/>
              <w:numPr>
                <w:ilvl w:val="0"/>
                <w:numId w:val="2"/>
              </w:numPr>
              <w:spacing w:before="0" w:after="0" w:line="240" w:lineRule="auto"/>
            </w:pPr>
            <w:r>
              <w:t xml:space="preserve">Immediately submit any conflicts between this Policy and </w:t>
            </w:r>
            <w:r>
              <w:rPr>
                <w:color w:val="00B0F0"/>
              </w:rPr>
              <w:t>[</w:t>
            </w:r>
            <w:r w:rsidRPr="000E0846">
              <w:rPr>
                <w:color w:val="000000" w:themeColor="text1"/>
              </w:rPr>
              <w:t>Insert Company Here</w:t>
            </w:r>
            <w:r>
              <w:rPr>
                <w:color w:val="00B0F0"/>
              </w:rPr>
              <w:t>]</w:t>
            </w:r>
            <w:r w:rsidRPr="000E0846">
              <w:rPr>
                <w:color w:val="000000" w:themeColor="text1"/>
              </w:rPr>
              <w:t>’s</w:t>
            </w:r>
            <w:r>
              <w:rPr>
                <w:color w:val="00B0F0"/>
              </w:rPr>
              <w:t xml:space="preserve"> </w:t>
            </w:r>
            <w:r>
              <w:t>other legal obligations to the CCO; and</w:t>
            </w:r>
          </w:p>
          <w:p w14:paraId="7670EA81" w14:textId="77777777" w:rsidR="000E0846" w:rsidRDefault="000E0846" w:rsidP="00CD27C3">
            <w:pPr>
              <w:pStyle w:val="ListParagraph"/>
              <w:keepLines/>
              <w:numPr>
                <w:ilvl w:val="0"/>
                <w:numId w:val="2"/>
              </w:numPr>
              <w:spacing w:before="0" w:after="0" w:line="240" w:lineRule="auto"/>
            </w:pPr>
            <w:r>
              <w:t>Ensure that employees receive adequate training on this Policy/Program for their roles and responsibilities.</w:t>
            </w:r>
          </w:p>
        </w:tc>
      </w:tr>
      <w:tr w:rsidR="000E0846" w:rsidRPr="00AB4D6D" w14:paraId="6404A786" w14:textId="77777777" w:rsidTr="00CD27C3">
        <w:tc>
          <w:tcPr>
            <w:tcW w:w="1063" w:type="pct"/>
            <w:tcMar>
              <w:top w:w="100" w:type="dxa"/>
              <w:left w:w="100" w:type="dxa"/>
              <w:bottom w:w="100" w:type="dxa"/>
              <w:right w:w="100" w:type="dxa"/>
            </w:tcMar>
          </w:tcPr>
          <w:p w14:paraId="2FB716B3" w14:textId="77777777" w:rsidR="000E0846" w:rsidRPr="00867038" w:rsidRDefault="000E0846" w:rsidP="00CD27C3">
            <w:pPr>
              <w:keepLines/>
              <w:widowControl w:val="0"/>
              <w:spacing w:before="0" w:after="0" w:line="240" w:lineRule="auto"/>
              <w:ind w:left="71"/>
              <w:contextualSpacing/>
              <w:rPr>
                <w:rFonts w:eastAsia="Calibri" w:cstheme="minorHAnsi"/>
              </w:rPr>
            </w:pPr>
            <w:r>
              <w:rPr>
                <w:rFonts w:eastAsia="Calibri" w:cstheme="minorHAnsi"/>
              </w:rPr>
              <w:t>Legal Counsel</w:t>
            </w:r>
          </w:p>
        </w:tc>
        <w:tc>
          <w:tcPr>
            <w:tcW w:w="3937" w:type="pct"/>
            <w:tcMar>
              <w:top w:w="100" w:type="dxa"/>
              <w:left w:w="100" w:type="dxa"/>
              <w:bottom w:w="100" w:type="dxa"/>
              <w:right w:w="100" w:type="dxa"/>
            </w:tcMar>
          </w:tcPr>
          <w:p w14:paraId="1DEE8F85" w14:textId="77777777" w:rsidR="000E0846" w:rsidRPr="00AB4D6D" w:rsidRDefault="000E0846" w:rsidP="00CD27C3">
            <w:pPr>
              <w:pStyle w:val="ListParagraph"/>
              <w:keepLines/>
              <w:numPr>
                <w:ilvl w:val="0"/>
                <w:numId w:val="2"/>
              </w:numPr>
              <w:spacing w:before="0" w:after="0" w:line="240" w:lineRule="auto"/>
            </w:pPr>
            <w:r>
              <w:t xml:space="preserve">Provide direction to the CCO and business lines on interpreting </w:t>
            </w:r>
            <w:r>
              <w:rPr>
                <w:color w:val="00B0F0"/>
              </w:rPr>
              <w:t>[</w:t>
            </w:r>
            <w:r w:rsidRPr="000E0846">
              <w:rPr>
                <w:color w:val="000000" w:themeColor="text1"/>
              </w:rPr>
              <w:t>Insert Company Here</w:t>
            </w:r>
            <w:r>
              <w:rPr>
                <w:color w:val="00B0F0"/>
              </w:rPr>
              <w:t>]</w:t>
            </w:r>
            <w:r w:rsidRPr="000E0846">
              <w:rPr>
                <w:color w:val="000000" w:themeColor="text1"/>
              </w:rPr>
              <w:t>’s</w:t>
            </w:r>
            <w:r>
              <w:rPr>
                <w:color w:val="00B0F0"/>
              </w:rPr>
              <w:t xml:space="preserve"> </w:t>
            </w:r>
            <w:r>
              <w:t>obligations under this Policy</w:t>
            </w:r>
            <w:r w:rsidRPr="00AB4D6D">
              <w:t>.</w:t>
            </w:r>
          </w:p>
        </w:tc>
      </w:tr>
    </w:tbl>
    <w:p w14:paraId="219BA117" w14:textId="77777777" w:rsidR="000E0846" w:rsidRPr="007F346B" w:rsidRDefault="000E0846" w:rsidP="000E0846">
      <w:pPr>
        <w:spacing w:before="0" w:after="0" w:line="240" w:lineRule="auto"/>
      </w:pPr>
      <w:bookmarkStart w:id="25" w:name="_Toc2114450"/>
      <w:bookmarkStart w:id="26" w:name="_Toc2114535"/>
    </w:p>
    <w:p w14:paraId="6A7FA7ED" w14:textId="77777777" w:rsidR="000E0846" w:rsidRPr="00F77154" w:rsidRDefault="000E0846" w:rsidP="000E0846">
      <w:pPr>
        <w:pStyle w:val="Heading1"/>
        <w:spacing w:before="0" w:after="0" w:line="240" w:lineRule="auto"/>
      </w:pPr>
      <w:bookmarkStart w:id="27" w:name="_Toc28847623"/>
      <w:r w:rsidRPr="00867038">
        <w:t>EXCEPTIONS</w:t>
      </w:r>
      <w:bookmarkEnd w:id="25"/>
      <w:bookmarkEnd w:id="26"/>
      <w:bookmarkEnd w:id="27"/>
    </w:p>
    <w:p w14:paraId="3E5A0E42" w14:textId="77777777" w:rsidR="000E0846" w:rsidRDefault="000E0846" w:rsidP="000E0846">
      <w:pPr>
        <w:spacing w:before="0" w:after="0" w:line="240" w:lineRule="auto"/>
      </w:pPr>
      <w:r w:rsidRPr="00867038">
        <w:lastRenderedPageBreak/>
        <w:t xml:space="preserve">From time to time, </w:t>
      </w:r>
      <w:r>
        <w:rPr>
          <w:color w:val="00B0F0"/>
        </w:rPr>
        <w:t>[</w:t>
      </w:r>
      <w:r w:rsidRPr="000E0846">
        <w:rPr>
          <w:color w:val="000000" w:themeColor="text1"/>
        </w:rPr>
        <w:t>Insert Company Here</w:t>
      </w:r>
      <w:r>
        <w:rPr>
          <w:color w:val="00B0F0"/>
        </w:rPr>
        <w:t>]</w:t>
      </w:r>
      <w:r w:rsidRPr="000E0846">
        <w:rPr>
          <w:color w:val="00B0F0"/>
        </w:rPr>
        <w:t xml:space="preserve"> </w:t>
      </w:r>
      <w:r w:rsidRPr="00867038">
        <w:t xml:space="preserve">may reasonably determine that a Policy exception is warranted. </w:t>
      </w:r>
      <w:r>
        <w:t xml:space="preserve">All exceptions must be approved in writing by </w:t>
      </w:r>
      <w:r w:rsidRPr="00867038">
        <w:t xml:space="preserve">the Policy Owner </w:t>
      </w:r>
      <w:r>
        <w:t xml:space="preserve">and </w:t>
      </w:r>
      <w:r w:rsidRPr="00867038">
        <w:t>report</w:t>
      </w:r>
      <w:r>
        <w:t>ed</w:t>
      </w:r>
      <w:r w:rsidRPr="00867038">
        <w:t xml:space="preserve"> to</w:t>
      </w:r>
      <w:r>
        <w:t xml:space="preserve"> both</w:t>
      </w:r>
      <w:r w:rsidRPr="00867038">
        <w:t xml:space="preserve"> the </w:t>
      </w:r>
      <w:r>
        <w:t>Compliance</w:t>
      </w:r>
      <w:r w:rsidRPr="00867038">
        <w:t xml:space="preserve"> Committee</w:t>
      </w:r>
      <w:r>
        <w:t xml:space="preserve"> and</w:t>
      </w:r>
      <w:r w:rsidRPr="00867038">
        <w:t xml:space="preserve"> the </w:t>
      </w:r>
      <w:r>
        <w:t>Risk Management Committee. The Risk Management Committee must be appraised of</w:t>
      </w:r>
      <w:r w:rsidRPr="00867038">
        <w:t xml:space="preserve"> potential risks associated with the exception as well as any proposed actions for mitigating risks.</w:t>
      </w:r>
    </w:p>
    <w:p w14:paraId="1FE1C7AE" w14:textId="77777777" w:rsidR="000E0846" w:rsidRPr="00867038" w:rsidRDefault="000E0846" w:rsidP="000E0846">
      <w:pPr>
        <w:spacing w:before="0" w:after="0" w:line="240" w:lineRule="auto"/>
      </w:pPr>
    </w:p>
    <w:p w14:paraId="33B61F8D" w14:textId="77777777" w:rsidR="000E0846" w:rsidRDefault="000E0846" w:rsidP="000E0846">
      <w:pPr>
        <w:spacing w:before="0" w:after="0" w:line="240" w:lineRule="auto"/>
      </w:pPr>
      <w:r w:rsidRPr="00867038">
        <w:t>Notwithstanding the foregoing, under no circumstances does</w:t>
      </w:r>
      <w:r>
        <w:t xml:space="preserve"> this Policy</w:t>
      </w:r>
      <w:r w:rsidRPr="00867038">
        <w:t xml:space="preserve"> </w:t>
      </w:r>
      <w:r>
        <w:t xml:space="preserve">permit an </w:t>
      </w:r>
      <w:r w:rsidRPr="00867038">
        <w:t>exception that would result in a violation of law.</w:t>
      </w:r>
    </w:p>
    <w:p w14:paraId="6CE526AE" w14:textId="77777777" w:rsidR="000E0846" w:rsidRDefault="000E0846" w:rsidP="000E0846">
      <w:pPr>
        <w:spacing w:before="0" w:after="0" w:line="240" w:lineRule="auto"/>
      </w:pPr>
    </w:p>
    <w:p w14:paraId="2E09E5D6" w14:textId="77777777" w:rsidR="000E0846" w:rsidRDefault="000E0846" w:rsidP="000E0846">
      <w:pPr>
        <w:spacing w:before="0" w:after="0" w:line="240" w:lineRule="auto"/>
      </w:pPr>
    </w:p>
    <w:p w14:paraId="4CC309B3" w14:textId="77777777" w:rsidR="000E0846" w:rsidRPr="00867038" w:rsidRDefault="000E0846" w:rsidP="000E0846">
      <w:pPr>
        <w:spacing w:before="0" w:after="0" w:line="240" w:lineRule="auto"/>
      </w:pPr>
    </w:p>
    <w:p w14:paraId="7157F263" w14:textId="77777777" w:rsidR="000E0846" w:rsidRPr="005B7C83" w:rsidRDefault="000E0846" w:rsidP="000E0846">
      <w:pPr>
        <w:pStyle w:val="Heading1"/>
        <w:spacing w:before="0" w:after="0" w:line="240" w:lineRule="auto"/>
      </w:pPr>
      <w:bookmarkStart w:id="28" w:name="_Toc2114451"/>
      <w:bookmarkStart w:id="29" w:name="_Toc2114536"/>
      <w:bookmarkStart w:id="30" w:name="_Toc28847624"/>
      <w:r w:rsidRPr="00867038">
        <w:t>POLICY ADMINISTRATION</w:t>
      </w:r>
      <w:bookmarkEnd w:id="28"/>
      <w:bookmarkEnd w:id="29"/>
      <w:bookmarkEnd w:id="30"/>
    </w:p>
    <w:p w14:paraId="55FAC26A" w14:textId="77777777" w:rsidR="000E0846" w:rsidRDefault="000E0846" w:rsidP="000E0846">
      <w:pPr>
        <w:pStyle w:val="Heading2"/>
        <w:numPr>
          <w:ilvl w:val="0"/>
          <w:numId w:val="0"/>
        </w:numPr>
        <w:spacing w:before="0" w:after="0"/>
        <w:ind w:left="576"/>
      </w:pPr>
      <w:bookmarkStart w:id="31" w:name="_Toc2114452"/>
      <w:bookmarkStart w:id="32" w:name="_Toc2114537"/>
    </w:p>
    <w:p w14:paraId="10013F7E" w14:textId="77777777" w:rsidR="000E0846" w:rsidRDefault="000E0846" w:rsidP="000E0846">
      <w:pPr>
        <w:pStyle w:val="Heading2"/>
        <w:spacing w:before="0" w:after="0"/>
      </w:pPr>
      <w:bookmarkStart w:id="33" w:name="_Toc28847625"/>
      <w:r w:rsidRPr="00867038">
        <w:t>Effective Date</w:t>
      </w:r>
      <w:bookmarkEnd w:id="31"/>
      <w:bookmarkEnd w:id="32"/>
      <w:bookmarkEnd w:id="33"/>
    </w:p>
    <w:p w14:paraId="1AED763B" w14:textId="77777777" w:rsidR="000E0846" w:rsidRDefault="000E0846" w:rsidP="000E0846">
      <w:pPr>
        <w:pStyle w:val="Heading2"/>
        <w:numPr>
          <w:ilvl w:val="0"/>
          <w:numId w:val="0"/>
        </w:numPr>
        <w:spacing w:before="0" w:after="0"/>
        <w:ind w:left="576"/>
      </w:pPr>
      <w:bookmarkStart w:id="34" w:name="_Toc2114453"/>
      <w:bookmarkStart w:id="35" w:name="_Toc2114538"/>
    </w:p>
    <w:p w14:paraId="22DD646A" w14:textId="77777777" w:rsidR="000E0846" w:rsidRPr="00F77154" w:rsidRDefault="000E0846" w:rsidP="000E0846">
      <w:pPr>
        <w:pStyle w:val="Heading2"/>
        <w:spacing w:before="0" w:after="0"/>
      </w:pPr>
      <w:bookmarkStart w:id="36" w:name="_Toc28847626"/>
      <w:r w:rsidRPr="00867038">
        <w:t>Document Management</w:t>
      </w:r>
      <w:bookmarkEnd w:id="34"/>
      <w:bookmarkEnd w:id="35"/>
      <w:bookmarkEnd w:id="36"/>
      <w:r w:rsidRPr="00867038">
        <w:t xml:space="preserve"> </w:t>
      </w:r>
    </w:p>
    <w:p w14:paraId="22620C14" w14:textId="77777777" w:rsidR="000E0846" w:rsidRDefault="000E0846" w:rsidP="000E0846">
      <w:pPr>
        <w:spacing w:before="0" w:after="0" w:line="240" w:lineRule="auto"/>
      </w:pPr>
      <w:r w:rsidRPr="00867038">
        <w:t xml:space="preserve">This section is intended to track minor updates. Minor updates to the </w:t>
      </w:r>
      <w:r>
        <w:t>P</w:t>
      </w:r>
      <w:r w:rsidRPr="00867038">
        <w:t>olicy</w:t>
      </w:r>
      <w:r>
        <w:t>/Program</w:t>
      </w:r>
      <w:r w:rsidRPr="00867038">
        <w:t xml:space="preserve"> may be approved by the chair of the responsible management committee</w:t>
      </w:r>
      <w:r>
        <w:t>.</w:t>
      </w:r>
    </w:p>
    <w:p w14:paraId="26761F61" w14:textId="77777777" w:rsidR="000E0846" w:rsidRPr="009D7F10" w:rsidRDefault="000E0846" w:rsidP="000E0846">
      <w:pPr>
        <w:spacing w:before="0" w:after="0" w:line="240" w:lineRule="auto"/>
      </w:pPr>
    </w:p>
    <w:tbl>
      <w:tblPr>
        <w:tblStyle w:val="TableGrid"/>
        <w:tblW w:w="5000" w:type="pct"/>
        <w:tblLook w:val="04A0" w:firstRow="1" w:lastRow="0" w:firstColumn="1" w:lastColumn="0" w:noHBand="0" w:noVBand="1"/>
      </w:tblPr>
      <w:tblGrid>
        <w:gridCol w:w="1365"/>
        <w:gridCol w:w="3456"/>
        <w:gridCol w:w="2486"/>
        <w:gridCol w:w="1058"/>
        <w:gridCol w:w="985"/>
      </w:tblGrid>
      <w:tr w:rsidR="000E0846" w:rsidRPr="005A4199" w14:paraId="26097B17" w14:textId="77777777" w:rsidTr="00CD27C3">
        <w:trPr>
          <w:trHeight w:val="458"/>
        </w:trPr>
        <w:tc>
          <w:tcPr>
            <w:tcW w:w="742" w:type="pct"/>
            <w:vAlign w:val="center"/>
          </w:tcPr>
          <w:p w14:paraId="1C9E83FD" w14:textId="77777777" w:rsidR="000E0846" w:rsidRPr="005A4199" w:rsidRDefault="000E0846" w:rsidP="00CD27C3">
            <w:pPr>
              <w:keepLines/>
              <w:widowControl w:val="0"/>
              <w:spacing w:before="0" w:after="0" w:line="240" w:lineRule="auto"/>
              <w:ind w:left="71"/>
              <w:contextualSpacing/>
              <w:rPr>
                <w:rFonts w:asciiTheme="minorHAnsi" w:eastAsia="Calibri" w:hAnsiTheme="minorHAnsi" w:cstheme="minorHAnsi"/>
                <w:b/>
              </w:rPr>
            </w:pPr>
            <w:r w:rsidRPr="005A4199">
              <w:rPr>
                <w:rFonts w:asciiTheme="minorHAnsi" w:eastAsia="Calibri" w:hAnsiTheme="minorHAnsi" w:cstheme="minorHAnsi"/>
                <w:b/>
              </w:rPr>
              <w:t>Modified Date</w:t>
            </w:r>
          </w:p>
        </w:tc>
        <w:tc>
          <w:tcPr>
            <w:tcW w:w="1860" w:type="pct"/>
            <w:vAlign w:val="center"/>
          </w:tcPr>
          <w:p w14:paraId="083A39C9" w14:textId="77777777" w:rsidR="000E0846" w:rsidRPr="005A4199" w:rsidRDefault="000E0846" w:rsidP="00CD27C3">
            <w:pPr>
              <w:keepLines/>
              <w:widowControl w:val="0"/>
              <w:spacing w:before="0" w:after="0" w:line="240" w:lineRule="auto"/>
              <w:ind w:left="71"/>
              <w:contextualSpacing/>
              <w:rPr>
                <w:rFonts w:asciiTheme="minorHAnsi" w:eastAsia="Calibri" w:hAnsiTheme="minorHAnsi" w:cstheme="minorHAnsi"/>
                <w:b/>
              </w:rPr>
            </w:pPr>
            <w:r w:rsidRPr="005A4199">
              <w:rPr>
                <w:rFonts w:asciiTheme="minorHAnsi" w:eastAsia="Calibri" w:hAnsiTheme="minorHAnsi" w:cstheme="minorHAnsi"/>
                <w:b/>
              </w:rPr>
              <w:t>Modified By</w:t>
            </w:r>
          </w:p>
        </w:tc>
        <w:tc>
          <w:tcPr>
            <w:tcW w:w="1341" w:type="pct"/>
            <w:vAlign w:val="center"/>
          </w:tcPr>
          <w:p w14:paraId="3CC78253" w14:textId="77777777" w:rsidR="000E0846" w:rsidRPr="005A4199" w:rsidRDefault="000E0846" w:rsidP="00CD27C3">
            <w:pPr>
              <w:keepLines/>
              <w:widowControl w:val="0"/>
              <w:spacing w:before="0" w:after="0" w:line="240" w:lineRule="auto"/>
              <w:ind w:left="71"/>
              <w:contextualSpacing/>
              <w:rPr>
                <w:rFonts w:asciiTheme="minorHAnsi" w:eastAsia="Calibri" w:hAnsiTheme="minorHAnsi" w:cstheme="minorHAnsi"/>
                <w:b/>
              </w:rPr>
            </w:pPr>
            <w:r w:rsidRPr="005A4199">
              <w:rPr>
                <w:rFonts w:asciiTheme="minorHAnsi" w:eastAsia="Calibri" w:hAnsiTheme="minorHAnsi" w:cstheme="minorHAnsi"/>
                <w:b/>
              </w:rPr>
              <w:t>Approved By</w:t>
            </w:r>
          </w:p>
        </w:tc>
        <w:tc>
          <w:tcPr>
            <w:tcW w:w="549" w:type="pct"/>
            <w:vAlign w:val="center"/>
          </w:tcPr>
          <w:p w14:paraId="4CDF8DBB" w14:textId="77777777" w:rsidR="000E0846" w:rsidRPr="005A4199" w:rsidRDefault="000E0846" w:rsidP="00CD27C3">
            <w:pPr>
              <w:keepLines/>
              <w:widowControl w:val="0"/>
              <w:spacing w:before="0" w:after="0" w:line="240" w:lineRule="auto"/>
              <w:ind w:left="71"/>
              <w:contextualSpacing/>
              <w:rPr>
                <w:rFonts w:asciiTheme="minorHAnsi" w:eastAsia="Calibri" w:hAnsiTheme="minorHAnsi" w:cstheme="minorHAnsi"/>
                <w:b/>
              </w:rPr>
            </w:pPr>
            <w:r w:rsidRPr="005A4199">
              <w:rPr>
                <w:rFonts w:asciiTheme="minorHAnsi" w:eastAsia="Calibri" w:hAnsiTheme="minorHAnsi" w:cstheme="minorHAnsi"/>
                <w:b/>
              </w:rPr>
              <w:t>Revision</w:t>
            </w:r>
          </w:p>
        </w:tc>
        <w:tc>
          <w:tcPr>
            <w:tcW w:w="508" w:type="pct"/>
            <w:vAlign w:val="center"/>
          </w:tcPr>
          <w:p w14:paraId="374D2822" w14:textId="77777777" w:rsidR="000E0846" w:rsidRPr="005A4199" w:rsidRDefault="000E0846" w:rsidP="00CD27C3">
            <w:pPr>
              <w:keepLines/>
              <w:widowControl w:val="0"/>
              <w:spacing w:before="0" w:after="0" w:line="240" w:lineRule="auto"/>
              <w:ind w:left="71"/>
              <w:contextualSpacing/>
              <w:rPr>
                <w:rFonts w:asciiTheme="minorHAnsi" w:eastAsia="Calibri" w:hAnsiTheme="minorHAnsi" w:cstheme="minorHAnsi"/>
                <w:b/>
              </w:rPr>
            </w:pPr>
            <w:r w:rsidRPr="005A4199">
              <w:rPr>
                <w:rFonts w:asciiTheme="minorHAnsi" w:eastAsia="Calibri" w:hAnsiTheme="minorHAnsi" w:cstheme="minorHAnsi"/>
                <w:b/>
              </w:rPr>
              <w:t>Version</w:t>
            </w:r>
          </w:p>
        </w:tc>
      </w:tr>
      <w:tr w:rsidR="000E0846" w:rsidRPr="005A4199" w14:paraId="6275C8E2" w14:textId="77777777" w:rsidTr="00CD27C3">
        <w:tc>
          <w:tcPr>
            <w:tcW w:w="742" w:type="pct"/>
            <w:vAlign w:val="center"/>
          </w:tcPr>
          <w:p w14:paraId="54C3F9EB" w14:textId="77777777" w:rsidR="000E0846" w:rsidRPr="00867038" w:rsidRDefault="000E0846" w:rsidP="00CD27C3">
            <w:pPr>
              <w:keepLines/>
              <w:widowControl w:val="0"/>
              <w:spacing w:before="0" w:after="0" w:line="240" w:lineRule="auto"/>
              <w:ind w:left="71"/>
              <w:contextualSpacing/>
              <w:rPr>
                <w:rFonts w:asciiTheme="minorHAnsi" w:eastAsia="Calibri" w:hAnsiTheme="minorHAnsi" w:cstheme="minorHAnsi"/>
              </w:rPr>
            </w:pPr>
          </w:p>
        </w:tc>
        <w:tc>
          <w:tcPr>
            <w:tcW w:w="1860" w:type="pct"/>
            <w:vAlign w:val="center"/>
          </w:tcPr>
          <w:p w14:paraId="7D57A108" w14:textId="77777777" w:rsidR="000E0846" w:rsidRPr="00867038" w:rsidRDefault="000E0846" w:rsidP="00CD27C3">
            <w:pPr>
              <w:keepLines/>
              <w:widowControl w:val="0"/>
              <w:spacing w:before="0" w:after="0" w:line="240" w:lineRule="auto"/>
              <w:ind w:left="71"/>
              <w:contextualSpacing/>
              <w:rPr>
                <w:rFonts w:asciiTheme="minorHAnsi" w:eastAsia="Calibri" w:hAnsiTheme="minorHAnsi" w:cstheme="minorHAnsi"/>
              </w:rPr>
            </w:pPr>
            <w:r>
              <w:rPr>
                <w:rFonts w:asciiTheme="minorHAnsi" w:eastAsia="Calibri" w:hAnsiTheme="minorHAnsi" w:cstheme="minorHAnsi"/>
              </w:rPr>
              <w:t xml:space="preserve">Chief Compliance Officer </w:t>
            </w:r>
          </w:p>
        </w:tc>
        <w:tc>
          <w:tcPr>
            <w:tcW w:w="1341" w:type="pct"/>
            <w:vAlign w:val="center"/>
          </w:tcPr>
          <w:p w14:paraId="25C9A8FE" w14:textId="77777777" w:rsidR="000E0846" w:rsidRPr="00867038" w:rsidRDefault="000E0846" w:rsidP="00CD27C3">
            <w:pPr>
              <w:keepLines/>
              <w:widowControl w:val="0"/>
              <w:spacing w:before="0" w:after="0" w:line="240" w:lineRule="auto"/>
              <w:ind w:left="71"/>
              <w:contextualSpacing/>
              <w:rPr>
                <w:rFonts w:asciiTheme="minorHAnsi" w:eastAsia="Calibri" w:hAnsiTheme="minorHAnsi" w:cstheme="minorHAnsi"/>
              </w:rPr>
            </w:pPr>
            <w:r>
              <w:rPr>
                <w:rFonts w:asciiTheme="minorHAnsi" w:eastAsia="Calibri" w:hAnsiTheme="minorHAnsi" w:cstheme="minorHAnsi"/>
              </w:rPr>
              <w:t xml:space="preserve">Risk Management Committee </w:t>
            </w:r>
          </w:p>
        </w:tc>
        <w:tc>
          <w:tcPr>
            <w:tcW w:w="549" w:type="pct"/>
            <w:vAlign w:val="center"/>
          </w:tcPr>
          <w:p w14:paraId="4464E021" w14:textId="77777777" w:rsidR="000E0846" w:rsidRPr="00867038" w:rsidRDefault="000E0846" w:rsidP="00CD27C3">
            <w:pPr>
              <w:keepLines/>
              <w:widowControl w:val="0"/>
              <w:spacing w:before="0" w:after="0" w:line="240" w:lineRule="auto"/>
              <w:ind w:left="71"/>
              <w:contextualSpacing/>
              <w:rPr>
                <w:rFonts w:asciiTheme="minorHAnsi" w:eastAsia="Calibri" w:hAnsiTheme="minorHAnsi" w:cstheme="minorHAnsi"/>
              </w:rPr>
            </w:pPr>
          </w:p>
        </w:tc>
        <w:tc>
          <w:tcPr>
            <w:tcW w:w="508" w:type="pct"/>
            <w:vAlign w:val="center"/>
          </w:tcPr>
          <w:p w14:paraId="6CF7333E" w14:textId="77777777" w:rsidR="000E0846" w:rsidRPr="00867038" w:rsidRDefault="000E0846" w:rsidP="00CD27C3">
            <w:pPr>
              <w:keepLines/>
              <w:widowControl w:val="0"/>
              <w:spacing w:before="0" w:after="0" w:line="240" w:lineRule="auto"/>
              <w:ind w:left="71"/>
              <w:contextualSpacing/>
              <w:rPr>
                <w:rFonts w:asciiTheme="minorHAnsi" w:eastAsia="Calibri" w:hAnsiTheme="minorHAnsi" w:cstheme="minorHAnsi"/>
              </w:rPr>
            </w:pPr>
            <w:r>
              <w:rPr>
                <w:rFonts w:asciiTheme="minorHAnsi" w:eastAsia="Calibri" w:hAnsiTheme="minorHAnsi" w:cstheme="minorHAnsi"/>
              </w:rPr>
              <w:t>1.1</w:t>
            </w:r>
          </w:p>
        </w:tc>
      </w:tr>
    </w:tbl>
    <w:p w14:paraId="5BA86D93" w14:textId="77777777" w:rsidR="000E0846" w:rsidRDefault="000E0846" w:rsidP="000E0846">
      <w:pPr>
        <w:pStyle w:val="Heading2"/>
        <w:numPr>
          <w:ilvl w:val="0"/>
          <w:numId w:val="0"/>
        </w:numPr>
        <w:spacing w:before="0" w:after="0"/>
        <w:ind w:left="576"/>
      </w:pPr>
      <w:bookmarkStart w:id="37" w:name="_Toc2114454"/>
      <w:bookmarkStart w:id="38" w:name="_Toc2114539"/>
    </w:p>
    <w:p w14:paraId="67809AAF" w14:textId="77777777" w:rsidR="000E0846" w:rsidRDefault="000E0846" w:rsidP="000E0846">
      <w:pPr>
        <w:pStyle w:val="Heading2"/>
        <w:spacing w:before="0" w:after="0"/>
      </w:pPr>
      <w:bookmarkStart w:id="39" w:name="_Toc28847627"/>
      <w:r w:rsidRPr="00867038">
        <w:t>Approval Management</w:t>
      </w:r>
      <w:bookmarkEnd w:id="37"/>
      <w:bookmarkEnd w:id="38"/>
      <w:bookmarkEnd w:id="39"/>
      <w:r w:rsidRPr="00867038">
        <w:t xml:space="preserve"> </w:t>
      </w:r>
    </w:p>
    <w:p w14:paraId="4BBB1632" w14:textId="77777777" w:rsidR="000E0846" w:rsidRDefault="000E0846" w:rsidP="000E0846">
      <w:pPr>
        <w:spacing w:before="0" w:after="0" w:line="240" w:lineRule="auto"/>
      </w:pPr>
      <w:r w:rsidRPr="00867038">
        <w:t>(This section is intended to track formal approval dates/authority)</w:t>
      </w:r>
    </w:p>
    <w:p w14:paraId="634F6835" w14:textId="77777777" w:rsidR="000E0846" w:rsidRPr="00F77154" w:rsidRDefault="000E0846" w:rsidP="000E0846">
      <w:pPr>
        <w:spacing w:before="0" w:after="0" w:line="240" w:lineRule="auto"/>
      </w:pP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600" w:firstRow="0" w:lastRow="0" w:firstColumn="0" w:lastColumn="0" w:noHBand="1" w:noVBand="1"/>
      </w:tblPr>
      <w:tblGrid>
        <w:gridCol w:w="3839"/>
        <w:gridCol w:w="3339"/>
        <w:gridCol w:w="2176"/>
      </w:tblGrid>
      <w:tr w:rsidR="000E0846" w:rsidRPr="005A4199" w14:paraId="43005B2E" w14:textId="77777777" w:rsidTr="00CD27C3">
        <w:trPr>
          <w:trHeight w:val="192"/>
        </w:trPr>
        <w:tc>
          <w:tcPr>
            <w:tcW w:w="2052" w:type="pct"/>
            <w:tcMar>
              <w:top w:w="100" w:type="dxa"/>
              <w:left w:w="100" w:type="dxa"/>
              <w:bottom w:w="100" w:type="dxa"/>
              <w:right w:w="100" w:type="dxa"/>
            </w:tcMar>
          </w:tcPr>
          <w:p w14:paraId="785DB69B" w14:textId="77777777" w:rsidR="000E0846" w:rsidRPr="005A4199" w:rsidRDefault="000E0846" w:rsidP="00CD27C3">
            <w:pPr>
              <w:keepLines/>
              <w:widowControl w:val="0"/>
              <w:spacing w:before="0" w:after="0" w:line="240" w:lineRule="auto"/>
              <w:ind w:left="71"/>
              <w:contextualSpacing/>
              <w:rPr>
                <w:rFonts w:eastAsia="Calibri" w:cstheme="minorHAnsi"/>
                <w:b/>
              </w:rPr>
            </w:pPr>
            <w:r w:rsidRPr="005A4199">
              <w:rPr>
                <w:rFonts w:eastAsia="Calibri" w:cstheme="minorHAnsi"/>
                <w:b/>
              </w:rPr>
              <w:t>Approved Date</w:t>
            </w:r>
          </w:p>
        </w:tc>
        <w:tc>
          <w:tcPr>
            <w:tcW w:w="1785" w:type="pct"/>
            <w:tcMar>
              <w:top w:w="100" w:type="dxa"/>
              <w:left w:w="100" w:type="dxa"/>
              <w:bottom w:w="100" w:type="dxa"/>
              <w:right w:w="100" w:type="dxa"/>
            </w:tcMar>
          </w:tcPr>
          <w:p w14:paraId="3E335417" w14:textId="77777777" w:rsidR="000E0846" w:rsidRPr="005A4199" w:rsidRDefault="000E0846" w:rsidP="00CD27C3">
            <w:pPr>
              <w:keepLines/>
              <w:widowControl w:val="0"/>
              <w:spacing w:before="0" w:after="0" w:line="240" w:lineRule="auto"/>
              <w:ind w:left="71"/>
              <w:contextualSpacing/>
              <w:rPr>
                <w:rFonts w:eastAsia="Calibri" w:cstheme="minorHAnsi"/>
                <w:b/>
              </w:rPr>
            </w:pPr>
            <w:r w:rsidRPr="005A4199">
              <w:rPr>
                <w:rFonts w:eastAsia="Calibri" w:cstheme="minorHAnsi"/>
                <w:b/>
              </w:rPr>
              <w:t>Approved By</w:t>
            </w:r>
          </w:p>
        </w:tc>
        <w:tc>
          <w:tcPr>
            <w:tcW w:w="1164" w:type="pct"/>
            <w:tcMar>
              <w:top w:w="100" w:type="dxa"/>
              <w:left w:w="100" w:type="dxa"/>
              <w:bottom w:w="100" w:type="dxa"/>
              <w:right w:w="100" w:type="dxa"/>
            </w:tcMar>
          </w:tcPr>
          <w:p w14:paraId="522DD2E4" w14:textId="77777777" w:rsidR="000E0846" w:rsidRPr="005A4199" w:rsidRDefault="000E0846" w:rsidP="00CD27C3">
            <w:pPr>
              <w:keepLines/>
              <w:widowControl w:val="0"/>
              <w:spacing w:before="0" w:after="0" w:line="240" w:lineRule="auto"/>
              <w:ind w:left="71"/>
              <w:contextualSpacing/>
              <w:rPr>
                <w:rFonts w:eastAsia="Calibri" w:cstheme="minorHAnsi"/>
                <w:b/>
              </w:rPr>
            </w:pPr>
            <w:r w:rsidRPr="005A4199">
              <w:rPr>
                <w:rFonts w:eastAsia="Calibri" w:cstheme="minorHAnsi"/>
                <w:b/>
              </w:rPr>
              <w:t>Version</w:t>
            </w:r>
          </w:p>
        </w:tc>
      </w:tr>
      <w:tr w:rsidR="000E0846" w:rsidRPr="005A4199" w14:paraId="7907D3EC" w14:textId="77777777" w:rsidTr="00CD27C3">
        <w:tc>
          <w:tcPr>
            <w:tcW w:w="2052" w:type="pct"/>
            <w:tcMar>
              <w:top w:w="100" w:type="dxa"/>
              <w:left w:w="100" w:type="dxa"/>
              <w:bottom w:w="100" w:type="dxa"/>
              <w:right w:w="100" w:type="dxa"/>
            </w:tcMar>
          </w:tcPr>
          <w:p w14:paraId="7FB6D231" w14:textId="77777777" w:rsidR="000E0846" w:rsidRPr="005A4199" w:rsidRDefault="000E0846" w:rsidP="00CD27C3">
            <w:pPr>
              <w:keepLines/>
              <w:widowControl w:val="0"/>
              <w:spacing w:before="0" w:after="0" w:line="240" w:lineRule="auto"/>
              <w:ind w:left="71"/>
              <w:contextualSpacing/>
              <w:rPr>
                <w:rFonts w:eastAsia="Calibri" w:cstheme="minorHAnsi"/>
              </w:rPr>
            </w:pPr>
          </w:p>
        </w:tc>
        <w:tc>
          <w:tcPr>
            <w:tcW w:w="1785" w:type="pct"/>
            <w:tcMar>
              <w:top w:w="100" w:type="dxa"/>
              <w:left w:w="100" w:type="dxa"/>
              <w:bottom w:w="100" w:type="dxa"/>
              <w:right w:w="100" w:type="dxa"/>
            </w:tcMar>
          </w:tcPr>
          <w:p w14:paraId="23AAA3E1" w14:textId="77777777" w:rsidR="000E0846" w:rsidRPr="005A4199" w:rsidRDefault="000E0846" w:rsidP="00CD27C3">
            <w:pPr>
              <w:keepLines/>
              <w:widowControl w:val="0"/>
              <w:spacing w:before="0" w:after="0" w:line="240" w:lineRule="auto"/>
              <w:ind w:left="71"/>
              <w:contextualSpacing/>
              <w:rPr>
                <w:rFonts w:eastAsia="Calibri" w:cstheme="minorHAnsi"/>
              </w:rPr>
            </w:pPr>
            <w:r w:rsidRPr="005A4199">
              <w:rPr>
                <w:rFonts w:eastAsia="Calibri" w:cstheme="minorHAnsi"/>
              </w:rPr>
              <w:t xml:space="preserve">Risk Management Committee </w:t>
            </w:r>
          </w:p>
        </w:tc>
        <w:tc>
          <w:tcPr>
            <w:tcW w:w="1164" w:type="pct"/>
            <w:tcMar>
              <w:top w:w="100" w:type="dxa"/>
              <w:left w:w="100" w:type="dxa"/>
              <w:bottom w:w="100" w:type="dxa"/>
              <w:right w:w="100" w:type="dxa"/>
            </w:tcMar>
          </w:tcPr>
          <w:p w14:paraId="645DAECD" w14:textId="77777777" w:rsidR="000E0846" w:rsidRPr="005A4199" w:rsidRDefault="000E0846" w:rsidP="00CD27C3">
            <w:pPr>
              <w:keepLines/>
              <w:widowControl w:val="0"/>
              <w:spacing w:before="0" w:after="0" w:line="240" w:lineRule="auto"/>
              <w:ind w:left="71"/>
              <w:contextualSpacing/>
              <w:rPr>
                <w:rFonts w:eastAsia="Calibri" w:cstheme="minorHAnsi"/>
              </w:rPr>
            </w:pPr>
            <w:r w:rsidRPr="005A4199">
              <w:rPr>
                <w:rFonts w:eastAsia="Calibri" w:cstheme="minorHAnsi"/>
              </w:rPr>
              <w:t>1.0</w:t>
            </w:r>
          </w:p>
        </w:tc>
      </w:tr>
    </w:tbl>
    <w:p w14:paraId="3C5A02B0" w14:textId="77777777" w:rsidR="000E0846" w:rsidRDefault="000E0846" w:rsidP="000E0846">
      <w:pPr>
        <w:pStyle w:val="Heading2"/>
        <w:numPr>
          <w:ilvl w:val="0"/>
          <w:numId w:val="0"/>
        </w:numPr>
        <w:spacing w:before="0" w:after="0"/>
      </w:pPr>
    </w:p>
    <w:p w14:paraId="642600D0" w14:textId="77777777" w:rsidR="000E0846" w:rsidRDefault="000E0846">
      <w:pPr>
        <w:spacing w:before="0" w:after="160" w:line="259" w:lineRule="auto"/>
      </w:pPr>
    </w:p>
    <w:p w14:paraId="20FA1477" w14:textId="77777777" w:rsidR="005C172F" w:rsidRDefault="005C172F"/>
    <w:sectPr w:rsidR="005C1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4C2B"/>
    <w:multiLevelType w:val="hybridMultilevel"/>
    <w:tmpl w:val="8B96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872C0"/>
    <w:multiLevelType w:val="hybridMultilevel"/>
    <w:tmpl w:val="F9084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E484E"/>
    <w:multiLevelType w:val="hybridMultilevel"/>
    <w:tmpl w:val="142E92CE"/>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3" w15:restartNumberingAfterBreak="0">
    <w:nsid w:val="2C1569AC"/>
    <w:multiLevelType w:val="hybridMultilevel"/>
    <w:tmpl w:val="6660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75083"/>
    <w:multiLevelType w:val="hybridMultilevel"/>
    <w:tmpl w:val="57141B1A"/>
    <w:lvl w:ilvl="0" w:tplc="04090001">
      <w:start w:val="1"/>
      <w:numFmt w:val="bullet"/>
      <w:lvlText w:val=""/>
      <w:lvlJc w:val="left"/>
      <w:pPr>
        <w:ind w:left="696" w:hanging="360"/>
      </w:pPr>
      <w:rPr>
        <w:rFonts w:ascii="Symbol" w:hAnsi="Symbol" w:hint="default"/>
      </w:rPr>
    </w:lvl>
    <w:lvl w:ilvl="1" w:tplc="04090003" w:tentative="1">
      <w:start w:val="1"/>
      <w:numFmt w:val="bullet"/>
      <w:lvlText w:val="o"/>
      <w:lvlJc w:val="left"/>
      <w:pPr>
        <w:ind w:left="1416" w:hanging="360"/>
      </w:pPr>
      <w:rPr>
        <w:rFonts w:ascii="Courier New" w:hAnsi="Courier New" w:cs="Courier New" w:hint="default"/>
      </w:rPr>
    </w:lvl>
    <w:lvl w:ilvl="2" w:tplc="04090005" w:tentative="1">
      <w:start w:val="1"/>
      <w:numFmt w:val="bullet"/>
      <w:lvlText w:val=""/>
      <w:lvlJc w:val="left"/>
      <w:pPr>
        <w:ind w:left="2136" w:hanging="360"/>
      </w:pPr>
      <w:rPr>
        <w:rFonts w:ascii="Wingdings" w:hAnsi="Wingdings" w:hint="default"/>
      </w:rPr>
    </w:lvl>
    <w:lvl w:ilvl="3" w:tplc="04090001" w:tentative="1">
      <w:start w:val="1"/>
      <w:numFmt w:val="bullet"/>
      <w:lvlText w:val=""/>
      <w:lvlJc w:val="left"/>
      <w:pPr>
        <w:ind w:left="2856" w:hanging="360"/>
      </w:pPr>
      <w:rPr>
        <w:rFonts w:ascii="Symbol" w:hAnsi="Symbol" w:hint="default"/>
      </w:rPr>
    </w:lvl>
    <w:lvl w:ilvl="4" w:tplc="04090003" w:tentative="1">
      <w:start w:val="1"/>
      <w:numFmt w:val="bullet"/>
      <w:lvlText w:val="o"/>
      <w:lvlJc w:val="left"/>
      <w:pPr>
        <w:ind w:left="3576" w:hanging="360"/>
      </w:pPr>
      <w:rPr>
        <w:rFonts w:ascii="Courier New" w:hAnsi="Courier New" w:cs="Courier New" w:hint="default"/>
      </w:rPr>
    </w:lvl>
    <w:lvl w:ilvl="5" w:tplc="04090005" w:tentative="1">
      <w:start w:val="1"/>
      <w:numFmt w:val="bullet"/>
      <w:lvlText w:val=""/>
      <w:lvlJc w:val="left"/>
      <w:pPr>
        <w:ind w:left="4296" w:hanging="360"/>
      </w:pPr>
      <w:rPr>
        <w:rFonts w:ascii="Wingdings" w:hAnsi="Wingdings" w:hint="default"/>
      </w:rPr>
    </w:lvl>
    <w:lvl w:ilvl="6" w:tplc="04090001" w:tentative="1">
      <w:start w:val="1"/>
      <w:numFmt w:val="bullet"/>
      <w:lvlText w:val=""/>
      <w:lvlJc w:val="left"/>
      <w:pPr>
        <w:ind w:left="5016" w:hanging="360"/>
      </w:pPr>
      <w:rPr>
        <w:rFonts w:ascii="Symbol" w:hAnsi="Symbol" w:hint="default"/>
      </w:rPr>
    </w:lvl>
    <w:lvl w:ilvl="7" w:tplc="04090003" w:tentative="1">
      <w:start w:val="1"/>
      <w:numFmt w:val="bullet"/>
      <w:lvlText w:val="o"/>
      <w:lvlJc w:val="left"/>
      <w:pPr>
        <w:ind w:left="5736" w:hanging="360"/>
      </w:pPr>
      <w:rPr>
        <w:rFonts w:ascii="Courier New" w:hAnsi="Courier New" w:cs="Courier New" w:hint="default"/>
      </w:rPr>
    </w:lvl>
    <w:lvl w:ilvl="8" w:tplc="04090005" w:tentative="1">
      <w:start w:val="1"/>
      <w:numFmt w:val="bullet"/>
      <w:lvlText w:val=""/>
      <w:lvlJc w:val="left"/>
      <w:pPr>
        <w:ind w:left="6456" w:hanging="360"/>
      </w:pPr>
      <w:rPr>
        <w:rFonts w:ascii="Wingdings" w:hAnsi="Wingdings" w:hint="default"/>
      </w:rPr>
    </w:lvl>
  </w:abstractNum>
  <w:abstractNum w:abstractNumId="5" w15:restartNumberingAfterBreak="0">
    <w:nsid w:val="4342044A"/>
    <w:multiLevelType w:val="hybridMultilevel"/>
    <w:tmpl w:val="5162717A"/>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6" w15:restartNumberingAfterBreak="0">
    <w:nsid w:val="4D5333E1"/>
    <w:multiLevelType w:val="hybridMultilevel"/>
    <w:tmpl w:val="F788C0B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7" w15:restartNumberingAfterBreak="0">
    <w:nsid w:val="4F360D5B"/>
    <w:multiLevelType w:val="hybridMultilevel"/>
    <w:tmpl w:val="169E0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70338B"/>
    <w:multiLevelType w:val="multilevel"/>
    <w:tmpl w:val="0C7A0D9E"/>
    <w:lvl w:ilvl="0">
      <w:start w:val="1"/>
      <w:numFmt w:val="decimal"/>
      <w:lvlText w:val="%1"/>
      <w:lvlJc w:val="left"/>
      <w:pPr>
        <w:ind w:left="360" w:firstLine="0"/>
      </w:pPr>
      <w:rPr>
        <w:b/>
      </w:rPr>
    </w:lvl>
    <w:lvl w:ilvl="1">
      <w:start w:val="1"/>
      <w:numFmt w:val="decimal"/>
      <w:lvlText w:val="%1.%2"/>
      <w:lvlJc w:val="left"/>
      <w:pPr>
        <w:ind w:left="4680" w:firstLine="4320"/>
      </w:pPr>
      <w:rPr>
        <w:b/>
      </w:rPr>
    </w:lvl>
    <w:lvl w:ilvl="2">
      <w:start w:val="1"/>
      <w:numFmt w:val="decimal"/>
      <w:lvlText w:val="%1.%2.%3"/>
      <w:lvlJc w:val="left"/>
      <w:pPr>
        <w:ind w:left="2160" w:firstLine="1440"/>
      </w:pPr>
      <w:rPr>
        <w:b/>
        <w:i/>
      </w:rPr>
    </w:lvl>
    <w:lvl w:ilvl="3">
      <w:start w:val="1"/>
      <w:numFmt w:val="decimal"/>
      <w:lvlText w:val="%1.%2.%3.%4"/>
      <w:lvlJc w:val="left"/>
      <w:pPr>
        <w:ind w:left="2880" w:firstLine="2160"/>
      </w:pPr>
      <w:rPr>
        <w:b/>
      </w:rPr>
    </w:lvl>
    <w:lvl w:ilvl="4">
      <w:start w:val="1"/>
      <w:numFmt w:val="decimal"/>
      <w:lvlText w:val="%1.%2.%3.%4.%5"/>
      <w:lvlJc w:val="left"/>
      <w:pPr>
        <w:ind w:left="3960" w:firstLine="2880"/>
      </w:pPr>
      <w:rPr>
        <w:b/>
      </w:rPr>
    </w:lvl>
    <w:lvl w:ilvl="5">
      <w:start w:val="1"/>
      <w:numFmt w:val="decimal"/>
      <w:lvlText w:val="%1.%2.%3.%4.%5.%6"/>
      <w:lvlJc w:val="left"/>
      <w:pPr>
        <w:ind w:left="4680" w:firstLine="3600"/>
      </w:pPr>
      <w:rPr>
        <w:b/>
      </w:rPr>
    </w:lvl>
    <w:lvl w:ilvl="6">
      <w:start w:val="1"/>
      <w:numFmt w:val="decimal"/>
      <w:lvlText w:val="%1.%2.%3.%4.%5.%6.%7"/>
      <w:lvlJc w:val="left"/>
      <w:pPr>
        <w:ind w:left="5760" w:firstLine="4320"/>
      </w:pPr>
      <w:rPr>
        <w:b/>
      </w:rPr>
    </w:lvl>
    <w:lvl w:ilvl="7">
      <w:start w:val="1"/>
      <w:numFmt w:val="decimal"/>
      <w:lvlText w:val="%1.%2.%3.%4.%5.%6.%7.%8"/>
      <w:lvlJc w:val="left"/>
      <w:pPr>
        <w:ind w:left="6480" w:firstLine="5040"/>
      </w:pPr>
      <w:rPr>
        <w:b/>
      </w:rPr>
    </w:lvl>
    <w:lvl w:ilvl="8">
      <w:start w:val="1"/>
      <w:numFmt w:val="decimal"/>
      <w:lvlText w:val="%1.%2.%3.%4.%5.%6.%7.%8.%9"/>
      <w:lvlJc w:val="left"/>
      <w:pPr>
        <w:ind w:left="7560" w:firstLine="5760"/>
      </w:pPr>
      <w:rPr>
        <w:b/>
      </w:rPr>
    </w:lvl>
  </w:abstractNum>
  <w:abstractNum w:abstractNumId="9" w15:restartNumberingAfterBreak="0">
    <w:nsid w:val="5F980332"/>
    <w:multiLevelType w:val="hybridMultilevel"/>
    <w:tmpl w:val="67E4E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BB75C2"/>
    <w:multiLevelType w:val="hybridMultilevel"/>
    <w:tmpl w:val="B810C0D4"/>
    <w:lvl w:ilvl="0" w:tplc="3BD00C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A16F7D"/>
    <w:multiLevelType w:val="multilevel"/>
    <w:tmpl w:val="15D265B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846" w:hanging="576"/>
      </w:pPr>
      <w:rPr>
        <w:b/>
      </w:r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76037319">
    <w:abstractNumId w:val="11"/>
  </w:num>
  <w:num w:numId="2" w16cid:durableId="1309747663">
    <w:abstractNumId w:val="4"/>
  </w:num>
  <w:num w:numId="3" w16cid:durableId="1427579319">
    <w:abstractNumId w:val="2"/>
  </w:num>
  <w:num w:numId="4" w16cid:durableId="381446033">
    <w:abstractNumId w:val="5"/>
  </w:num>
  <w:num w:numId="5" w16cid:durableId="966395617">
    <w:abstractNumId w:val="8"/>
  </w:num>
  <w:num w:numId="6" w16cid:durableId="1352955447">
    <w:abstractNumId w:val="0"/>
  </w:num>
  <w:num w:numId="7" w16cid:durableId="1398086640">
    <w:abstractNumId w:val="10"/>
  </w:num>
  <w:num w:numId="8" w16cid:durableId="839345506">
    <w:abstractNumId w:val="7"/>
  </w:num>
  <w:num w:numId="9" w16cid:durableId="93286437">
    <w:abstractNumId w:val="6"/>
  </w:num>
  <w:num w:numId="10" w16cid:durableId="267129051">
    <w:abstractNumId w:val="1"/>
  </w:num>
  <w:num w:numId="11" w16cid:durableId="161897580">
    <w:abstractNumId w:val="9"/>
  </w:num>
  <w:num w:numId="12" w16cid:durableId="391078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846"/>
    <w:rsid w:val="000E0846"/>
    <w:rsid w:val="005C172F"/>
    <w:rsid w:val="00667F83"/>
    <w:rsid w:val="009E6F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C75F"/>
  <w15:chartTrackingRefBased/>
  <w15:docId w15:val="{0FDE1501-F945-452A-8296-F88D2BB58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E0846"/>
    <w:pPr>
      <w:spacing w:before="200" w:after="200" w:line="276" w:lineRule="auto"/>
    </w:pPr>
    <w:rPr>
      <w:rFonts w:eastAsia="Arial" w:cs="Arial"/>
      <w:color w:val="000000"/>
      <w:lang w:val="en-US"/>
    </w:rPr>
  </w:style>
  <w:style w:type="paragraph" w:styleId="Heading1">
    <w:name w:val="heading 1"/>
    <w:next w:val="Normal"/>
    <w:link w:val="Heading1Char"/>
    <w:uiPriority w:val="9"/>
    <w:qFormat/>
    <w:rsid w:val="000E0846"/>
    <w:pPr>
      <w:numPr>
        <w:numId w:val="1"/>
      </w:numPr>
      <w:spacing w:before="280" w:after="280"/>
      <w:outlineLvl w:val="0"/>
    </w:pPr>
    <w:rPr>
      <w:rFonts w:ascii="Calibri" w:eastAsia="Calibri" w:hAnsi="Calibri" w:cs="Calibri"/>
      <w:b/>
      <w:caps/>
      <w:color w:val="000000"/>
      <w:sz w:val="28"/>
      <w:szCs w:val="36"/>
      <w:lang w:val="en-US"/>
    </w:rPr>
  </w:style>
  <w:style w:type="paragraph" w:styleId="Heading2">
    <w:name w:val="heading 2"/>
    <w:next w:val="Normal"/>
    <w:link w:val="Heading2Char"/>
    <w:uiPriority w:val="9"/>
    <w:unhideWhenUsed/>
    <w:qFormat/>
    <w:rsid w:val="000E0846"/>
    <w:pPr>
      <w:widowControl w:val="0"/>
      <w:numPr>
        <w:ilvl w:val="1"/>
        <w:numId w:val="1"/>
      </w:numPr>
      <w:spacing w:before="240" w:after="240" w:line="240" w:lineRule="auto"/>
      <w:ind w:left="576"/>
      <w:outlineLvl w:val="1"/>
    </w:pPr>
    <w:rPr>
      <w:rFonts w:eastAsia="Arial" w:cstheme="minorHAnsi"/>
      <w:b/>
      <w:caps/>
      <w:color w:val="000000"/>
      <w:lang w:val="en-US"/>
    </w:rPr>
  </w:style>
  <w:style w:type="paragraph" w:styleId="Heading3">
    <w:name w:val="heading 3"/>
    <w:basedOn w:val="ListParagraph"/>
    <w:next w:val="Normal"/>
    <w:link w:val="Heading3Char"/>
    <w:uiPriority w:val="9"/>
    <w:unhideWhenUsed/>
    <w:qFormat/>
    <w:rsid w:val="000E0846"/>
    <w:pPr>
      <w:widowControl w:val="0"/>
      <w:numPr>
        <w:ilvl w:val="2"/>
        <w:numId w:val="1"/>
      </w:numPr>
      <w:spacing w:line="240" w:lineRule="auto"/>
      <w:ind w:left="720"/>
      <w:outlineLvl w:val="2"/>
    </w:pPr>
    <w:rPr>
      <w:rFonts w:eastAsia="Calibri" w:cstheme="minorHAnsi"/>
      <w:i/>
    </w:rPr>
  </w:style>
  <w:style w:type="paragraph" w:styleId="Heading4">
    <w:name w:val="heading 4"/>
    <w:basedOn w:val="Normal"/>
    <w:next w:val="Normal"/>
    <w:link w:val="Heading4Char"/>
    <w:uiPriority w:val="9"/>
    <w:unhideWhenUsed/>
    <w:qFormat/>
    <w:rsid w:val="000E084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E084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E084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E084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E084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084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0846"/>
    <w:pPr>
      <w:spacing w:after="0" w:line="240" w:lineRule="auto"/>
    </w:pPr>
    <w:rPr>
      <w:rFonts w:ascii="Arial" w:eastAsia="Arial" w:hAnsi="Arial" w:cs="Arial"/>
      <w:color w:val="000000"/>
      <w:lang w:val="en-US"/>
    </w:rPr>
  </w:style>
  <w:style w:type="character" w:customStyle="1" w:styleId="NoSpacingChar">
    <w:name w:val="No Spacing Char"/>
    <w:basedOn w:val="DefaultParagraphFont"/>
    <w:link w:val="NoSpacing"/>
    <w:uiPriority w:val="1"/>
    <w:rsid w:val="000E0846"/>
    <w:rPr>
      <w:rFonts w:ascii="Arial" w:eastAsia="Arial" w:hAnsi="Arial" w:cs="Arial"/>
      <w:color w:val="000000"/>
      <w:lang w:val="en-US"/>
    </w:rPr>
  </w:style>
  <w:style w:type="character" w:customStyle="1" w:styleId="Heading1Char">
    <w:name w:val="Heading 1 Char"/>
    <w:basedOn w:val="DefaultParagraphFont"/>
    <w:link w:val="Heading1"/>
    <w:uiPriority w:val="9"/>
    <w:rsid w:val="000E0846"/>
    <w:rPr>
      <w:rFonts w:ascii="Calibri" w:eastAsia="Calibri" w:hAnsi="Calibri" w:cs="Calibri"/>
      <w:b/>
      <w:caps/>
      <w:color w:val="000000"/>
      <w:sz w:val="28"/>
      <w:szCs w:val="36"/>
      <w:lang w:val="en-US"/>
    </w:rPr>
  </w:style>
  <w:style w:type="character" w:customStyle="1" w:styleId="Heading2Char">
    <w:name w:val="Heading 2 Char"/>
    <w:basedOn w:val="DefaultParagraphFont"/>
    <w:link w:val="Heading2"/>
    <w:uiPriority w:val="9"/>
    <w:rsid w:val="000E0846"/>
    <w:rPr>
      <w:rFonts w:eastAsia="Arial" w:cstheme="minorHAnsi"/>
      <w:b/>
      <w:caps/>
      <w:color w:val="000000"/>
      <w:lang w:val="en-US"/>
    </w:rPr>
  </w:style>
  <w:style w:type="character" w:customStyle="1" w:styleId="Heading3Char">
    <w:name w:val="Heading 3 Char"/>
    <w:basedOn w:val="DefaultParagraphFont"/>
    <w:link w:val="Heading3"/>
    <w:uiPriority w:val="9"/>
    <w:rsid w:val="000E0846"/>
    <w:rPr>
      <w:rFonts w:eastAsia="Calibri" w:cstheme="minorHAnsi"/>
      <w:i/>
      <w:color w:val="000000"/>
      <w:lang w:val="en-US"/>
    </w:rPr>
  </w:style>
  <w:style w:type="character" w:customStyle="1" w:styleId="Heading4Char">
    <w:name w:val="Heading 4 Char"/>
    <w:basedOn w:val="DefaultParagraphFont"/>
    <w:link w:val="Heading4"/>
    <w:uiPriority w:val="9"/>
    <w:rsid w:val="000E0846"/>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0E0846"/>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0E0846"/>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0E0846"/>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0E084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E0846"/>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0E0846"/>
    <w:pPr>
      <w:spacing w:after="0" w:line="240" w:lineRule="auto"/>
    </w:pPr>
    <w:rPr>
      <w:rFonts w:ascii="Arial" w:eastAsia="Arial" w:hAnsi="Arial" w:cs="Arial"/>
      <w:color w:val="00000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0846"/>
    <w:pPr>
      <w:contextualSpacing/>
    </w:pPr>
  </w:style>
  <w:style w:type="paragraph" w:styleId="TOC1">
    <w:name w:val="toc 1"/>
    <w:basedOn w:val="Normal"/>
    <w:next w:val="Normal"/>
    <w:autoRedefine/>
    <w:uiPriority w:val="39"/>
    <w:unhideWhenUsed/>
    <w:rsid w:val="000E0846"/>
    <w:pPr>
      <w:spacing w:before="120" w:after="0"/>
    </w:pPr>
    <w:rPr>
      <w:rFonts w:cstheme="minorHAnsi"/>
      <w:b/>
      <w:bCs/>
      <w:i/>
      <w:iCs/>
      <w:sz w:val="24"/>
      <w:szCs w:val="24"/>
    </w:rPr>
  </w:style>
  <w:style w:type="paragraph" w:styleId="TOC2">
    <w:name w:val="toc 2"/>
    <w:basedOn w:val="Normal"/>
    <w:next w:val="Normal"/>
    <w:autoRedefine/>
    <w:uiPriority w:val="39"/>
    <w:unhideWhenUsed/>
    <w:rsid w:val="000E0846"/>
    <w:pPr>
      <w:tabs>
        <w:tab w:val="left" w:pos="880"/>
        <w:tab w:val="right" w:leader="underscore" w:pos="9350"/>
      </w:tabs>
      <w:spacing w:before="120" w:after="0"/>
      <w:ind w:left="220"/>
    </w:pPr>
    <w:rPr>
      <w:rFonts w:cstheme="minorHAnsi"/>
      <w:bCs/>
      <w:noProof/>
    </w:rPr>
  </w:style>
  <w:style w:type="paragraph" w:customStyle="1" w:styleId="Norma">
    <w:name w:val="Norma"/>
    <w:basedOn w:val="Normal"/>
    <w:link w:val="NormaChar"/>
    <w:qFormat/>
    <w:rsid w:val="000E0846"/>
    <w:pPr>
      <w:widowControl w:val="0"/>
      <w:pBdr>
        <w:top w:val="nil"/>
        <w:left w:val="nil"/>
        <w:bottom w:val="nil"/>
        <w:right w:val="nil"/>
        <w:between w:val="nil"/>
      </w:pBdr>
      <w:spacing w:before="0" w:after="0" w:line="240" w:lineRule="auto"/>
    </w:pPr>
    <w:rPr>
      <w:rFonts w:ascii="Times New Roman" w:eastAsia="Times New Roman" w:hAnsi="Times New Roman" w:cs="Times New Roman"/>
      <w:b/>
      <w:sz w:val="24"/>
      <w:szCs w:val="24"/>
    </w:rPr>
  </w:style>
  <w:style w:type="character" w:customStyle="1" w:styleId="NormaChar">
    <w:name w:val="Norma Char"/>
    <w:basedOn w:val="DefaultParagraphFont"/>
    <w:link w:val="Norma"/>
    <w:rsid w:val="000E0846"/>
    <w:rPr>
      <w:rFonts w:ascii="Times New Roman" w:eastAsia="Times New Roman" w:hAnsi="Times New Roman" w:cs="Times New Roman"/>
      <w:b/>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2327</Words>
  <Characters>13269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Jason Wallace</cp:lastModifiedBy>
  <cp:revision>2</cp:revision>
  <dcterms:created xsi:type="dcterms:W3CDTF">2024-01-09T18:48:00Z</dcterms:created>
  <dcterms:modified xsi:type="dcterms:W3CDTF">2024-01-09T18:48:00Z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9b6d4f9f-599f-41c6-b258-04ceab5d53f6</vt:lpwstr>
  </property>
</Properties>
</file>