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Agri Product Market Place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schema 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Users Table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- UserID (Primary Key)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- Username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- Password (Hashed)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- Email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- First Name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- Last Name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- Location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Shops Table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- ShopID (Primary Key)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- ShopName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- OwnerID (Foreign Key referencing Users)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- Location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- OperatingHours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ProductCatalog Table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- ProductID (Primary Key)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- ProductName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- Description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- CategoryID (Foreign Key referencing ProductCategories)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- Price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- StockQuantity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ProductCategories Table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- CategoryID (Primary Key)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- CategoryName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ProductInventory Table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- InventoryID (Primary Key)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- ShopID (Foreign Key referencing Shops)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- ProductID (Foreign Key referencing ProductCatalog)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- StockQuantity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- MinimumStockThreshold (optional, for inventory management)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ProductServiceability Table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- ServiceabilityID (Primary Key)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- ProductID (Foreign Key referencing ProductCatalog)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- Serviceable (Boolean, indicating if the product is serviceable for farmers)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Orders Table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- OrderID (Primary Key)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- UserID (Foreign Key referencing Users)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- OrderDate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- TotalAmount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- Other Order Information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OrderDetails Table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- OrderDetailID (Primary Key)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- OrderID (Foreign Key referencing Orders)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- ProductID (Foreign Key referencing ProductCatalog)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- Quantity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- Subtotal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Reviews Table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- ReviewID (Primary Key)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- UserID (Foreign Key referencing Users)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- ProductID (Foreign Key referencing ProductCatalog)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- Rating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- Comment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- DatePosted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this representation: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Users can have multiple Shops (1 to many relationship).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Shops can have multiple Orders (1 to many relationship).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Orders can have multiple OrderDetails, and each OrderDetail is related to a ProductCatalog entry (1 to many relationship).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Shops can also have multiple ProductInventory entries (1 to many relationship).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ProductCatalog entries can have multiple ProductServiceability entries (1 to many relationship).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