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271E3" w14:textId="400426B9" w:rsidR="0050556A" w:rsidRDefault="0050556A" w:rsidP="00B41156">
      <w:pPr>
        <w:pStyle w:val="Heading2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</w:rPr>
        <w:t>Progress Update:</w:t>
      </w:r>
      <w:r w:rsidR="00682CC4" w:rsidRPr="00682CC4">
        <w:t xml:space="preserve"> </w:t>
      </w:r>
      <w:r w:rsidR="00682CC4" w:rsidRPr="00682CC4">
        <w:rPr>
          <w:rStyle w:val="normaltextrun"/>
          <w:rFonts w:ascii="Calibri Light" w:hAnsi="Calibri Light" w:cs="Calibri Light"/>
          <w:color w:val="2F5496"/>
        </w:rPr>
        <w:t xml:space="preserve">Report on the status of the survey analysis.  </w:t>
      </w:r>
    </w:p>
    <w:p w14:paraId="01F7C04D" w14:textId="77777777" w:rsidR="003B5917" w:rsidRDefault="003B5917" w:rsidP="0050556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</w:p>
    <w:p w14:paraId="5EDB488A" w14:textId="06CFDE96" w:rsidR="00ED0172" w:rsidRDefault="009429F0" w:rsidP="0050556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We have done some initial </w:t>
      </w:r>
      <w:r w:rsidR="00340C58">
        <w:rPr>
          <w:rStyle w:val="normaltextrun"/>
          <w:rFonts w:ascii="Calibri" w:eastAsiaTheme="majorEastAsia" w:hAnsi="Calibri" w:cs="Calibri"/>
          <w:sz w:val="22"/>
          <w:szCs w:val="22"/>
        </w:rPr>
        <w:t xml:space="preserve">exploration of the </w:t>
      </w:r>
      <w:r w:rsidR="005C488D">
        <w:rPr>
          <w:rStyle w:val="normaltextrun"/>
          <w:rFonts w:ascii="Calibri" w:eastAsiaTheme="majorEastAsia" w:hAnsi="Calibri" w:cs="Calibri"/>
          <w:sz w:val="22"/>
          <w:szCs w:val="22"/>
        </w:rPr>
        <w:t>results but</w:t>
      </w:r>
      <w:r w:rsidR="00340C58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have not yet completed </w:t>
      </w:r>
      <w:r w:rsidR="005C488D">
        <w:rPr>
          <w:rStyle w:val="normaltextrun"/>
          <w:rFonts w:ascii="Calibri" w:eastAsiaTheme="majorEastAsia" w:hAnsi="Calibri" w:cs="Calibri"/>
          <w:sz w:val="22"/>
          <w:szCs w:val="22"/>
        </w:rPr>
        <w:t xml:space="preserve">analyses since the data collection process is still underway. There will </w:t>
      </w:r>
      <w:r w:rsidR="00A255C0">
        <w:rPr>
          <w:rStyle w:val="normaltextrun"/>
          <w:rFonts w:ascii="Calibri" w:eastAsiaTheme="majorEastAsia" w:hAnsi="Calibri" w:cs="Calibri"/>
          <w:sz w:val="22"/>
          <w:szCs w:val="22"/>
        </w:rPr>
        <w:t xml:space="preserve">be two largely parallel analyses done for the </w:t>
      </w:r>
      <w:r w:rsidR="0096115B">
        <w:rPr>
          <w:rStyle w:val="normaltextrun"/>
          <w:rFonts w:ascii="Calibri" w:eastAsiaTheme="majorEastAsia" w:hAnsi="Calibri" w:cs="Calibri"/>
          <w:sz w:val="22"/>
          <w:szCs w:val="22"/>
        </w:rPr>
        <w:t>Pennsylvania</w:t>
      </w:r>
      <w:r w:rsidR="00A255C0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and </w:t>
      </w:r>
      <w:r w:rsidR="0096115B">
        <w:rPr>
          <w:rStyle w:val="normaltextrun"/>
          <w:rFonts w:ascii="Calibri" w:eastAsiaTheme="majorEastAsia" w:hAnsi="Calibri" w:cs="Calibri"/>
          <w:sz w:val="22"/>
          <w:szCs w:val="22"/>
        </w:rPr>
        <w:t xml:space="preserve">adjacent state samples. </w:t>
      </w:r>
      <w:r w:rsidR="00096BE4">
        <w:rPr>
          <w:rStyle w:val="normaltextrun"/>
          <w:rFonts w:ascii="Calibri" w:eastAsiaTheme="majorEastAsia" w:hAnsi="Calibri" w:cs="Calibri"/>
          <w:sz w:val="22"/>
          <w:szCs w:val="22"/>
        </w:rPr>
        <w:t>Given the complexity of the survey results, the</w:t>
      </w:r>
      <w:r w:rsidR="0093537B">
        <w:rPr>
          <w:rStyle w:val="normaltextrun"/>
          <w:rFonts w:ascii="Calibri" w:eastAsiaTheme="majorEastAsia" w:hAnsi="Calibri" w:cs="Calibri"/>
          <w:sz w:val="22"/>
          <w:szCs w:val="22"/>
        </w:rPr>
        <w:t xml:space="preserve">y will be analyzed initially into </w:t>
      </w:r>
      <w:r w:rsidR="00595C63">
        <w:rPr>
          <w:rStyle w:val="normaltextrun"/>
          <w:rFonts w:ascii="Calibri" w:eastAsiaTheme="majorEastAsia" w:hAnsi="Calibri" w:cs="Calibri"/>
          <w:sz w:val="22"/>
          <w:szCs w:val="22"/>
        </w:rPr>
        <w:t>six</w:t>
      </w:r>
      <w:r w:rsidR="0093537B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sections:</w:t>
      </w:r>
    </w:p>
    <w:p w14:paraId="21B6E1A9" w14:textId="77777777" w:rsidR="00595C63" w:rsidRDefault="00595C63" w:rsidP="0050556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</w:p>
    <w:p w14:paraId="0D8BD905" w14:textId="77777777" w:rsidR="00ED0172" w:rsidRDefault="0093537B" w:rsidP="00ED0172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Demographics (including </w:t>
      </w:r>
      <w:r w:rsidR="009D381C">
        <w:rPr>
          <w:rStyle w:val="normaltextrun"/>
          <w:rFonts w:ascii="Calibri" w:eastAsiaTheme="majorEastAsia" w:hAnsi="Calibri" w:cs="Calibri"/>
          <w:sz w:val="22"/>
          <w:szCs w:val="22"/>
        </w:rPr>
        <w:t>current and prior living status)</w:t>
      </w:r>
    </w:p>
    <w:p w14:paraId="7A98790C" w14:textId="6681C6AD" w:rsidR="00ED0172" w:rsidRDefault="00ED0172" w:rsidP="00ED0172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Place attachment and place preference</w:t>
      </w:r>
    </w:p>
    <w:p w14:paraId="3BDF22BF" w14:textId="2043DCFE" w:rsidR="00ED0172" w:rsidRDefault="003500D4" w:rsidP="00ED0172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Relocation (moving) </w:t>
      </w:r>
      <w:r w:rsidR="00331923">
        <w:rPr>
          <w:rStyle w:val="normaltextrun"/>
          <w:rFonts w:ascii="Calibri" w:eastAsiaTheme="majorEastAsia" w:hAnsi="Calibri" w:cs="Calibri"/>
          <w:sz w:val="22"/>
          <w:szCs w:val="22"/>
        </w:rPr>
        <w:t>perceptions</w:t>
      </w:r>
    </w:p>
    <w:p w14:paraId="745374FD" w14:textId="77777777" w:rsidR="00331923" w:rsidRDefault="00331923" w:rsidP="00331923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Push and pull factors</w:t>
      </w:r>
    </w:p>
    <w:p w14:paraId="2E19D449" w14:textId="07CC1098" w:rsidR="00C730AD" w:rsidRDefault="00C730AD" w:rsidP="00C730AD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Affective imagery study</w:t>
      </w:r>
    </w:p>
    <w:p w14:paraId="30FD8C66" w14:textId="77777777" w:rsidR="00C730AD" w:rsidRDefault="00C730AD" w:rsidP="00ED0172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Discrete choice experiment (policy proposal experiment)</w:t>
      </w:r>
    </w:p>
    <w:p w14:paraId="4F4C795D" w14:textId="6F9AD65D" w:rsidR="003B5917" w:rsidRDefault="003B5917" w:rsidP="0050556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</w:p>
    <w:p w14:paraId="221E9EA1" w14:textId="33905A8E" w:rsidR="00E717EA" w:rsidRDefault="00E717EA" w:rsidP="0050556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Both samples may further be stratified for analysis</w:t>
      </w:r>
      <w:r w:rsidR="00D06FEE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(time pending)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 into “rural” or “not rural” based on their response to the current living status question.</w:t>
      </w:r>
    </w:p>
    <w:p w14:paraId="38C4E5AD" w14:textId="77777777" w:rsidR="00E717EA" w:rsidRDefault="00E717EA" w:rsidP="0050556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</w:p>
    <w:p w14:paraId="4BCFF49C" w14:textId="2B893F8F" w:rsidR="0050556A" w:rsidRDefault="0050556A" w:rsidP="00B41156">
      <w:pPr>
        <w:pStyle w:val="Heading2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</w:rPr>
        <w:t xml:space="preserve">Progress update: </w:t>
      </w:r>
      <w:r w:rsidR="00682CC4" w:rsidRPr="00682CC4">
        <w:rPr>
          <w:rStyle w:val="normaltextrun"/>
          <w:rFonts w:ascii="Calibri Light" w:hAnsi="Calibri Light" w:cs="Calibri Light"/>
          <w:color w:val="2F5496"/>
        </w:rPr>
        <w:t xml:space="preserve">Report on and summarize preliminary research findings to date.  </w:t>
      </w:r>
    </w:p>
    <w:p w14:paraId="2C078E63" w14:textId="5F4E5F69" w:rsidR="00692DC4" w:rsidRDefault="006F3B90">
      <w:r>
        <w:t xml:space="preserve">Below are preliminary results </w:t>
      </w:r>
      <w:r w:rsidR="00116DE8">
        <w:t xml:space="preserve">of the </w:t>
      </w:r>
      <w:r w:rsidR="00CF78BF">
        <w:t>adjacent state sample</w:t>
      </w:r>
      <w:r w:rsidR="00731FEE">
        <w:t xml:space="preserve"> for </w:t>
      </w:r>
      <w:r w:rsidR="00E97D01">
        <w:t xml:space="preserve">Demographics (section 1), </w:t>
      </w:r>
      <w:r w:rsidR="0096268D">
        <w:t>Place Attachment and Place Preference (</w:t>
      </w:r>
      <w:r w:rsidR="00522176">
        <w:t>s</w:t>
      </w:r>
      <w:r w:rsidR="0096268D">
        <w:t xml:space="preserve">ection 2), </w:t>
      </w:r>
      <w:r w:rsidR="00E97D01">
        <w:t xml:space="preserve">Push and Pull Factors (section 4), and </w:t>
      </w:r>
      <w:r w:rsidR="008B5401">
        <w:t xml:space="preserve">Affective Imagery Study (section 5). </w:t>
      </w:r>
    </w:p>
    <w:p w14:paraId="2FDDB216" w14:textId="127F5B3F" w:rsidR="00CF78BF" w:rsidRDefault="0096268D" w:rsidP="00CF78BF">
      <w:pPr>
        <w:pStyle w:val="Heading3"/>
      </w:pPr>
      <w:r>
        <w:t xml:space="preserve">1) </w:t>
      </w:r>
      <w:r w:rsidR="00CF78BF">
        <w:t>Demographics</w:t>
      </w:r>
    </w:p>
    <w:p w14:paraId="58DA290A" w14:textId="1FCC9581" w:rsidR="00DC2456" w:rsidRDefault="00DC2456" w:rsidP="00CF78BF">
      <w:r>
        <w:t>The adjacent state sample</w:t>
      </w:r>
      <w:r w:rsidR="00067A20">
        <w:t xml:space="preserve"> consists of respondents from all 10 states that were targeted</w:t>
      </w:r>
      <w:r w:rsidR="00834451">
        <w:t xml:space="preserve">. The </w:t>
      </w:r>
      <w:r w:rsidR="006074CE">
        <w:t>distribution is largely reflective of the population across states, except for a</w:t>
      </w:r>
      <w:r w:rsidR="006B4FC2">
        <w:t xml:space="preserve">n </w:t>
      </w:r>
      <w:r w:rsidR="006074CE">
        <w:t xml:space="preserve">over representation from Connecticut </w:t>
      </w:r>
      <w:r w:rsidR="00834451">
        <w:t xml:space="preserve">and under representation from </w:t>
      </w:r>
      <w:r w:rsidR="006B4FC2">
        <w:t xml:space="preserve">New Jersey and Massachusetts. </w:t>
      </w:r>
    </w:p>
    <w:p w14:paraId="1EF40B2A" w14:textId="3304DBCA" w:rsidR="00364D27" w:rsidRDefault="00364D27" w:rsidP="00364D27">
      <w:pPr>
        <w:jc w:val="center"/>
      </w:pPr>
      <w:r>
        <w:rPr>
          <w:noProof/>
        </w:rPr>
        <w:drawing>
          <wp:inline distT="0" distB="0" distL="0" distR="0" wp14:anchorId="04B80910" wp14:editId="06E5A558">
            <wp:extent cx="4584700" cy="27559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45C332" w14:textId="01BCC39F" w:rsidR="00DC2456" w:rsidRDefault="006B4FC2" w:rsidP="00CF78BF">
      <w:r>
        <w:t xml:space="preserve">Within-state distributions </w:t>
      </w:r>
      <w:r w:rsidR="00EC5A17">
        <w:t>covered a range of counties</w:t>
      </w:r>
      <w:r w:rsidR="00CA3A90">
        <w:t xml:space="preserve"> </w:t>
      </w:r>
      <w:r w:rsidR="003B021E">
        <w:t xml:space="preserve">and don’t </w:t>
      </w:r>
      <w:r w:rsidR="006516AE">
        <w:t>appear</w:t>
      </w:r>
      <w:r w:rsidR="003B021E">
        <w:t xml:space="preserve"> to be abnormally concentrated in any one part of the state </w:t>
      </w:r>
      <w:r w:rsidR="00CA3A90">
        <w:t xml:space="preserve">(e.g., </w:t>
      </w:r>
      <w:r w:rsidR="003B021E">
        <w:t xml:space="preserve">about 20% of New York residents were from New York City). </w:t>
      </w:r>
      <w:r w:rsidR="00CA3A90">
        <w:t xml:space="preserve"> </w:t>
      </w:r>
    </w:p>
    <w:p w14:paraId="57411A07" w14:textId="509715D1" w:rsidR="006B4FC2" w:rsidRDefault="006B4FC2" w:rsidP="006B4FC2">
      <w:pPr>
        <w:jc w:val="center"/>
      </w:pPr>
      <w:r>
        <w:rPr>
          <w:noProof/>
        </w:rPr>
        <w:lastRenderedPageBreak/>
        <w:drawing>
          <wp:inline distT="0" distB="0" distL="0" distR="0" wp14:anchorId="7E89AE2D" wp14:editId="0642ED52">
            <wp:extent cx="4584700" cy="27559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B5E06C" w14:textId="3EA5437C" w:rsidR="00523E92" w:rsidRDefault="000358BC" w:rsidP="00CF78BF">
      <w:r>
        <w:t xml:space="preserve">About a third of respondents currently live in a big city (35%), followed </w:t>
      </w:r>
      <w:r w:rsidR="00316331">
        <w:t xml:space="preserve">by suburb of a big city (20%). However, </w:t>
      </w:r>
      <w:r w:rsidR="00EF514E">
        <w:t>62% indicated they have previously lived in a rural area and 42% previously lived in a rural area in Pennsylvania</w:t>
      </w:r>
      <w:r w:rsidR="00E3272C">
        <w:t xml:space="preserve">. </w:t>
      </w:r>
    </w:p>
    <w:p w14:paraId="651ACE6D" w14:textId="37E822BF" w:rsidR="00E3272C" w:rsidRDefault="00E3272C" w:rsidP="00CF78BF">
      <w:r>
        <w:rPr>
          <w:noProof/>
        </w:rPr>
        <w:drawing>
          <wp:inline distT="0" distB="0" distL="0" distR="0" wp14:anchorId="36E9D781" wp14:editId="27F423B9">
            <wp:extent cx="4584700" cy="2749550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4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89DC97" w14:textId="16CB0235" w:rsidR="00E3272C" w:rsidRDefault="00E3272C" w:rsidP="00CF78BF">
      <w:r>
        <w:rPr>
          <w:noProof/>
        </w:rPr>
        <w:drawing>
          <wp:inline distT="0" distB="0" distL="0" distR="0" wp14:anchorId="2CA4EBBF" wp14:editId="5493B4AF">
            <wp:extent cx="2761615" cy="1554480"/>
            <wp:effectExtent l="0" t="0" r="635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615" cy="1554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8772BA">
        <w:rPr>
          <w:noProof/>
        </w:rPr>
        <w:drawing>
          <wp:inline distT="0" distB="0" distL="0" distR="0" wp14:anchorId="4B66F754" wp14:editId="33E259A8">
            <wp:extent cx="2828290" cy="156829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659" cy="15696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73BF64" w14:textId="2045B177" w:rsidR="006C5C2E" w:rsidRDefault="00362133" w:rsidP="00CF78BF">
      <w:r>
        <w:t xml:space="preserve">The </w:t>
      </w:r>
      <w:r w:rsidR="00EC029B">
        <w:t xml:space="preserve">most prominent </w:t>
      </w:r>
      <w:r w:rsidR="006C5C2E">
        <w:t xml:space="preserve">demographic </w:t>
      </w:r>
      <w:r w:rsidR="00EC029B">
        <w:t>categories</w:t>
      </w:r>
      <w:r>
        <w:t xml:space="preserve"> </w:t>
      </w:r>
      <w:r w:rsidR="006C5C2E">
        <w:t xml:space="preserve">for </w:t>
      </w:r>
      <w:r>
        <w:t>respondent</w:t>
      </w:r>
      <w:r w:rsidR="006C5C2E">
        <w:t>s</w:t>
      </w:r>
      <w:r>
        <w:t xml:space="preserve"> in the sample </w:t>
      </w:r>
      <w:r w:rsidR="006C5C2E">
        <w:t>include</w:t>
      </w:r>
      <w:r w:rsidR="008B0A53">
        <w:t>d</w:t>
      </w:r>
      <w:r w:rsidR="006C5C2E">
        <w:t>:</w:t>
      </w:r>
    </w:p>
    <w:p w14:paraId="79CA3254" w14:textId="3868883E" w:rsidR="006C5C2E" w:rsidRDefault="006C5C2E" w:rsidP="006C5C2E">
      <w:pPr>
        <w:pStyle w:val="ListParagraph"/>
        <w:numPr>
          <w:ilvl w:val="0"/>
          <w:numId w:val="3"/>
        </w:numPr>
      </w:pPr>
      <w:r>
        <w:t>Gender - F</w:t>
      </w:r>
      <w:r w:rsidR="00362133">
        <w:t>emale (51%)</w:t>
      </w:r>
    </w:p>
    <w:p w14:paraId="78C8936D" w14:textId="05622006" w:rsidR="006C5C2E" w:rsidRDefault="006C5C2E" w:rsidP="006C5C2E">
      <w:pPr>
        <w:pStyle w:val="ListParagraph"/>
        <w:numPr>
          <w:ilvl w:val="0"/>
          <w:numId w:val="3"/>
        </w:numPr>
      </w:pPr>
      <w:r>
        <w:t xml:space="preserve">Race/Ethnicity - </w:t>
      </w:r>
      <w:r w:rsidR="00091177">
        <w:t>Caucasian</w:t>
      </w:r>
      <w:r w:rsidR="00362133">
        <w:t xml:space="preserve"> (77%)</w:t>
      </w:r>
    </w:p>
    <w:p w14:paraId="462538ED" w14:textId="77777777" w:rsidR="006C5C2E" w:rsidRDefault="006C5C2E" w:rsidP="006C5C2E">
      <w:pPr>
        <w:pStyle w:val="ListParagraph"/>
        <w:numPr>
          <w:ilvl w:val="0"/>
          <w:numId w:val="3"/>
        </w:numPr>
      </w:pPr>
      <w:r>
        <w:t xml:space="preserve">Education - Holds a </w:t>
      </w:r>
      <w:r w:rsidR="00091177">
        <w:t>bachelor’s degree (56%)</w:t>
      </w:r>
    </w:p>
    <w:p w14:paraId="1A595EB1" w14:textId="12EE6D31" w:rsidR="00CF78BF" w:rsidRDefault="006C5C2E" w:rsidP="006C5C2E">
      <w:pPr>
        <w:pStyle w:val="ListParagraph"/>
        <w:numPr>
          <w:ilvl w:val="0"/>
          <w:numId w:val="3"/>
        </w:numPr>
      </w:pPr>
      <w:r>
        <w:t>Marital status - M</w:t>
      </w:r>
      <w:r w:rsidR="00091177">
        <w:t xml:space="preserve">arried </w:t>
      </w:r>
      <w:r w:rsidR="00EC029B">
        <w:t>(67%)</w:t>
      </w:r>
    </w:p>
    <w:p w14:paraId="5FDFB6DB" w14:textId="0C808E0C" w:rsidR="00DC5CCB" w:rsidRDefault="00DC5CCB" w:rsidP="006C5C2E">
      <w:pPr>
        <w:pStyle w:val="ListParagraph"/>
        <w:numPr>
          <w:ilvl w:val="0"/>
          <w:numId w:val="3"/>
        </w:numPr>
      </w:pPr>
      <w:r>
        <w:t xml:space="preserve">Household size </w:t>
      </w:r>
      <w:r w:rsidR="00755DA9">
        <w:t>(including self) -</w:t>
      </w:r>
      <w:r>
        <w:t xml:space="preserve"> </w:t>
      </w:r>
      <w:r w:rsidR="00755DA9">
        <w:t>four (30%)</w:t>
      </w:r>
    </w:p>
    <w:p w14:paraId="3AD6233F" w14:textId="6EF998C3" w:rsidR="00A0432E" w:rsidRDefault="00A0432E" w:rsidP="006C5C2E">
      <w:pPr>
        <w:pStyle w:val="ListParagraph"/>
        <w:numPr>
          <w:ilvl w:val="0"/>
          <w:numId w:val="3"/>
        </w:numPr>
      </w:pPr>
      <w:r>
        <w:t xml:space="preserve">School-aged Children in Household </w:t>
      </w:r>
      <w:r w:rsidR="005B2CC5">
        <w:t>-</w:t>
      </w:r>
      <w:r>
        <w:t xml:space="preserve"> None (</w:t>
      </w:r>
      <w:r w:rsidR="005B2CC5">
        <w:t>39%)</w:t>
      </w:r>
    </w:p>
    <w:p w14:paraId="16A7CA64" w14:textId="73518340" w:rsidR="00D41BD9" w:rsidRDefault="00D41BD9" w:rsidP="006C5C2E">
      <w:pPr>
        <w:pStyle w:val="ListParagraph"/>
        <w:numPr>
          <w:ilvl w:val="0"/>
          <w:numId w:val="3"/>
        </w:numPr>
      </w:pPr>
      <w:r>
        <w:t>Rent/Own – Rent (42%)</w:t>
      </w:r>
      <w:r w:rsidR="006E4B33">
        <w:t>; Own w/ Mortgage (41%)</w:t>
      </w:r>
    </w:p>
    <w:p w14:paraId="1BE06392" w14:textId="759F5571" w:rsidR="00451D6E" w:rsidRDefault="00451D6E" w:rsidP="006C5C2E">
      <w:pPr>
        <w:pStyle w:val="ListParagraph"/>
        <w:numPr>
          <w:ilvl w:val="0"/>
          <w:numId w:val="3"/>
        </w:numPr>
      </w:pPr>
      <w:r>
        <w:t>Annual Household Income - $50,000-$74,999 (</w:t>
      </w:r>
      <w:r w:rsidR="00AF2B6C">
        <w:t>29%)</w:t>
      </w:r>
    </w:p>
    <w:p w14:paraId="7C9DC277" w14:textId="76E4C1D2" w:rsidR="008B0A53" w:rsidRDefault="00B74072" w:rsidP="006C5C2E">
      <w:pPr>
        <w:pStyle w:val="ListParagraph"/>
        <w:numPr>
          <w:ilvl w:val="0"/>
          <w:numId w:val="3"/>
        </w:numPr>
      </w:pPr>
      <w:r>
        <w:t xml:space="preserve">Student Loan Debt - $0 </w:t>
      </w:r>
      <w:r w:rsidR="002163E4">
        <w:t>(27%)</w:t>
      </w:r>
    </w:p>
    <w:p w14:paraId="40EC8682" w14:textId="60599563" w:rsidR="00A76178" w:rsidRDefault="004D27F1" w:rsidP="006C5C2E">
      <w:pPr>
        <w:pStyle w:val="ListParagraph"/>
        <w:numPr>
          <w:ilvl w:val="0"/>
          <w:numId w:val="3"/>
        </w:numPr>
      </w:pPr>
      <w:r>
        <w:t>Political Party Affiliation – Democrat (55%)</w:t>
      </w:r>
    </w:p>
    <w:p w14:paraId="67C4E2DC" w14:textId="286B7C0F" w:rsidR="00065DBA" w:rsidRDefault="00065DBA" w:rsidP="006C5C2E">
      <w:pPr>
        <w:pStyle w:val="ListParagraph"/>
        <w:numPr>
          <w:ilvl w:val="0"/>
          <w:numId w:val="3"/>
        </w:numPr>
      </w:pPr>
      <w:r>
        <w:t>Political Views – Conservative (23%), Liberal (23%), Moderate (23%)</w:t>
      </w:r>
    </w:p>
    <w:p w14:paraId="3E830CC9" w14:textId="36B965AB" w:rsidR="006A6BC7" w:rsidRDefault="006A6BC7" w:rsidP="006C5C2E">
      <w:pPr>
        <w:pStyle w:val="ListParagraph"/>
        <w:numPr>
          <w:ilvl w:val="0"/>
          <w:numId w:val="3"/>
        </w:numPr>
      </w:pPr>
      <w:r>
        <w:t xml:space="preserve">Employment Status </w:t>
      </w:r>
      <w:r w:rsidR="00A44E7B">
        <w:t>–</w:t>
      </w:r>
      <w:r>
        <w:t xml:space="preserve"> </w:t>
      </w:r>
      <w:r w:rsidR="00A44E7B">
        <w:t>Working, paid employee (70%)</w:t>
      </w:r>
    </w:p>
    <w:p w14:paraId="017E14DC" w14:textId="68D77E22" w:rsidR="00E850CF" w:rsidRDefault="00E850CF" w:rsidP="006C5C2E">
      <w:pPr>
        <w:pStyle w:val="ListParagraph"/>
        <w:numPr>
          <w:ilvl w:val="0"/>
          <w:numId w:val="3"/>
        </w:numPr>
      </w:pPr>
      <w:r>
        <w:t xml:space="preserve">Type of Job – Private-for-profit </w:t>
      </w:r>
      <w:r w:rsidR="005C7594">
        <w:t>company (57%)</w:t>
      </w:r>
    </w:p>
    <w:p w14:paraId="2E0ED99C" w14:textId="13653D4E" w:rsidR="0037559B" w:rsidRDefault="0037559B" w:rsidP="006C5C2E">
      <w:pPr>
        <w:pStyle w:val="ListParagraph"/>
        <w:numPr>
          <w:ilvl w:val="0"/>
          <w:numId w:val="3"/>
        </w:numPr>
      </w:pPr>
      <w:r>
        <w:t xml:space="preserve">Job Location – Office, </w:t>
      </w:r>
      <w:proofErr w:type="gramStart"/>
      <w:r>
        <w:t>home</w:t>
      </w:r>
      <w:proofErr w:type="gramEnd"/>
      <w:r>
        <w:t xml:space="preserve"> or employer (50%)</w:t>
      </w:r>
    </w:p>
    <w:p w14:paraId="2DED9AC0" w14:textId="3B93B116" w:rsidR="007C593D" w:rsidRDefault="007C593D" w:rsidP="006C5C2E">
      <w:pPr>
        <w:pStyle w:val="ListParagraph"/>
        <w:numPr>
          <w:ilvl w:val="0"/>
          <w:numId w:val="3"/>
        </w:numPr>
      </w:pPr>
      <w:r>
        <w:t xml:space="preserve">Remote Work Status </w:t>
      </w:r>
      <w:r w:rsidR="00511C7C">
        <w:t>–</w:t>
      </w:r>
      <w:r>
        <w:t xml:space="preserve"> </w:t>
      </w:r>
      <w:r w:rsidR="00511C7C">
        <w:t>I work remotely from anywhere I choose (33%)</w:t>
      </w:r>
    </w:p>
    <w:p w14:paraId="542B0FCF" w14:textId="741413E1" w:rsidR="00883841" w:rsidRDefault="0095531E" w:rsidP="00883841">
      <w:r>
        <w:t xml:space="preserve">The full distribution details are provided in the charts below. </w:t>
      </w:r>
    </w:p>
    <w:p w14:paraId="06DB0E6B" w14:textId="1CC4E289" w:rsidR="00883841" w:rsidRDefault="00883841" w:rsidP="0066277F">
      <w:pPr>
        <w:jc w:val="center"/>
      </w:pPr>
    </w:p>
    <w:p w14:paraId="0DD46213" w14:textId="77777777" w:rsidR="00C94A70" w:rsidRDefault="00883841" w:rsidP="0066277F">
      <w:pPr>
        <w:jc w:val="center"/>
      </w:pPr>
      <w:r>
        <w:rPr>
          <w:noProof/>
        </w:rPr>
        <w:drawing>
          <wp:inline distT="0" distB="0" distL="0" distR="0" wp14:anchorId="317683B0" wp14:editId="4F36CEB3">
            <wp:extent cx="4584700" cy="275590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335612" w14:textId="27C33CC9" w:rsidR="00883841" w:rsidRDefault="00C94A70" w:rsidP="0066277F">
      <w:pPr>
        <w:jc w:val="center"/>
      </w:pPr>
      <w:r>
        <w:rPr>
          <w:noProof/>
        </w:rPr>
        <w:drawing>
          <wp:inline distT="0" distB="0" distL="0" distR="0" wp14:anchorId="7B91562F" wp14:editId="6662AF52">
            <wp:extent cx="4584700" cy="275590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FFADBF" w14:textId="4AC01760" w:rsidR="00C94A70" w:rsidRDefault="00057ABC" w:rsidP="0066277F">
      <w:pPr>
        <w:jc w:val="center"/>
      </w:pPr>
      <w:r>
        <w:rPr>
          <w:noProof/>
        </w:rPr>
        <w:drawing>
          <wp:inline distT="0" distB="0" distL="0" distR="0" wp14:anchorId="10022809" wp14:editId="7B82677E">
            <wp:extent cx="4584700" cy="275590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4D9FE2" w14:textId="29E867BE" w:rsidR="00057ABC" w:rsidRDefault="00057ABC" w:rsidP="0066277F">
      <w:pPr>
        <w:jc w:val="center"/>
      </w:pPr>
      <w:r>
        <w:rPr>
          <w:noProof/>
        </w:rPr>
        <w:drawing>
          <wp:inline distT="0" distB="0" distL="0" distR="0" wp14:anchorId="3FAF59E2" wp14:editId="3DFAB7E0">
            <wp:extent cx="4584700" cy="275590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E0A596" w14:textId="5974969A" w:rsidR="00057ABC" w:rsidRDefault="00242D53" w:rsidP="0066277F">
      <w:pPr>
        <w:jc w:val="center"/>
      </w:pPr>
      <w:r>
        <w:rPr>
          <w:noProof/>
        </w:rPr>
        <w:drawing>
          <wp:inline distT="0" distB="0" distL="0" distR="0" wp14:anchorId="60F2BC0B" wp14:editId="147699AF">
            <wp:extent cx="4584700" cy="275590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C278E5" w14:textId="5C1C7179" w:rsidR="007F6A25" w:rsidRDefault="007F6A25" w:rsidP="0066277F">
      <w:pPr>
        <w:jc w:val="center"/>
      </w:pPr>
      <w:r>
        <w:rPr>
          <w:noProof/>
        </w:rPr>
        <w:drawing>
          <wp:inline distT="0" distB="0" distL="0" distR="0" wp14:anchorId="11A1A2B6" wp14:editId="10D0E637">
            <wp:extent cx="4584700" cy="2755900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3A0E0A" w14:textId="0B4EB89E" w:rsidR="005D785D" w:rsidRDefault="005D785D" w:rsidP="0066277F">
      <w:pPr>
        <w:jc w:val="center"/>
      </w:pPr>
      <w:r>
        <w:rPr>
          <w:noProof/>
        </w:rPr>
        <w:drawing>
          <wp:inline distT="0" distB="0" distL="0" distR="0" wp14:anchorId="29590565" wp14:editId="3FB3BC21">
            <wp:extent cx="4584700" cy="2755900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0D454F" w14:textId="0B455B27" w:rsidR="005D785D" w:rsidRDefault="005D785D" w:rsidP="0066277F">
      <w:pPr>
        <w:jc w:val="center"/>
      </w:pPr>
      <w:r>
        <w:rPr>
          <w:noProof/>
        </w:rPr>
        <w:drawing>
          <wp:inline distT="0" distB="0" distL="0" distR="0" wp14:anchorId="09FC3E9A" wp14:editId="3EDC171F">
            <wp:extent cx="4584700" cy="2755900"/>
            <wp:effectExtent l="0" t="0" r="635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C6A97A" w14:textId="10071D5B" w:rsidR="005D785D" w:rsidRDefault="00AB2325" w:rsidP="0066277F">
      <w:pPr>
        <w:jc w:val="center"/>
      </w:pPr>
      <w:r>
        <w:rPr>
          <w:noProof/>
        </w:rPr>
        <w:drawing>
          <wp:inline distT="0" distB="0" distL="0" distR="0" wp14:anchorId="508E9A1B" wp14:editId="0B9644B1">
            <wp:extent cx="4584700" cy="2755900"/>
            <wp:effectExtent l="0" t="0" r="635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FDEB72" w14:textId="33E48AD4" w:rsidR="00AB2325" w:rsidRDefault="007911A0" w:rsidP="0066277F">
      <w:pPr>
        <w:jc w:val="center"/>
      </w:pPr>
      <w:r>
        <w:rPr>
          <w:noProof/>
        </w:rPr>
        <w:drawing>
          <wp:inline distT="0" distB="0" distL="0" distR="0" wp14:anchorId="6C97E880" wp14:editId="6248F022">
            <wp:extent cx="4584700" cy="2755900"/>
            <wp:effectExtent l="0" t="0" r="635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AEBE75" w14:textId="77777777" w:rsidR="007911A0" w:rsidRDefault="007911A0" w:rsidP="0066277F">
      <w:pPr>
        <w:jc w:val="center"/>
      </w:pPr>
    </w:p>
    <w:p w14:paraId="76F31316" w14:textId="06CF9C54" w:rsidR="004D27F1" w:rsidRDefault="007911A0" w:rsidP="0066277F">
      <w:pPr>
        <w:jc w:val="center"/>
      </w:pPr>
      <w:r>
        <w:rPr>
          <w:noProof/>
        </w:rPr>
        <w:drawing>
          <wp:inline distT="0" distB="0" distL="0" distR="0" wp14:anchorId="1CFE93C3" wp14:editId="45236A1D">
            <wp:extent cx="4584700" cy="2755900"/>
            <wp:effectExtent l="0" t="0" r="635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ACF64A" w14:textId="5610CFF3" w:rsidR="006A6BC7" w:rsidRDefault="006A6BC7" w:rsidP="0066277F">
      <w:pPr>
        <w:jc w:val="center"/>
      </w:pPr>
      <w:r>
        <w:rPr>
          <w:noProof/>
        </w:rPr>
        <w:drawing>
          <wp:inline distT="0" distB="0" distL="0" distR="0" wp14:anchorId="24B690C8" wp14:editId="1EB955C7">
            <wp:extent cx="4584700" cy="2755900"/>
            <wp:effectExtent l="0" t="0" r="635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069383" w14:textId="3EEFA42B" w:rsidR="00E850CF" w:rsidRDefault="00E850CF" w:rsidP="0066277F">
      <w:pPr>
        <w:jc w:val="center"/>
      </w:pPr>
      <w:r>
        <w:rPr>
          <w:noProof/>
        </w:rPr>
        <w:drawing>
          <wp:inline distT="0" distB="0" distL="0" distR="0" wp14:anchorId="12E60E19" wp14:editId="3F323F4A">
            <wp:extent cx="4584700" cy="2755900"/>
            <wp:effectExtent l="0" t="0" r="635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79C996" w14:textId="2BFD6DBD" w:rsidR="009D0D8E" w:rsidRDefault="009D0D8E" w:rsidP="0066277F">
      <w:pPr>
        <w:jc w:val="center"/>
      </w:pPr>
      <w:r>
        <w:rPr>
          <w:noProof/>
        </w:rPr>
        <w:drawing>
          <wp:inline distT="0" distB="0" distL="0" distR="0" wp14:anchorId="23C2FD62" wp14:editId="245C8B10">
            <wp:extent cx="4584700" cy="2755900"/>
            <wp:effectExtent l="0" t="0" r="635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67AFD9" w14:textId="7EB7CD1A" w:rsidR="00511C7C" w:rsidRDefault="00511C7C" w:rsidP="0066277F">
      <w:pPr>
        <w:jc w:val="center"/>
      </w:pPr>
      <w:r>
        <w:rPr>
          <w:noProof/>
        </w:rPr>
        <w:drawing>
          <wp:inline distT="0" distB="0" distL="0" distR="0" wp14:anchorId="752093F8" wp14:editId="45035A62">
            <wp:extent cx="4584700" cy="2755900"/>
            <wp:effectExtent l="0" t="0" r="635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444D43" w14:textId="1354F60F" w:rsidR="00AB6C38" w:rsidRDefault="00AB6C38" w:rsidP="00AB6C38"/>
    <w:p w14:paraId="0A9495D9" w14:textId="77777777" w:rsidR="00671DCD" w:rsidRDefault="00671DCD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44248FC6" w14:textId="77777777" w:rsidR="00671DCD" w:rsidRDefault="00671DCD" w:rsidP="00E76862">
      <w:pPr>
        <w:pStyle w:val="Heading3"/>
        <w:sectPr w:rsidR="00671DCD">
          <w:footerReference w:type="default" r:id="rId2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244700B" w14:textId="589206A1" w:rsidR="00522176" w:rsidRDefault="00522176" w:rsidP="00E76862">
      <w:pPr>
        <w:pStyle w:val="Heading3"/>
      </w:pPr>
      <w:r>
        <w:t xml:space="preserve">2) Place Attachment and </w:t>
      </w:r>
      <w:r w:rsidR="00D31E8B">
        <w:t>Preference</w:t>
      </w:r>
    </w:p>
    <w:p w14:paraId="75153EBA" w14:textId="71BF509E" w:rsidR="00D31E8B" w:rsidRDefault="00697C6E" w:rsidP="00D31E8B">
      <w:r>
        <w:t>Respondent</w:t>
      </w:r>
      <w:r w:rsidR="00CD066F">
        <w:t xml:space="preserve">s largely demonstrated a strong attachment to where they currently live, with 75% of respondents agreeing in some capacity to </w:t>
      </w:r>
      <w:r w:rsidR="007D4F35">
        <w:t xml:space="preserve">both having a strong sense of belonging and feeling emotionally attached. </w:t>
      </w:r>
      <w:r w:rsidR="00F92718">
        <w:t xml:space="preserve">Sentiment was less affirmative </w:t>
      </w:r>
      <w:r w:rsidR="0050286D">
        <w:t xml:space="preserve">when asked about moving away, others moving away, or both moving away from where they currently live, but roughly two-thirds of respondents agreed in some capacity to those three items. </w:t>
      </w:r>
      <w:r w:rsidR="00632A16">
        <w:t>Initial reactions suggest that attachment is high, but</w:t>
      </w:r>
      <w:r w:rsidR="003F10C5">
        <w:t xml:space="preserve"> several respondents may be open to moving. </w:t>
      </w:r>
    </w:p>
    <w:p w14:paraId="06E49010" w14:textId="7E2DD452" w:rsidR="003F10C5" w:rsidRDefault="00D40908" w:rsidP="00D31E8B">
      <w:r>
        <w:rPr>
          <w:noProof/>
        </w:rPr>
        <w:drawing>
          <wp:inline distT="0" distB="0" distL="0" distR="0" wp14:anchorId="6CB7743D" wp14:editId="72DC10E7">
            <wp:extent cx="3752850" cy="225586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446" cy="2258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D72BA0" wp14:editId="6450788E">
            <wp:extent cx="3701564" cy="2225040"/>
            <wp:effectExtent l="0" t="0" r="0" b="3810"/>
            <wp:docPr id="17" name="Picture 1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24" cy="2232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374DD8" w14:textId="7318871D" w:rsidR="00D40908" w:rsidRDefault="00F556FD" w:rsidP="00D31E8B">
      <w:r>
        <w:rPr>
          <w:noProof/>
        </w:rPr>
        <w:drawing>
          <wp:inline distT="0" distB="0" distL="0" distR="0" wp14:anchorId="743F6AEC" wp14:editId="26248ED4">
            <wp:extent cx="3609975" cy="2169985"/>
            <wp:effectExtent l="0" t="0" r="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577" cy="21739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B71A5E" wp14:editId="1BC86D5F">
            <wp:extent cx="3581400" cy="2152808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5079" cy="21610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0446D2" w14:textId="2F9AC0F5" w:rsidR="00F556FD" w:rsidRDefault="00F556FD" w:rsidP="00D31E8B">
      <w:r>
        <w:rPr>
          <w:noProof/>
        </w:rPr>
        <w:drawing>
          <wp:inline distT="0" distB="0" distL="0" distR="0" wp14:anchorId="32C39B58" wp14:editId="34964542">
            <wp:extent cx="3648075" cy="2192887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455" cy="21973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20E835" w14:textId="73B60168" w:rsidR="00D31E8B" w:rsidRDefault="00DE5597" w:rsidP="00D31E8B">
      <w:r>
        <w:rPr>
          <w:noProof/>
        </w:rPr>
        <w:drawing>
          <wp:anchor distT="0" distB="0" distL="114300" distR="114300" simplePos="0" relativeHeight="251659264" behindDoc="0" locked="0" layoutInCell="1" allowOverlap="1" wp14:anchorId="0AA66F4B" wp14:editId="2860FADA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4584700" cy="2755900"/>
            <wp:effectExtent l="0" t="0" r="6350" b="635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A75FC7E" w14:textId="50963622" w:rsidR="00D31E8B" w:rsidRDefault="00F556FD" w:rsidP="00D31E8B">
      <w:r>
        <w:t>The</w:t>
      </w:r>
      <w:r w:rsidR="00D31E8B">
        <w:t xml:space="preserve"> sample demonstrated a </w:t>
      </w:r>
      <w:r w:rsidR="00101027">
        <w:t>wide variability in terms of place preference (i.e., “</w:t>
      </w:r>
      <w:r w:rsidR="00101027" w:rsidRPr="00101027">
        <w:t>If you could live anywhere you wished, where would you prefer to live?</w:t>
      </w:r>
      <w:r w:rsidR="00101027">
        <w:t>”)</w:t>
      </w:r>
      <w:r w:rsidR="00723356">
        <w:t xml:space="preserve"> and may demonstrate a </w:t>
      </w:r>
      <w:r w:rsidR="008A49BF">
        <w:t xml:space="preserve">mismatch in where respondents live when coupled with </w:t>
      </w:r>
      <w:r w:rsidR="00756141">
        <w:t xml:space="preserve">place attachment and </w:t>
      </w:r>
      <w:r w:rsidR="008A49BF">
        <w:t>current living status (planned future analysis)</w:t>
      </w:r>
      <w:r w:rsidR="00A86030">
        <w:t xml:space="preserve">. “Rural area” received the most first choice </w:t>
      </w:r>
      <w:r w:rsidR="00DA13D7">
        <w:t>rank (i.e., 1)</w:t>
      </w:r>
      <w:r w:rsidR="00A86030">
        <w:t xml:space="preserve"> but “Big city” was a close second, and the remaining four choices </w:t>
      </w:r>
      <w:r w:rsidR="00B66E15">
        <w:t>were similar in first choice ranks</w:t>
      </w:r>
      <w:r w:rsidR="00297FE4">
        <w:t xml:space="preserve"> (see dark blue band in the chart below). </w:t>
      </w:r>
      <w:r w:rsidR="00DA13D7">
        <w:t>“Big city” received the most last choice rank (i.e., 6)</w:t>
      </w:r>
      <w:r w:rsidR="002E608A">
        <w:t>, and “rural area” was a further distant second (see green band in the chart below).</w:t>
      </w:r>
    </w:p>
    <w:p w14:paraId="28EA4160" w14:textId="384DCD01" w:rsidR="00D31E8B" w:rsidRDefault="00D31E8B" w:rsidP="00723356">
      <w:pPr>
        <w:jc w:val="center"/>
      </w:pPr>
    </w:p>
    <w:p w14:paraId="1BBE75C2" w14:textId="6DBBD05C" w:rsidR="00DE5597" w:rsidRDefault="00DE5597" w:rsidP="00723356">
      <w:pPr>
        <w:jc w:val="center"/>
      </w:pPr>
    </w:p>
    <w:p w14:paraId="59355B0C" w14:textId="77777777" w:rsidR="00DE5597" w:rsidRPr="00D31E8B" w:rsidRDefault="00DE5597" w:rsidP="00723356">
      <w:pPr>
        <w:jc w:val="center"/>
      </w:pPr>
    </w:p>
    <w:p w14:paraId="3D705486" w14:textId="636D507F" w:rsidR="00AB6C38" w:rsidRDefault="00522176" w:rsidP="00E76862">
      <w:pPr>
        <w:pStyle w:val="Heading3"/>
      </w:pPr>
      <w:r>
        <w:t>4</w:t>
      </w:r>
      <w:r w:rsidR="0096268D">
        <w:t xml:space="preserve">) </w:t>
      </w:r>
      <w:r w:rsidR="00AB6C38">
        <w:t>Push and Pull Factors</w:t>
      </w:r>
    </w:p>
    <w:p w14:paraId="3DABABC9" w14:textId="0A1D62EF" w:rsidR="00AB6C38" w:rsidRDefault="00D5389F" w:rsidP="00AB6C38">
      <w:r>
        <w:t xml:space="preserve">The </w:t>
      </w:r>
      <w:r w:rsidR="000F62F0">
        <w:t xml:space="preserve">21 </w:t>
      </w:r>
      <w:r>
        <w:t xml:space="preserve">“push and pull” factors (i.e., things that </w:t>
      </w:r>
      <w:r w:rsidR="00E335AE">
        <w:t>draw</w:t>
      </w:r>
      <w:r>
        <w:t xml:space="preserve"> or detract individuals to living in a rural are</w:t>
      </w:r>
      <w:r w:rsidR="00E335AE">
        <w:t>a</w:t>
      </w:r>
      <w:r>
        <w:t xml:space="preserve">) </w:t>
      </w:r>
      <w:r w:rsidR="000F62F0">
        <w:t xml:space="preserve">that were assessed all largely </w:t>
      </w:r>
      <w:r w:rsidR="00AE24E0">
        <w:t>leaned</w:t>
      </w:r>
      <w:r w:rsidR="000F62F0">
        <w:t xml:space="preserve"> towards </w:t>
      </w:r>
      <w:r w:rsidR="00AE24E0">
        <w:t>being affirmative</w:t>
      </w:r>
      <w:r w:rsidR="00D62A06">
        <w:t>, even with using a 7-point Likert scale.</w:t>
      </w:r>
      <w:r w:rsidR="00AE24E0">
        <w:t xml:space="preserve"> In other words, </w:t>
      </w:r>
      <w:r w:rsidR="0098059E">
        <w:t xml:space="preserve">nearly two-thirds of respondents agreed </w:t>
      </w:r>
      <w:r w:rsidR="001E717F">
        <w:t xml:space="preserve">in some capacity </w:t>
      </w:r>
      <w:r w:rsidR="0098059E">
        <w:t xml:space="preserve">that they “needed” </w:t>
      </w:r>
      <w:r w:rsidR="00E335AE">
        <w:t>each of the</w:t>
      </w:r>
      <w:r w:rsidR="0098059E">
        <w:t xml:space="preserve"> 21 </w:t>
      </w:r>
      <w:r w:rsidR="001E717F">
        <w:t xml:space="preserve">factors, with the </w:t>
      </w:r>
      <w:r w:rsidR="00140381">
        <w:t xml:space="preserve">lowest </w:t>
      </w:r>
      <w:r w:rsidR="00560732">
        <w:t xml:space="preserve">level of agreement </w:t>
      </w:r>
      <w:r w:rsidR="00140381">
        <w:t xml:space="preserve">being </w:t>
      </w:r>
      <w:r w:rsidR="00560732">
        <w:t xml:space="preserve">found for </w:t>
      </w:r>
      <w:r w:rsidR="00140381">
        <w:t>access to higher education (65%)</w:t>
      </w:r>
      <w:r w:rsidR="00560732">
        <w:t xml:space="preserve"> and </w:t>
      </w:r>
      <w:r w:rsidR="00140381">
        <w:t>access to long-term care (65%)</w:t>
      </w:r>
      <w:r w:rsidR="00560732">
        <w:t xml:space="preserve">. Highest level of agreement was found with </w:t>
      </w:r>
      <w:r w:rsidR="003B35C8">
        <w:t xml:space="preserve">access to broadband (88%), </w:t>
      </w:r>
      <w:r w:rsidR="006F3617">
        <w:t xml:space="preserve">access to </w:t>
      </w:r>
      <w:r w:rsidR="003B35C8">
        <w:t>healthcare (86%)</w:t>
      </w:r>
      <w:r w:rsidR="006F3617">
        <w:t>, and supports need of family (</w:t>
      </w:r>
      <w:r w:rsidR="00C84A80">
        <w:t>86%)</w:t>
      </w:r>
      <w:r w:rsidR="00A37CFC">
        <w:t>. When looking at the full 7-point Likert scale</w:t>
      </w:r>
      <w:r w:rsidR="00D77543">
        <w:t>, access to broadband still topped the most “strongly agree” (39%)</w:t>
      </w:r>
      <w:r w:rsidR="0074067E">
        <w:t xml:space="preserve">, however opportunities for civic engagement had the least level of strongly agree (14%). </w:t>
      </w:r>
    </w:p>
    <w:p w14:paraId="2B791956" w14:textId="4871551F" w:rsidR="005B7ACB" w:rsidRDefault="005B7ACB" w:rsidP="00AB6C38"/>
    <w:p w14:paraId="14D62D06" w14:textId="66364657" w:rsidR="00E043C8" w:rsidRDefault="001216AE" w:rsidP="00AB6C38">
      <w:r w:rsidRPr="001216AE">
        <w:rPr>
          <w:noProof/>
        </w:rPr>
        <w:drawing>
          <wp:inline distT="0" distB="0" distL="0" distR="0" wp14:anchorId="0A13B55E" wp14:editId="2AE9CBA5">
            <wp:extent cx="8067675" cy="9620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76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AB4BD" w14:textId="2977D018" w:rsidR="006B148F" w:rsidRDefault="00C576CA" w:rsidP="00AB6C38">
      <w:r w:rsidRPr="00C576CA">
        <w:rPr>
          <w:noProof/>
        </w:rPr>
        <w:drawing>
          <wp:inline distT="0" distB="0" distL="0" distR="0" wp14:anchorId="43535D66" wp14:editId="53C313E6">
            <wp:extent cx="8229600" cy="887730"/>
            <wp:effectExtent l="0" t="0" r="0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88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6EF99" w14:textId="23F49CF7" w:rsidR="00C576CA" w:rsidRDefault="00C576CA" w:rsidP="00AB6C38"/>
    <w:p w14:paraId="7A367FFA" w14:textId="535E31D8" w:rsidR="00C576CA" w:rsidRDefault="00C576CA" w:rsidP="00AB6C38">
      <w:r w:rsidRPr="00C576CA">
        <w:rPr>
          <w:noProof/>
        </w:rPr>
        <w:drawing>
          <wp:inline distT="0" distB="0" distL="0" distR="0" wp14:anchorId="6BB3B7D9" wp14:editId="23035EF2">
            <wp:extent cx="8067675" cy="172402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76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5F02B" w14:textId="0F5C428B" w:rsidR="00C576CA" w:rsidRDefault="00C576CA" w:rsidP="00AB6C38"/>
    <w:p w14:paraId="617199DF" w14:textId="543DB8CE" w:rsidR="00C576CA" w:rsidRDefault="00C576CA" w:rsidP="00AB6C38">
      <w:r w:rsidRPr="00C576CA">
        <w:rPr>
          <w:noProof/>
        </w:rPr>
        <w:drawing>
          <wp:inline distT="0" distB="0" distL="0" distR="0" wp14:anchorId="580D6EEA" wp14:editId="5D7D42C8">
            <wp:extent cx="8229600" cy="1591310"/>
            <wp:effectExtent l="0" t="0" r="0" b="88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159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7A774" w14:textId="05AD834C" w:rsidR="00186CAC" w:rsidRDefault="00186CAC" w:rsidP="00AB6C38"/>
    <w:p w14:paraId="15259C78" w14:textId="47631DE7" w:rsidR="00186CAC" w:rsidRDefault="00522176" w:rsidP="0033700D">
      <w:pPr>
        <w:pStyle w:val="Heading3"/>
      </w:pPr>
      <w:r>
        <w:t xml:space="preserve">5) </w:t>
      </w:r>
      <w:r w:rsidR="00186CAC">
        <w:t>Affective Imagery</w:t>
      </w:r>
    </w:p>
    <w:p w14:paraId="4CF106E2" w14:textId="7FBAE7BA" w:rsidR="00D85CF7" w:rsidRDefault="00E17F9A" w:rsidP="00AB6C38">
      <w:r>
        <w:rPr>
          <w:noProof/>
        </w:rPr>
        <w:drawing>
          <wp:anchor distT="0" distB="0" distL="114300" distR="114300" simplePos="0" relativeHeight="251658240" behindDoc="0" locked="0" layoutInCell="1" allowOverlap="1" wp14:anchorId="33639343" wp14:editId="7528056E">
            <wp:simplePos x="0" y="0"/>
            <wp:positionH relativeFrom="column">
              <wp:posOffset>4071620</wp:posOffset>
            </wp:positionH>
            <wp:positionV relativeFrom="paragraph">
              <wp:posOffset>46355</wp:posOffset>
            </wp:positionV>
            <wp:extent cx="4072034" cy="2647950"/>
            <wp:effectExtent l="0" t="0" r="508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034" cy="2647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85CF7">
        <w:t xml:space="preserve">We are currently </w:t>
      </w:r>
      <w:r w:rsidR="00DB2683">
        <w:t>determining</w:t>
      </w:r>
      <w:r w:rsidR="00D85CF7">
        <w:t xml:space="preserve"> the coding scheme </w:t>
      </w:r>
      <w:r w:rsidR="00DB2683">
        <w:t xml:space="preserve">to be used for this analysis. </w:t>
      </w:r>
      <w:r w:rsidR="000C1CC0">
        <w:t>Based on the preliminary analysis of the first question in this section (i.e.</w:t>
      </w:r>
      <w:r w:rsidR="007C2760">
        <w:t xml:space="preserve">, </w:t>
      </w:r>
      <w:r w:rsidR="000C1CC0" w:rsidRPr="000C1CC0">
        <w:t>First thought or image that comes to your mind when you think of "rural Pennsylvania"</w:t>
      </w:r>
      <w:r w:rsidR="007C2760">
        <w:t>), the responses are extremely wide ranging</w:t>
      </w:r>
      <w:r w:rsidR="00E55A78">
        <w:t xml:space="preserve"> in terms of both </w:t>
      </w:r>
      <w:r w:rsidR="004F6101">
        <w:t>structure and content</w:t>
      </w:r>
      <w:r w:rsidR="00E55A78">
        <w:t xml:space="preserve">. </w:t>
      </w:r>
      <w:r w:rsidR="004F6101">
        <w:t>Regarding</w:t>
      </w:r>
      <w:r w:rsidR="00E55A78">
        <w:t xml:space="preserve"> </w:t>
      </w:r>
      <w:r w:rsidR="004F6101">
        <w:t>structure</w:t>
      </w:r>
      <w:r w:rsidR="00E55A78">
        <w:t xml:space="preserve">, the responses </w:t>
      </w:r>
      <w:r w:rsidR="000B2EA9">
        <w:t xml:space="preserve">are </w:t>
      </w:r>
      <w:r w:rsidR="00593E5C">
        <w:t>wide-ranging</w:t>
      </w:r>
      <w:r w:rsidR="0039112C">
        <w:t xml:space="preserve"> nouns (e.g., </w:t>
      </w:r>
      <w:r w:rsidR="006D3826">
        <w:t>“</w:t>
      </w:r>
      <w:r w:rsidR="0039112C">
        <w:t>Amish</w:t>
      </w:r>
      <w:r w:rsidR="006D3826">
        <w:t>”</w:t>
      </w:r>
      <w:r w:rsidR="00F46FE2">
        <w:t>, “</w:t>
      </w:r>
      <w:proofErr w:type="spellStart"/>
      <w:r w:rsidR="00F46FE2">
        <w:t>dund</w:t>
      </w:r>
      <w:r w:rsidR="00593E5C">
        <w:t>er</w:t>
      </w:r>
      <w:proofErr w:type="spellEnd"/>
      <w:r w:rsidR="00593E5C">
        <w:t xml:space="preserve"> </w:t>
      </w:r>
      <w:proofErr w:type="spellStart"/>
      <w:r w:rsidR="00593E5C">
        <w:t>mifflin</w:t>
      </w:r>
      <w:proofErr w:type="spellEnd"/>
      <w:r w:rsidR="00593E5C">
        <w:t>”</w:t>
      </w:r>
      <w:r w:rsidR="0039112C">
        <w:t xml:space="preserve">), </w:t>
      </w:r>
      <w:r w:rsidR="006D3826">
        <w:t xml:space="preserve">basic </w:t>
      </w:r>
      <w:r w:rsidR="0039112C">
        <w:t xml:space="preserve">adjectives </w:t>
      </w:r>
      <w:r w:rsidR="006D3826">
        <w:t>(e.g., “nice”</w:t>
      </w:r>
      <w:r w:rsidR="00E55A78">
        <w:t>, “</w:t>
      </w:r>
      <w:r w:rsidR="007E0A38">
        <w:t>backwards</w:t>
      </w:r>
      <w:r w:rsidR="00E55A78">
        <w:t>”, “silent”</w:t>
      </w:r>
      <w:r w:rsidR="00654B7C">
        <w:t>, “flat”</w:t>
      </w:r>
      <w:r w:rsidR="006D3826">
        <w:t>)</w:t>
      </w:r>
      <w:r w:rsidR="0072153D">
        <w:t xml:space="preserve">, </w:t>
      </w:r>
      <w:r w:rsidR="00593E5C">
        <w:t xml:space="preserve">and </w:t>
      </w:r>
      <w:r w:rsidR="000B2EA9">
        <w:t xml:space="preserve">complex phrases (e.g., “different from Phil and Pitt”). </w:t>
      </w:r>
      <w:r w:rsidR="00183D02">
        <w:t xml:space="preserve">This complicates the analysis and requires thoroughly combing of all responses. For content, initial patterns/themes </w:t>
      </w:r>
      <w:r w:rsidR="00EA4230">
        <w:t xml:space="preserve">have emerged that will likely be prominent once the analysis is complete – these include </w:t>
      </w:r>
      <w:r w:rsidR="0067689B">
        <w:t xml:space="preserve">themes of landscape (e.g., mountains, fields, forests), agriculture/farming, </w:t>
      </w:r>
      <w:r w:rsidR="000D49C2">
        <w:t xml:space="preserve">and mentioning specific locations. </w:t>
      </w:r>
      <w:r w:rsidR="00463451">
        <w:t xml:space="preserve">The affective evaluations of the first thought lean heavily positive (see </w:t>
      </w:r>
      <w:r>
        <w:t>pie chart below).</w:t>
      </w:r>
      <w:r w:rsidR="00463451">
        <w:t xml:space="preserve"> </w:t>
      </w:r>
    </w:p>
    <w:p w14:paraId="02F9B75D" w14:textId="775B2C2E" w:rsidR="00E17F9A" w:rsidRPr="00CF78BF" w:rsidRDefault="00E17F9A" w:rsidP="00AB6C38"/>
    <w:sectPr w:rsidR="00E17F9A" w:rsidRPr="00CF78BF" w:rsidSect="00671DC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3B75C" w14:textId="77777777" w:rsidR="007173A7" w:rsidRDefault="007173A7" w:rsidP="00595C63">
      <w:pPr>
        <w:spacing w:after="0" w:line="240" w:lineRule="auto"/>
      </w:pPr>
      <w:r>
        <w:separator/>
      </w:r>
    </w:p>
  </w:endnote>
  <w:endnote w:type="continuationSeparator" w:id="0">
    <w:p w14:paraId="36EB1C06" w14:textId="77777777" w:rsidR="007173A7" w:rsidRDefault="007173A7" w:rsidP="00595C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6611915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B66CBB1" w14:textId="2C2C05A6" w:rsidR="00595C63" w:rsidRDefault="00595C6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3BF2A1D" w14:textId="77777777" w:rsidR="00595C63" w:rsidRDefault="00595C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8B1D1" w14:textId="77777777" w:rsidR="007173A7" w:rsidRDefault="007173A7" w:rsidP="00595C63">
      <w:pPr>
        <w:spacing w:after="0" w:line="240" w:lineRule="auto"/>
      </w:pPr>
      <w:r>
        <w:separator/>
      </w:r>
    </w:p>
  </w:footnote>
  <w:footnote w:type="continuationSeparator" w:id="0">
    <w:p w14:paraId="466B71BE" w14:textId="77777777" w:rsidR="007173A7" w:rsidRDefault="007173A7" w:rsidP="00595C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0064E"/>
    <w:multiLevelType w:val="hybridMultilevel"/>
    <w:tmpl w:val="04A22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427E96"/>
    <w:multiLevelType w:val="hybridMultilevel"/>
    <w:tmpl w:val="7D00CA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5A17C2"/>
    <w:multiLevelType w:val="hybridMultilevel"/>
    <w:tmpl w:val="6792D8B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506215089">
    <w:abstractNumId w:val="0"/>
  </w:num>
  <w:num w:numId="2" w16cid:durableId="737437968">
    <w:abstractNumId w:val="1"/>
  </w:num>
  <w:num w:numId="3" w16cid:durableId="458761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IzNTS3NDI0sjQxtjBQ0lEKTi0uzszPAykwrAUABzeB2iwAAAA="/>
  </w:docVars>
  <w:rsids>
    <w:rsidRoot w:val="3EE04F93"/>
    <w:rsid w:val="00010F4D"/>
    <w:rsid w:val="000358BC"/>
    <w:rsid w:val="00045BB1"/>
    <w:rsid w:val="00057ABC"/>
    <w:rsid w:val="00063F99"/>
    <w:rsid w:val="00065DBA"/>
    <w:rsid w:val="00067A20"/>
    <w:rsid w:val="00091177"/>
    <w:rsid w:val="00094C10"/>
    <w:rsid w:val="00096BE4"/>
    <w:rsid w:val="000B2EA9"/>
    <w:rsid w:val="000C1CC0"/>
    <w:rsid w:val="000D49C2"/>
    <w:rsid w:val="000F62F0"/>
    <w:rsid w:val="00101027"/>
    <w:rsid w:val="00110D08"/>
    <w:rsid w:val="00116DE8"/>
    <w:rsid w:val="001216AE"/>
    <w:rsid w:val="00140381"/>
    <w:rsid w:val="00145376"/>
    <w:rsid w:val="00183D02"/>
    <w:rsid w:val="00186CAC"/>
    <w:rsid w:val="0019448D"/>
    <w:rsid w:val="001E717F"/>
    <w:rsid w:val="001F406D"/>
    <w:rsid w:val="002163E4"/>
    <w:rsid w:val="00242D53"/>
    <w:rsid w:val="002546A9"/>
    <w:rsid w:val="00286CBA"/>
    <w:rsid w:val="00297FE4"/>
    <w:rsid w:val="002A2605"/>
    <w:rsid w:val="002E608A"/>
    <w:rsid w:val="00316331"/>
    <w:rsid w:val="00331923"/>
    <w:rsid w:val="0033700D"/>
    <w:rsid w:val="00340C58"/>
    <w:rsid w:val="003500D4"/>
    <w:rsid w:val="00362133"/>
    <w:rsid w:val="00364D27"/>
    <w:rsid w:val="0037559B"/>
    <w:rsid w:val="0039112C"/>
    <w:rsid w:val="003B021E"/>
    <w:rsid w:val="003B35C8"/>
    <w:rsid w:val="003B5917"/>
    <w:rsid w:val="003E708A"/>
    <w:rsid w:val="003F10C5"/>
    <w:rsid w:val="00407682"/>
    <w:rsid w:val="00427688"/>
    <w:rsid w:val="00446C69"/>
    <w:rsid w:val="00451D6E"/>
    <w:rsid w:val="00463451"/>
    <w:rsid w:val="00463632"/>
    <w:rsid w:val="00496C00"/>
    <w:rsid w:val="004D27F1"/>
    <w:rsid w:val="004F1032"/>
    <w:rsid w:val="004F6101"/>
    <w:rsid w:val="0050286D"/>
    <w:rsid w:val="0050556A"/>
    <w:rsid w:val="00511C7C"/>
    <w:rsid w:val="00522176"/>
    <w:rsid w:val="00523E92"/>
    <w:rsid w:val="00544DE2"/>
    <w:rsid w:val="00560732"/>
    <w:rsid w:val="00571B8C"/>
    <w:rsid w:val="00593E5C"/>
    <w:rsid w:val="00595C63"/>
    <w:rsid w:val="005B2CC5"/>
    <w:rsid w:val="005B7ACB"/>
    <w:rsid w:val="005C488D"/>
    <w:rsid w:val="005C753A"/>
    <w:rsid w:val="005C7594"/>
    <w:rsid w:val="005D785D"/>
    <w:rsid w:val="006074CE"/>
    <w:rsid w:val="00624E61"/>
    <w:rsid w:val="00632A16"/>
    <w:rsid w:val="006516AE"/>
    <w:rsid w:val="00654B7C"/>
    <w:rsid w:val="0066277F"/>
    <w:rsid w:val="00671DCD"/>
    <w:rsid w:val="0067689B"/>
    <w:rsid w:val="00682CC4"/>
    <w:rsid w:val="00692DC4"/>
    <w:rsid w:val="00697C6E"/>
    <w:rsid w:val="006A6BC7"/>
    <w:rsid w:val="006B0022"/>
    <w:rsid w:val="006B148F"/>
    <w:rsid w:val="006B4FC2"/>
    <w:rsid w:val="006C5C2E"/>
    <w:rsid w:val="006D3826"/>
    <w:rsid w:val="006E4B33"/>
    <w:rsid w:val="006F3617"/>
    <w:rsid w:val="006F3B90"/>
    <w:rsid w:val="007135E2"/>
    <w:rsid w:val="007173A7"/>
    <w:rsid w:val="0072153D"/>
    <w:rsid w:val="00723356"/>
    <w:rsid w:val="00731FEE"/>
    <w:rsid w:val="0074067E"/>
    <w:rsid w:val="00755DA9"/>
    <w:rsid w:val="00756141"/>
    <w:rsid w:val="0077012E"/>
    <w:rsid w:val="007911A0"/>
    <w:rsid w:val="007C2760"/>
    <w:rsid w:val="007C593D"/>
    <w:rsid w:val="007D4F35"/>
    <w:rsid w:val="007E0A38"/>
    <w:rsid w:val="007F6A25"/>
    <w:rsid w:val="008335F6"/>
    <w:rsid w:val="00834451"/>
    <w:rsid w:val="00855FA6"/>
    <w:rsid w:val="008772BA"/>
    <w:rsid w:val="00883841"/>
    <w:rsid w:val="008A49BF"/>
    <w:rsid w:val="008A5172"/>
    <w:rsid w:val="008B0A53"/>
    <w:rsid w:val="008B5401"/>
    <w:rsid w:val="008D5915"/>
    <w:rsid w:val="008D5F45"/>
    <w:rsid w:val="0093537B"/>
    <w:rsid w:val="009429F0"/>
    <w:rsid w:val="0095531E"/>
    <w:rsid w:val="0096115B"/>
    <w:rsid w:val="0096268D"/>
    <w:rsid w:val="0098059E"/>
    <w:rsid w:val="0098794B"/>
    <w:rsid w:val="009A3B10"/>
    <w:rsid w:val="009C399C"/>
    <w:rsid w:val="009D0D8E"/>
    <w:rsid w:val="009D381C"/>
    <w:rsid w:val="00A0432E"/>
    <w:rsid w:val="00A255C0"/>
    <w:rsid w:val="00A37CFC"/>
    <w:rsid w:val="00A41C5F"/>
    <w:rsid w:val="00A44E7B"/>
    <w:rsid w:val="00A76178"/>
    <w:rsid w:val="00A86030"/>
    <w:rsid w:val="00AA77E9"/>
    <w:rsid w:val="00AB2325"/>
    <w:rsid w:val="00AB6C38"/>
    <w:rsid w:val="00AD051F"/>
    <w:rsid w:val="00AD39D4"/>
    <w:rsid w:val="00AE24E0"/>
    <w:rsid w:val="00AF2B6C"/>
    <w:rsid w:val="00B27AC3"/>
    <w:rsid w:val="00B41156"/>
    <w:rsid w:val="00B431C2"/>
    <w:rsid w:val="00B669C7"/>
    <w:rsid w:val="00B66E15"/>
    <w:rsid w:val="00B74072"/>
    <w:rsid w:val="00B81361"/>
    <w:rsid w:val="00B95D78"/>
    <w:rsid w:val="00BB018A"/>
    <w:rsid w:val="00C04413"/>
    <w:rsid w:val="00C07274"/>
    <w:rsid w:val="00C576CA"/>
    <w:rsid w:val="00C730AD"/>
    <w:rsid w:val="00C84A80"/>
    <w:rsid w:val="00C94A70"/>
    <w:rsid w:val="00CA3A90"/>
    <w:rsid w:val="00CD066F"/>
    <w:rsid w:val="00CF52AA"/>
    <w:rsid w:val="00CF78BF"/>
    <w:rsid w:val="00D06FEE"/>
    <w:rsid w:val="00D31E8B"/>
    <w:rsid w:val="00D40908"/>
    <w:rsid w:val="00D41BD9"/>
    <w:rsid w:val="00D47724"/>
    <w:rsid w:val="00D5389F"/>
    <w:rsid w:val="00D62A06"/>
    <w:rsid w:val="00D77543"/>
    <w:rsid w:val="00D85CF7"/>
    <w:rsid w:val="00DA13D7"/>
    <w:rsid w:val="00DA7390"/>
    <w:rsid w:val="00DB2683"/>
    <w:rsid w:val="00DB2CEA"/>
    <w:rsid w:val="00DB7470"/>
    <w:rsid w:val="00DC2456"/>
    <w:rsid w:val="00DC5CCB"/>
    <w:rsid w:val="00DE5597"/>
    <w:rsid w:val="00E043C8"/>
    <w:rsid w:val="00E050B0"/>
    <w:rsid w:val="00E17F9A"/>
    <w:rsid w:val="00E260DA"/>
    <w:rsid w:val="00E3272C"/>
    <w:rsid w:val="00E335AE"/>
    <w:rsid w:val="00E55A78"/>
    <w:rsid w:val="00E717EA"/>
    <w:rsid w:val="00E76862"/>
    <w:rsid w:val="00E850CF"/>
    <w:rsid w:val="00E93431"/>
    <w:rsid w:val="00E97D01"/>
    <w:rsid w:val="00EA4230"/>
    <w:rsid w:val="00EC029B"/>
    <w:rsid w:val="00EC5A17"/>
    <w:rsid w:val="00ED0172"/>
    <w:rsid w:val="00EF514E"/>
    <w:rsid w:val="00F339C4"/>
    <w:rsid w:val="00F46FE2"/>
    <w:rsid w:val="00F556FD"/>
    <w:rsid w:val="00F92718"/>
    <w:rsid w:val="00F9379F"/>
    <w:rsid w:val="00FA02B8"/>
    <w:rsid w:val="00FA28C8"/>
    <w:rsid w:val="00FB5FCE"/>
    <w:rsid w:val="3EE04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04F93"/>
  <w15:chartTrackingRefBased/>
  <w15:docId w15:val="{249AC5FE-CED9-4A12-8905-AB30CEC83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6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52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78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05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0556A"/>
  </w:style>
  <w:style w:type="character" w:customStyle="1" w:styleId="eop">
    <w:name w:val="eop"/>
    <w:basedOn w:val="DefaultParagraphFont"/>
    <w:rsid w:val="0050556A"/>
  </w:style>
  <w:style w:type="character" w:customStyle="1" w:styleId="Heading1Char">
    <w:name w:val="Heading 1 Char"/>
    <w:basedOn w:val="DefaultParagraphFont"/>
    <w:link w:val="Heading1"/>
    <w:uiPriority w:val="9"/>
    <w:rsid w:val="002546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F52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95C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5C63"/>
  </w:style>
  <w:style w:type="paragraph" w:styleId="Footer">
    <w:name w:val="footer"/>
    <w:basedOn w:val="Normal"/>
    <w:link w:val="FooterChar"/>
    <w:uiPriority w:val="99"/>
    <w:unhideWhenUsed/>
    <w:rsid w:val="00595C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5C63"/>
  </w:style>
  <w:style w:type="character" w:customStyle="1" w:styleId="Heading3Char">
    <w:name w:val="Heading 3 Char"/>
    <w:basedOn w:val="DefaultParagraphFont"/>
    <w:link w:val="Heading3"/>
    <w:uiPriority w:val="9"/>
    <w:rsid w:val="00CF78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C5C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1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6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7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2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image" Target="media/image27.emf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5.png"/><Relationship Id="rId37" Type="http://schemas.openxmlformats.org/officeDocument/2006/relationships/image" Target="media/image30.emf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36" Type="http://schemas.openxmlformats.org/officeDocument/2006/relationships/image" Target="media/image29.emf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Relationship Id="rId30" Type="http://schemas.openxmlformats.org/officeDocument/2006/relationships/image" Target="media/image23.png"/><Relationship Id="rId35" Type="http://schemas.openxmlformats.org/officeDocument/2006/relationships/image" Target="media/image28.emf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846</Words>
  <Characters>4823</Characters>
  <Application>Microsoft Office Word</Application>
  <DocSecurity>0</DocSecurity>
  <Lines>40</Lines>
  <Paragraphs>11</Paragraphs>
  <ScaleCrop>false</ScaleCrop>
  <Company/>
  <LinksUpToDate>false</LinksUpToDate>
  <CharactersWithSpaces>5658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Hafer (jahafer)</dc:creator>
  <cp:keywords/>
  <dc:description/>
  <cp:lastModifiedBy>Arifur Rahman Bhuiyan</cp:lastModifiedBy>
  <cp:revision>3</cp:revision>
  <dcterms:created xsi:type="dcterms:W3CDTF">2023-02-10T04:18:00Z</dcterms:created>
  <dcterms:modified xsi:type="dcterms:W3CDTF">2023-03-07T08:38:00Z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2023-01-09T15:03:42Z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11edc8a2-3291-4acf-adda-daaa77f507e4</vt:lpwstr>
  </property>
  <property fmtid="{D5CDD505-2E9C-101B-9397-08002B2CF9AE}" pid="8" name="MSIP_Label_ea60d57e-af5b-4752-ac57-3e4f28ca11dc_ContentBits">
    <vt:lpwstr>0</vt:lpwstr>
  </property>
</Properties>
</file>