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B00020" w:sz="12" w:space="1"/>
        </w:pBdr>
        <w:spacing w:after="120"/>
      </w:pPr>
      <w:r>
        <w:rPr>
          <w:rFonts w:ascii="Arial" w:cs="Arial" w:eastAsia="Arial" w:hAnsi="Arial"/>
          <w:b/>
          <w:bCs/>
          <w:color w:val="B00020"/>
          <w:sz w:val="18"/>
          <w:szCs w:val="18"/>
        </w:rPr>
        <w:t xml:space="preserve">⚠ UNAPPROVED DRAFT — strategy brief, not endorsed. Working analysis (2026-07-02). Do not cite or act on without review.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STRATEGY MEMO</w:t>
      </w:r>
    </w:p>
    <w:p>
      <w:pPr>
        <w:pBdr>
          <w:bottom w:val="single" w:color="1F3864" w:sz="12" w:space="1"/>
        </w:pBdr>
        <w:spacing w:after="8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Sovereign, Correctness-Attested Reasoning — Where the Play Is</w:t>
      </w:r>
    </w:p>
    <w:p>
      <w:pPr>
        <w:tabs>
          <w:tab w:val="right" w:pos="9026"/>
        </w:tabs>
        <w:spacing w:after="1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Prepared: July 2026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	Retested against live market data</w:t>
      </w:r>
    </w:p>
    <w:p>
      <w:pPr>
        <w:pStyle w:val="Heading1"/>
        <w:pBdr>
          <w:bottom w:val="single" w:color="2E75B6" w:sz="8" w:space="1"/>
        </w:pBdr>
        <w:spacing w:after="120" w:before="240"/>
      </w:pPr>
      <w:r>
        <w:rPr>
          <w:rFonts w:ascii="Arial" w:cs="Arial" w:eastAsia="Arial" w:hAnsi="Arial"/>
        </w:rPr>
        <w:t xml:space="preserve">Thesis (one line)</w:t>
      </w:r>
    </w:p>
    <w:p>
      <w:pPr>
        <w:spacing w:after="120"/>
      </w:pPr>
      <w:r>
        <w:rPr>
          <w:rFonts w:ascii="Arial" w:cs="Arial" w:eastAsia="Arial" w:hAnsi="Arial"/>
        </w:rPr>
        <w:t xml:space="preserve">Put the two capabilities nobody can copy — </w:t>
      </w:r>
      <w:r>
        <w:rPr>
          <w:rFonts w:ascii="Arial" w:cs="Arial" w:eastAsia="Arial" w:hAnsi="Arial"/>
          <w:b/>
          <w:bCs/>
        </w:rPr>
        <w:t xml:space="preserve">verified correctness</w:t>
      </w:r>
      <w:r>
        <w:rPr>
          <w:rFonts w:ascii="Arial" w:cs="Arial" w:eastAsia="Arial" w:hAnsi="Arial"/>
        </w:rPr>
        <w:t xml:space="preserve"> and </w:t>
      </w:r>
      <w:r>
        <w:rPr>
          <w:rFonts w:ascii="Arial" w:cs="Arial" w:eastAsia="Arial" w:hAnsi="Arial"/>
          <w:b/>
          <w:bCs/>
        </w:rPr>
        <w:t xml:space="preserve">authored canon</w:t>
      </w:r>
      <w:r>
        <w:rPr>
          <w:rFonts w:ascii="Arial" w:cs="Arial" w:eastAsia="Arial" w:hAnsi="Arial"/>
        </w:rPr>
        <w:t xml:space="preserve"> — on the side of the two trends physics and law guarantee (coordination-avoidance and compute-to-data), and build them the way that empirically won: a learned, pluggable, evidence-emitting router, not a global optimal solver.</w:t>
      </w:r>
    </w:p>
    <w:p>
      <w:pPr>
        <w:pStyle w:val="Heading1"/>
        <w:pBdr>
          <w:bottom w:val="single" w:color="2E75B6" w:sz="8" w:space="1"/>
        </w:pBdr>
        <w:spacing w:after="120" w:before="240"/>
      </w:pPr>
      <w:r>
        <w:rPr>
          <w:rFonts w:ascii="Arial" w:cs="Arial" w:eastAsia="Arial" w:hAnsi="Arial"/>
        </w:rPr>
        <w:t xml:space="preserve">1. The invariants we build 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Coordination is latency-bound</w:t>
      </w:r>
      <w:r>
        <w:rPr>
          <w:rFonts w:ascii="Arial" w:cs="Arial" w:eastAsia="Arial" w:hAnsi="Arial"/>
        </w:rPr>
        <w:t xml:space="preserve"> — critical-path round-trips to a distant authority are permanently slow. Local-first is the only correct answer to a physical constraint, not a preference.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Compute goes to data</w:t>
      </w:r>
      <w:r>
        <w:rPr>
          <w:rFonts w:ascii="Arial" w:cs="Arial" w:eastAsia="Arial" w:hAnsi="Arial"/>
        </w:rPr>
        <w:t xml:space="preserve"> — by physics (data gravity) and now by law (sector localization). Execution must be placeable where data and governance already sit.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</w:rPr>
        <w:t xml:space="preserve">Caveat surfaced on retest: 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hollow-core fiber (Microsoft, 1,280 km live, targeting 15,000 km by end-2026) is shaving the latency floor — but it is Azure-proprietary. Drop “can’t be out-latency’d” from the pitch; keep coordination-avoidance.</w:t>
      </w:r>
    </w:p>
    <w:p>
      <w:pPr>
        <w:pStyle w:val="Heading1"/>
        <w:pBdr>
          <w:bottom w:val="single" w:color="2E75B6" w:sz="8" w:space="1"/>
        </w:pBdr>
        <w:spacing w:after="120" w:before="240"/>
      </w:pPr>
      <w:r>
        <w:rPr>
          <w:rFonts w:ascii="Arial" w:cs="Arial" w:eastAsia="Arial" w:hAnsi="Arial"/>
        </w:rPr>
        <w:t xml:space="preserve">2. The market is real, forced, and 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2025–2026 reading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Sovereign cloud market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~$117–156B, growing ~24%/yr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Regulated-sector demand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~70% now require in-border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Regulatory coverage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60+ countries mandate residency; 75% of world under privacy law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Forcing events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EU Tech-Sovereignty Package (Jun 2026); AI Act live (Aug 2 2026); India DPDP Rules (Nov 2025)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75B6" w:sz="8" w:space="1"/>
        </w:pBdr>
        <w:spacing w:after="120" w:before="240"/>
      </w:pPr>
      <w:r>
        <w:rPr>
          <w:rFonts w:ascii="Arial" w:cs="Arial" w:eastAsia="Arial" w:hAnsi="Arial"/>
        </w:rPr>
        <w:t xml:space="preserve">3. The sharpened target</w:t>
      </w:r>
    </w:p>
    <w:p>
      <w:pPr>
        <w:spacing w:after="120"/>
      </w:pPr>
      <w:r>
        <w:rPr>
          <w:rFonts w:ascii="Arial" w:cs="Arial" w:eastAsia="Arial" w:hAnsi="Arial"/>
        </w:rPr>
        <w:t xml:space="preserve">Not “regions.” Most privacy laws permit cross-border transfer via adequacy/SCCs (Brazil got EU adequacy Jan 2026). The </w:t>
      </w:r>
      <w:r>
        <w:rPr>
          <w:rFonts w:ascii="Arial" w:cs="Arial" w:eastAsia="Arial" w:hAnsi="Arial"/>
          <w:b/>
          <w:bCs/>
        </w:rPr>
        <w:t xml:space="preserve">hard</w:t>
      </w:r>
      <w:r>
        <w:rPr>
          <w:rFonts w:ascii="Arial" w:cs="Arial" w:eastAsia="Arial" w:hAnsi="Arial"/>
        </w:rPr>
        <w:t xml:space="preserve"> localization mandates are </w:t>
      </w:r>
      <w:r>
        <w:rPr>
          <w:rFonts w:ascii="Arial" w:cs="Arial" w:eastAsia="Arial" w:hAnsi="Arial"/>
          <w:b/>
          <w:bCs/>
        </w:rPr>
        <w:t xml:space="preserve">sector-specific — finance, health, government</w:t>
      </w:r>
      <w:r>
        <w:rPr>
          <w:rFonts w:ascii="Arial" w:cs="Arial" w:eastAsia="Arial" w:hAnsi="Arial"/>
        </w:rPr>
        <w:t xml:space="preserve"> (RBI, OJK, SAMA, CBN). Target regulated verticals inside sovereignty regions (Brazil, India, Indonesia, Gulf, EU-sovereign), where localization is legally compelled, not merely preferred.</w:t>
      </w:r>
    </w:p>
    <w:p>
      <w:pPr>
        <w:pStyle w:val="Heading1"/>
        <w:pBdr>
          <w:bottom w:val="single" w:color="2E75B6" w:sz="8" w:space="1"/>
        </w:pBdr>
        <w:spacing w:after="120" w:before="240"/>
      </w:pPr>
      <w:r>
        <w:rPr>
          <w:rFonts w:ascii="Arial" w:cs="Arial" w:eastAsia="Arial" w:hAnsi="Arial"/>
        </w:rPr>
        <w:t xml:space="preserve">4. The re-cut moat</w:t>
      </w:r>
    </w:p>
    <w:p>
      <w:pPr>
        <w:spacing w:after="120"/>
      </w:pPr>
      <w:r>
        <w:rPr>
          <w:rFonts w:ascii="Arial" w:cs="Arial" w:eastAsia="Arial" w:hAnsi="Arial"/>
        </w:rPr>
        <w:t xml:space="preserve">Confidential computing went table-stakes ($12.3B→$16.7B, 36%/yr; IDC: 75% adopting; TEE-attested inference on Nvidia CC / Intel TDX / AWS Nitro). The category we thought was empty is now crowded — so the moat retreats one layer deeper, where it is defensible: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160"/>
        <w:gridCol w:w="280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2026 status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Confidentiality / execution attestation (TEE)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It ran privately, on unmodified 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Table-stakes — no longer a moat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Correctness attestation (our dimensional gate)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answer is right — computation is valid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Still empty — our position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>Confidential computing flips from competitor to </w:t>
      </w:r>
      <w:r>
        <w:rPr>
          <w:rFonts w:ascii="Arial" w:cs="Arial" w:eastAsia="Arial" w:hAnsi="Arial"/>
          <w:b/>
          <w:bCs/>
        </w:rPr>
        <w:t xml:space="preserve">channel</w:t>
      </w:r>
      <w:r>
        <w:rPr>
          <w:rFonts w:ascii="Arial" w:cs="Arial" w:eastAsia="Arial" w:hAnsi="Arial"/>
        </w:rPr>
        <w:t xml:space="preserve">: ride the TEE wave for distribution, differentiate on the one thing attestation cannot give — result validity. “We prove it ran privately </w:t>
      </w:r>
      <w:r>
        <w:rPr>
          <w:rFonts w:ascii="Arial" w:cs="Arial" w:eastAsia="Arial" w:hAnsi="Arial"/>
          <w:i/>
          <w:iCs/>
        </w:rPr>
        <w:t xml:space="preserve">and</w:t>
      </w:r>
      <w:r>
        <w:rPr>
          <w:rFonts w:ascii="Arial" w:cs="Arial" w:eastAsia="Arial" w:hAnsi="Arial"/>
        </w:rPr>
        <w:t xml:space="preserve"> that it’s correct” is a sentence no hyperscaler can currently say.</w:t>
      </w:r>
    </w:p>
    <w:p>
      <w:pPr>
        <w:pStyle w:val="Heading1"/>
        <w:pBdr>
          <w:bottom w:val="single" w:color="2E75B6" w:sz="8" w:space="1"/>
        </w:pBdr>
        <w:spacing w:after="120" w:before="240"/>
      </w:pPr>
      <w:r>
        <w:rPr>
          <w:rFonts w:ascii="Arial" w:cs="Arial" w:eastAsia="Arial" w:hAnsi="Arial"/>
        </w:rPr>
        <w:t xml:space="preserve">5. Capability scorecard (Local-First seven ideals + an eighth)</w:t>
      </w:r>
    </w:p>
    <w:p>
      <w:pPr>
        <w:spacing w:after="12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Scoring our own play on the Kleppmann et al. rubric. We are the photographic negative of cloud SaaS: green exactly where thin-client is red (Longevity / Privacy / Control), red where it is green (Multi-device / Collaboration) — the two cells CRDTs close.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Fast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Local model, no round-trip (verified tier adds latency)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Multi-device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●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Single-locus graph — real gap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 Offline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✓/–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Local runtime yes; cloud-deploy tier 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 Collaboration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●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async merge yet — real gap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Longevity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Evidence fabric + authored canon (strength)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 Privacy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✓/–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Sovereignty + confidential-compute channel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 User control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Sovereign deploy + own-your-brain (core)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 Correctness (new)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Attestation-gated — the axis the 2019 rubric never had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>The fix for cells 2 and 4 is </w:t>
      </w:r>
      <w:r>
        <w:rPr>
          <w:rFonts w:ascii="Arial" w:cs="Arial" w:eastAsia="Arial" w:hAnsi="Arial"/>
          <w:b/>
          <w:bCs/>
        </w:rPr>
        <w:t xml:space="preserve">accretive</w:t>
      </w:r>
      <w:r>
        <w:rPr>
          <w:rFonts w:ascii="Arial" w:cs="Arial" w:eastAsia="Arial" w:hAnsi="Arial"/>
        </w:rPr>
        <w:t xml:space="preserve">: add CRDT merge over the append-only EventEnvelope log we already emit (Figure 18’s “railroad track”). No central authority is introduced, so ideals 5/6/7 are untouched. See the companion CRDT design (sourceos-spec#130) and Slice 1 (prophet-mesh#13).</w:t>
      </w:r>
    </w:p>
    <w:p>
      <w:pPr>
        <w:pStyle w:val="Heading1"/>
        <w:pBdr>
          <w:bottom w:val="single" w:color="2E75B6" w:sz="8" w:space="1"/>
        </w:pBdr>
        <w:spacing w:after="120" w:before="240"/>
      </w:pPr>
      <w:r>
        <w:rPr>
          <w:rFonts w:ascii="Arial" w:cs="Arial" w:eastAsia="Arial" w:hAnsi="Arial"/>
        </w:rPr>
        <w:t xml:space="preserve">6. Sequenced play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</w:rPr>
        <w:t xml:space="preserve">Reposition the pitch.</w:t>
      </w:r>
      <w:r>
        <w:rPr>
          <w:rFonts w:ascii="Arial" w:cs="Arial" w:eastAsia="Arial" w:hAnsi="Arial"/>
        </w:rPr>
        <w:t xml:space="preserve"> “Your reasoning must run where your data is governed — and ours is the only one that proves the result is correct, not just private.” Physics + law + unclonable moat.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</w:rPr>
        <w:t xml:space="preserve">Ship one sovereign proof</w:t>
      </w:r>
      <w:r>
        <w:rPr>
          <w:rFonts w:ascii="Arial" w:cs="Arial" w:eastAsia="Arial" w:hAnsi="Arial"/>
        </w:rPr>
        <w:t xml:space="preserve"> in a regulated vertical (finance/health) — a prophet-platform deploy running correctness-attested reasoning in-region, riding TEE for confidentiality. One live reference beats another capability.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</w:rPr>
        <w:t xml:space="preserve">Frame the router, emit the evidence.</w:t>
      </w:r>
      <w:r>
        <w:rPr>
          <w:rFonts w:ascii="Arial" w:cs="Arial" w:eastAsia="Arial" w:hAnsi="Arial"/>
        </w:rPr>
        <w:t xml:space="preserve"> A learned back-end router (local / correctness-verified / canon) that emits evidence of its decision is the defensible artifact. The model is a swappable back-end.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</w:rPr>
        <w:t xml:space="preserve">Close ideals 2 &amp; 4 with CRDTs</w:t>
      </w:r>
      <w:r>
        <w:rPr>
          <w:rFonts w:ascii="Arial" w:cs="Arial" w:eastAsia="Arial" w:hAnsi="Arial"/>
        </w:rPr>
        <w:t xml:space="preserve"> over the evidence fabric — the one buildable that upgrades collaboration/multi-device without denting longevity/privacy/control.</w:t>
      </w:r>
    </w:p>
    <w:p>
      <w:pPr>
        <w:pStyle w:val="Heading1"/>
        <w:pBdr>
          <w:bottom w:val="single" w:color="2E75B6" w:sz="8" w:space="1"/>
        </w:pBdr>
        <w:spacing w:after="120" w:before="240"/>
      </w:pPr>
      <w:r>
        <w:rPr>
          <w:rFonts w:ascii="Arial" w:cs="Arial" w:eastAsia="Arial" w:hAnsi="Arial"/>
        </w:rPr>
        <w:t xml:space="preserve">7. Weakest remaining link</w:t>
      </w:r>
    </w:p>
    <w:p>
      <w:pPr>
        <w:spacing w:after="120"/>
      </w:pPr>
      <w:r>
        <w:rPr>
          <w:rFonts w:ascii="Arial" w:cs="Arial" w:eastAsia="Arial" w:hAnsi="Arial"/>
        </w:rPr>
        <w:t xml:space="preserve">The demand-side risk is closed. The new open risk: whether </w:t>
      </w:r>
      <w:r>
        <w:rPr>
          <w:rFonts w:ascii="Arial" w:cs="Arial" w:eastAsia="Arial" w:hAnsi="Arial"/>
          <w:b/>
          <w:bCs/>
        </w:rPr>
        <w:t xml:space="preserve">correctness attestation</w:t>
      </w:r>
      <w:r>
        <w:rPr>
          <w:rFonts w:ascii="Arial" w:cs="Arial" w:eastAsia="Arial" w:hAnsi="Arial"/>
        </w:rPr>
        <w:t xml:space="preserve"> is a felt buyer need </w:t>
      </w:r>
      <w:r>
        <w:rPr>
          <w:rFonts w:ascii="Arial" w:cs="Arial" w:eastAsia="Arial" w:hAnsi="Arial"/>
          <w:i/>
          <w:iCs/>
        </w:rPr>
        <w:t xml:space="preserve">today</w:t>
      </w:r>
      <w:r>
        <w:rPr>
          <w:rFonts w:ascii="Arial" w:cs="Arial" w:eastAsia="Arial" w:hAnsi="Arial"/>
        </w:rPr>
        <w:t xml:space="preserve">, or ahead of the market the way Musketeer’s auto-mapping was. Validate with a design partner in finance/health — not more desk research. First test: the Gulf-Finance lighthouse (see companion brief).</w:t>
      </w:r>
    </w:p>
    <w:p>
      <w:pPr>
        <w:pBdr>
          <w:bottom w:val="single" w:color="2E75B6" w:sz="6" w:space="1"/>
        </w:pBdr>
        <w:spacing w:after="40" w:before="20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Sources</w:t>
      </w:r>
    </w:p>
    <w:p>
      <w:pPr>
        <w:spacing w:after="0"/>
      </w:pPr>
      <w:hyperlink w:history="1" r:id="rIdh-0olbc-4j-5m2nln20te">
        <w:r>
          <w:rPr>
            <w:rStyle w:val="Hyperlink"/>
            <w:sz w:val="16"/>
            <w:szCs w:val="16"/>
          </w:rPr>
          <w:t xml:space="preserve">Sovereign cloud CAGR (MarkNtel)</w:t>
        </w:r>
      </w:hyperlink>
      <w:r>
        <w:rPr>
          <w:rFonts w:ascii="Arial" w:cs="Arial" w:eastAsia="Arial" w:hAnsi="Arial"/>
          <w:color w:val="595959"/>
          <w:sz w:val="16"/>
          <w:szCs w:val="16"/>
        </w:rPr>
        <w:t xml:space="preserve">  ·  </w:t>
      </w:r>
      <w:hyperlink w:history="1" r:id="rIdotigfe6wsy-seusocpmmo">
        <w:r>
          <w:rPr>
            <w:rStyle w:val="Hyperlink"/>
            <w:sz w:val="16"/>
            <w:szCs w:val="16"/>
          </w:rPr>
          <w:t xml:space="preserve">Data localization by country 2026</w:t>
        </w:r>
      </w:hyperlink>
      <w:r>
        <w:rPr>
          <w:rFonts w:ascii="Arial" w:cs="Arial" w:eastAsia="Arial" w:hAnsi="Arial"/>
          <w:color w:val="595959"/>
          <w:sz w:val="16"/>
          <w:szCs w:val="16"/>
        </w:rPr>
        <w:t xml:space="preserve">  ·  </w:t>
      </w:r>
      <w:hyperlink w:history="1" r:id="rIdl-srskqphvm8ot4yhripp">
        <w:r>
          <w:rPr>
            <w:rStyle w:val="Hyperlink"/>
            <w:sz w:val="16"/>
            <w:szCs w:val="16"/>
          </w:rPr>
          <w:t xml:space="preserve">Hollow-core fiber scale-up (DCD)</w:t>
        </w:r>
      </w:hyperlink>
      <w:r>
        <w:rPr>
          <w:rFonts w:ascii="Arial" w:cs="Arial" w:eastAsia="Arial" w:hAnsi="Arial"/>
          <w:color w:val="595959"/>
          <w:sz w:val="16"/>
          <w:szCs w:val="16"/>
        </w:rPr>
        <w:t xml:space="preserve">  ·  </w:t>
      </w:r>
      <w:hyperlink w:history="1" r:id="rId6ecj52z-25jaut4t_i_zq">
        <w:r>
          <w:rPr>
            <w:rStyle w:val="Hyperlink"/>
            <w:sz w:val="16"/>
            <w:szCs w:val="16"/>
          </w:rPr>
          <w:t xml:space="preserve">Confidential Computing Summit 2026 (Linux Foundation)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-0olbc-4j-5m2nln20te" Type="http://schemas.openxmlformats.org/officeDocument/2006/relationships/hyperlink" Target="https://www.prnewswire.com/news-releases/sovereign-cloud-market-to-register-a-cagr-of-24-16-through-2032-driven-by-rising-data-sovereignty-regulations--markntel-advisors-302713680.html" TargetMode="External"/><Relationship Id="rIdotigfe6wsy-seusocpmmo" Type="http://schemas.openxmlformats.org/officeDocument/2006/relationships/hyperlink" Target="https://www.recordinglaw.com/world-laws/world-data-privacy-laws/data-localization-laws-by-country/" TargetMode="External"/><Relationship Id="rIdl-srskqphvm8ot4yhripp" Type="http://schemas.openxmlformats.org/officeDocument/2006/relationships/hyperlink" Target="https://www.datacenterdynamics.com/en/news/microsoft-ramps-up-hollow-core-fiber-production-with-corning-heraeus-partnerships/" TargetMode="External"/><Relationship Id="rId6ecj52z-25jaut4t_i_zq" Type="http://schemas.openxmlformats.org/officeDocument/2006/relationships/hyperlink" Target="https://www.linuxfoundation.org/press/confidential-computing-summit-2026-schedule-showcases-next-era-of-ai-sovereignty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2026-07-02T15:31:23.883Z</dcterms:created>
  <dcterms:modified xsi:type="dcterms:W3CDTF">2026-07-02T15:31:23.884Z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