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i w:val="0"/>
          <w:color w:val="52514E"/>
          <w:sz w:val="22"/>
        </w:rPr>
        <w:t>Assignment ID: 1910090826</w:t>
      </w:r>
    </w:p>
    <w:p>
      <w:pPr>
        <w:jc w:val="center"/>
      </w:pPr>
      <w:r>
        <w:rPr>
          <w:b/>
          <w:i w:val="0"/>
          <w:color w:val="0D366B"/>
          <w:sz w:val="52"/>
        </w:rPr>
        <w:t>Advanced Analytics &amp; Forecasting</w:t>
      </w:r>
    </w:p>
    <w:p>
      <w:pPr>
        <w:jc w:val="center"/>
      </w:pPr>
      <w:r>
        <w:rPr>
          <w:i w:val="0"/>
          <w:color w:val="1C5CAB"/>
          <w:sz w:val="32"/>
        </w:rPr>
        <w:t>Formal Executive Report</w:t>
      </w:r>
    </w:p>
    <w:p/>
    <w:p>
      <w:pPr>
        <w:jc w:val="center"/>
      </w:pPr>
      <w:r>
        <w:rPr>
          <w:b/>
          <w:i w:val="0"/>
          <w:sz w:val="26"/>
        </w:rPr>
        <w:t>Option A — Public Sector: Healthcare Infrastructure &amp; Resource Planning</w:t>
      </w:r>
    </w:p>
    <w:p>
      <w:pPr>
        <w:jc w:val="center"/>
      </w:pPr>
      <w:r>
        <w:rPr>
          <w:i/>
          <w:color w:val="52514E"/>
          <w:sz w:val="22"/>
        </w:rPr>
        <w:t>Optimising operational staffing and bed capacity from socio-demographic indicators and seasonal health trends</w:t>
      </w:r>
    </w:p>
    <w:p/>
    <w:p>
      <w:pPr>
        <w:jc w:val="center"/>
      </w:pPr>
      <w:r>
        <w:rPr>
          <w:i w:val="0"/>
          <w:sz w:val="20"/>
        </w:rPr>
        <w:t>Units covered: Unit 4 (EDA &amp; Descriptive Analytics) · Unit 5 (Predictive Analytics I – Regression) · Unit 6 (Predictive Analytics II – Time Series)</w:t>
      </w:r>
    </w:p>
    <w:p>
      <w:pPr>
        <w:jc w:val="center"/>
      </w:pPr>
      <w:r>
        <w:rPr>
          <w:i w:val="0"/>
          <w:sz w:val="20"/>
        </w:rPr>
        <w:t>Dataset: public_health_2021_2024.csv — 48 monthly observations, January 2021 – December 2024</w:t>
      </w:r>
    </w:p>
    <w:p>
      <w:pPr>
        <w:jc w:val="center"/>
      </w:pPr>
      <w:r>
        <w:rPr>
          <w:i w:val="0"/>
          <w:sz w:val="20"/>
        </w:rPr>
        <w:t>Companion analytical files: 1910090826_Analytics_Workbook.xlsx and 1910090826_Analytics_Workbook.ipynb</w:t>
      </w:r>
    </w:p>
    <w:p/>
    <w:p/>
    <w:p/>
    <w:p/>
    <w:p/>
    <w:p/>
    <w:p>
      <w:pPr>
        <w:jc w:val="center"/>
      </w:pPr>
      <w:r>
        <w:rPr>
          <w:i w:val="0"/>
          <w:sz w:val="20"/>
        </w:rPr>
        <w:t>Student name: ____________________        Student ID: ____________________        Date of submission: ____________</w:t>
      </w:r>
    </w:p>
    <w:p>
      <w:r>
        <w:br w:type="page"/>
      </w:r>
    </w:p>
    <w:p>
      <w:pPr>
        <w:pStyle w:val="Heading1"/>
      </w:pPr>
      <w:r>
        <w:t>Executive Summary</w:t>
      </w:r>
    </w:p>
    <w:p>
      <w:r>
        <w:rPr>
          <w:i w:val="0"/>
        </w:rPr>
        <w:t>This report analyses four years of monthly public-health data (emergency room (ER) visits, ICU bed utilisation, public health expenditure, a population density index, vaccination coverage and flu/respiratory infection counts). The aim is to plan staffing, bed capacity and budget for 2025. The work follows the three analytical units in the brief: exploratory analysis, regression modelling and time-series forecasting. Every figure can be reproduced from the accompanying Excel workbook (live formulas and native PivotTables) and the executed Python notebook.</w:t>
      </w:r>
    </w:p>
    <w:p>
      <w:r>
        <w:rPr>
          <w:i w:val="0"/>
        </w:rPr>
      </w:r>
      <w:r>
        <w:rPr>
          <w:b/>
          <w:i w:val="0"/>
        </w:rPr>
        <w:t>Key findings.</w:t>
      </w:r>
      <w:r>
        <w:rPr>
          <w:i w:val="0"/>
        </w:rPr>
      </w:r>
    </w:p>
    <w:p>
      <w:pPr>
        <w:pStyle w:val="ListBullet"/>
      </w:pPr>
      <w:r>
        <w:rPr>
          <w:i w:val="0"/>
        </w:rPr>
      </w:r>
      <w:r>
        <w:rPr>
          <w:b/>
          <w:i w:val="0"/>
        </w:rPr>
        <w:t>Demand is growing and strongly seasonal.</w:t>
      </w:r>
      <w:r>
        <w:rPr>
          <w:i w:val="0"/>
        </w:rPr>
        <w:t xml:space="preserve"> ER visits rose 21.8% from 50,980 (2021) to 62,080 (2024). Every year the winter peak runs about 1.48 times the summer trough. January and December carry 25% and 20% more than an average month, and June 17% less.</w:t>
      </w:r>
    </w:p>
    <w:p>
      <w:pPr>
        <w:pStyle w:val="ListBullet"/>
      </w:pPr>
      <w:r>
        <w:rPr>
          <w:i w:val="0"/>
        </w:rPr>
      </w:r>
      <w:r>
        <w:rPr>
          <w:b/>
          <w:i w:val="0"/>
        </w:rPr>
        <w:t>ICU capacity is the binding constraint.</w:t>
      </w:r>
      <w:r>
        <w:rPr>
          <w:i w:val="0"/>
        </w:rPr>
        <w:t xml:space="preserve"> Mean ICU utilisation climbed from 69.9% to 81.2%. Months above the 85% safe-occupancy threshold rose from one in 2021 to four in 2024, and December 2024 reached 97.9%.</w:t>
      </w:r>
    </w:p>
    <w:p>
      <w:pPr>
        <w:pStyle w:val="ListBullet"/>
      </w:pPr>
      <w:r>
        <w:rPr>
          <w:i w:val="0"/>
        </w:rPr>
      </w:r>
      <w:r>
        <w:rPr>
          <w:b/>
          <w:i w:val="0"/>
        </w:rPr>
        <w:t>Respiratory infection drives demand.</w:t>
      </w:r>
      <w:r>
        <w:rPr>
          <w:i w:val="0"/>
        </w:rPr>
        <w:t xml:space="preserve"> On its own, the flu/respiratory case count explains 97.5% of the month-to-month variation in ER visits. In the multiple regression, each extra respiratory case brings 1.64 ER visits. Each one-point rise in the population density index adds 31 visits a month, regardless of season. Once flu cases are known, the winter calendar adds nothing significant.</w:t>
      </w:r>
    </w:p>
    <w:p>
      <w:pPr>
        <w:pStyle w:val="ListBullet"/>
      </w:pPr>
      <w:r>
        <w:rPr>
          <w:i w:val="0"/>
        </w:rPr>
      </w:r>
      <w:r>
        <w:rPr>
          <w:b/>
          <w:i w:val="0"/>
        </w:rPr>
        <w:t>Holt-Winters is the most accurate forecaster.</w:t>
      </w:r>
      <w:r>
        <w:rPr>
          <w:i w:val="0"/>
        </w:rPr>
        <w:t xml:space="preserve"> Tested on 2024 (data the model had not seen), multiplicative Holt-Winters missed by 0.79% on average (MAPE; RMSE 43 visits). The comparison models did much worse: seasonal naïve 5.0%, the 6-month SMA 11.7–16.4% and the 3-month SMA 12.1–15.0%.</w:t>
      </w:r>
    </w:p>
    <w:p>
      <w:pPr>
        <w:pStyle w:val="ListBullet"/>
      </w:pPr>
      <w:r>
        <w:rPr>
          <w:i w:val="0"/>
        </w:rPr>
      </w:r>
      <w:r>
        <w:rPr>
          <w:b/>
          <w:i w:val="0"/>
        </w:rPr>
        <w:t>2025 outlook.</w:t>
      </w:r>
      <w:r>
        <w:rPr>
          <w:i w:val="0"/>
        </w:rPr>
        <w:t xml:space="preserve"> Expect about 65,600 ER visits (+5.6%), with peaks of 6,655 in January and 6,699 in December and a June trough of 4,539. ICU utilisation is forecast above 85% for six months (October–March) and above 100% of current staffed beds in January (101.4%) and December (102.3%).</w:t>
      </w:r>
    </w:p>
    <w:p>
      <w:r>
        <w:rPr>
          <w:i w:val="0"/>
        </w:rPr>
      </w:r>
      <w:r>
        <w:rPr>
          <w:b/>
          <w:i w:val="0"/>
        </w:rPr>
        <w:t>Priority recommendations:</w:t>
      </w:r>
      <w:r>
        <w:rPr>
          <w:i w:val="0"/>
        </w:rPr>
        <w:t xml:space="preserve"> (1) set a flexible winter workforce that rises to 1.29 times average staffing in December–January; (2) open about 20% more staffed ICU capacity for December–January and about 11% for November and February; (3) use flu surveillance as an early-warning trigger; (4) hold a $0.79m winter-surge reserve plus a $0.92m severe-season contingency within a forecast budget of $16.7m.</w:t>
      </w:r>
    </w:p>
    <w:p>
      <w:r>
        <w:br w:type="page"/>
      </w:r>
    </w:p>
    <w:p>
      <w:pPr>
        <w:pStyle w:val="Heading1"/>
      </w:pPr>
      <w:r>
        <w:t>Section 1 — Exploratory Data Analysis &amp; KPIs (Unit 4)</w:t>
      </w:r>
    </w:p>
    <w:p>
      <w:pPr>
        <w:pStyle w:val="Heading2"/>
      </w:pPr>
      <w:r>
        <w:t>1.1 Data preparation</w:t>
      </w:r>
    </w:p>
    <w:p>
      <w:r>
        <w:rPr>
          <w:i w:val="0"/>
        </w:rPr>
        <w:t>The supplied file stores comma-separated text in a single spreadsheet column. It was parsed into a tidy 48 × 7 table with no missing values, duplicates or gaps in the monthly sequence. Several fields were then derived: Year, Quarter, Season, a Winter dummy (December–February), a time index, and calculated KPIs (expenditure per ER visit, ER visits per respiratory case and an ICU&gt;85% breach flag).</w:t>
      </w:r>
    </w:p>
    <w:p>
      <w:pPr>
        <w:pStyle w:val="Heading2"/>
      </w:pPr>
      <w:r>
        <w:t>1.2 Central tendency, dispersion and distribution</w:t>
      </w:r>
    </w:p>
    <w:p>
      <w:pPr>
        <w:keepNext/>
        <w:spacing w:after="40"/>
      </w:pPr>
      <w:r>
        <w:rPr>
          <w:b/>
          <w:color w:val="0D366B"/>
          <w:sz w:val="18"/>
        </w:rPr>
        <w:t>Table 1. Descriptive statistics (n = 48)</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1701"/>
            <w:shd w:val="clear" w:color="auto" w:fill="1C5CAB"/>
          </w:tcPr>
          <w:p>
            <w:pPr>
              <w:keepNext/>
              <w:spacing w:after="0"/>
              <w:jc w:val="left"/>
            </w:pPr>
            <w:r/>
            <w:r>
              <w:rPr>
                <w:b/>
                <w:color w:val="FFFFFF"/>
                <w:sz w:val="16"/>
              </w:rPr>
              <w:t>Variable</w:t>
            </w:r>
          </w:p>
        </w:tc>
        <w:tc>
          <w:tcPr>
            <w:tcW w:type="dxa" w:w="992"/>
            <w:shd w:val="clear" w:color="auto" w:fill="1C5CAB"/>
          </w:tcPr>
          <w:p>
            <w:pPr>
              <w:keepNext/>
              <w:spacing w:after="0"/>
              <w:jc w:val="center"/>
            </w:pPr>
            <w:r/>
            <w:r>
              <w:rPr>
                <w:b/>
                <w:color w:val="FFFFFF"/>
                <w:sz w:val="16"/>
              </w:rPr>
              <w:t>Mean</w:t>
            </w:r>
          </w:p>
        </w:tc>
        <w:tc>
          <w:tcPr>
            <w:tcW w:type="dxa" w:w="992"/>
            <w:shd w:val="clear" w:color="auto" w:fill="1C5CAB"/>
          </w:tcPr>
          <w:p>
            <w:pPr>
              <w:keepNext/>
              <w:spacing w:after="0"/>
              <w:jc w:val="center"/>
            </w:pPr>
            <w:r/>
            <w:r>
              <w:rPr>
                <w:b/>
                <w:color w:val="FFFFFF"/>
                <w:sz w:val="16"/>
              </w:rPr>
              <w:t>Median</w:t>
            </w:r>
          </w:p>
        </w:tc>
        <w:tc>
          <w:tcPr>
            <w:tcW w:type="dxa" w:w="907"/>
            <w:shd w:val="clear" w:color="auto" w:fill="1C5CAB"/>
          </w:tcPr>
          <w:p>
            <w:pPr>
              <w:keepNext/>
              <w:spacing w:after="0"/>
              <w:jc w:val="center"/>
            </w:pPr>
            <w:r/>
            <w:r>
              <w:rPr>
                <w:b/>
                <w:color w:val="FFFFFF"/>
                <w:sz w:val="16"/>
              </w:rPr>
              <w:t>Std Dev</w:t>
            </w:r>
          </w:p>
        </w:tc>
        <w:tc>
          <w:tcPr>
            <w:tcW w:type="dxa" w:w="624"/>
            <w:shd w:val="clear" w:color="auto" w:fill="1C5CAB"/>
          </w:tcPr>
          <w:p>
            <w:pPr>
              <w:keepNext/>
              <w:spacing w:after="0"/>
              <w:jc w:val="center"/>
            </w:pPr>
            <w:r/>
            <w:r>
              <w:rPr>
                <w:b/>
                <w:color w:val="FFFFFF"/>
                <w:sz w:val="16"/>
              </w:rPr>
              <w:t>CV %</w:t>
            </w:r>
          </w:p>
        </w:tc>
        <w:tc>
          <w:tcPr>
            <w:tcW w:type="dxa" w:w="907"/>
            <w:shd w:val="clear" w:color="auto" w:fill="1C5CAB"/>
          </w:tcPr>
          <w:p>
            <w:pPr>
              <w:keepNext/>
              <w:spacing w:after="0"/>
              <w:jc w:val="center"/>
            </w:pPr>
            <w:r/>
            <w:r>
              <w:rPr>
                <w:b/>
                <w:color w:val="FFFFFF"/>
                <w:sz w:val="16"/>
              </w:rPr>
              <w:t>IQR</w:t>
            </w:r>
          </w:p>
        </w:tc>
        <w:tc>
          <w:tcPr>
            <w:tcW w:type="dxa" w:w="624"/>
            <w:shd w:val="clear" w:color="auto" w:fill="1C5CAB"/>
          </w:tcPr>
          <w:p>
            <w:pPr>
              <w:keepNext/>
              <w:spacing w:after="0"/>
              <w:jc w:val="center"/>
            </w:pPr>
            <w:r/>
            <w:r>
              <w:rPr>
                <w:b/>
                <w:color w:val="FFFFFF"/>
                <w:sz w:val="16"/>
              </w:rPr>
              <w:t>Skew</w:t>
            </w:r>
          </w:p>
        </w:tc>
        <w:tc>
          <w:tcPr>
            <w:tcW w:type="dxa" w:w="737"/>
            <w:shd w:val="clear" w:color="auto" w:fill="1C5CAB"/>
          </w:tcPr>
          <w:p>
            <w:pPr>
              <w:keepNext/>
              <w:spacing w:after="0"/>
              <w:jc w:val="center"/>
            </w:pPr>
            <w:r/>
            <w:r>
              <w:rPr>
                <w:b/>
                <w:color w:val="FFFFFF"/>
                <w:sz w:val="16"/>
              </w:rPr>
              <w:t>Ex. kurt.</w:t>
            </w:r>
          </w:p>
        </w:tc>
        <w:tc>
          <w:tcPr>
            <w:tcW w:type="dxa" w:w="794"/>
            <w:shd w:val="clear" w:color="auto" w:fill="1C5CAB"/>
          </w:tcPr>
          <w:p>
            <w:pPr>
              <w:keepNext/>
              <w:spacing w:after="0"/>
              <w:jc w:val="center"/>
            </w:pPr>
            <w:r/>
            <w:r>
              <w:rPr>
                <w:b/>
                <w:color w:val="FFFFFF"/>
                <w:sz w:val="16"/>
              </w:rPr>
              <w:t>Shapiro p</w:t>
            </w:r>
          </w:p>
        </w:tc>
        <w:tc>
          <w:tcPr>
            <w:tcW w:type="dxa" w:w="737"/>
            <w:shd w:val="clear" w:color="auto" w:fill="1C5CAB"/>
          </w:tcPr>
          <w:p>
            <w:pPr>
              <w:keepNext/>
              <w:spacing w:after="0"/>
              <w:jc w:val="center"/>
            </w:pPr>
            <w:r/>
            <w:r>
              <w:rPr>
                <w:b/>
                <w:color w:val="FFFFFF"/>
                <w:sz w:val="16"/>
              </w:rPr>
              <w:t>IQR outliers</w:t>
            </w:r>
          </w:p>
        </w:tc>
      </w:tr>
      <w:tr>
        <w:tc>
          <w:tcPr>
            <w:tcW w:type="dxa" w:w="1701"/>
          </w:tcPr>
          <w:p>
            <w:pPr>
              <w:keepNext/>
              <w:spacing w:after="0"/>
              <w:jc w:val="left"/>
            </w:pPr>
            <w:r/>
            <w:r>
              <w:rPr>
                <w:b/>
                <w:sz w:val="16"/>
              </w:rPr>
              <w:t>ER visits</w:t>
            </w:r>
          </w:p>
        </w:tc>
        <w:tc>
          <w:tcPr>
            <w:tcW w:type="dxa" w:w="992"/>
          </w:tcPr>
          <w:p>
            <w:pPr>
              <w:keepNext/>
              <w:spacing w:after="0"/>
              <w:jc w:val="center"/>
            </w:pPr>
            <w:r/>
            <w:r>
              <w:rPr>
                <w:sz w:val="16"/>
              </w:rPr>
              <w:t>4,745</w:t>
            </w:r>
          </w:p>
        </w:tc>
        <w:tc>
          <w:tcPr>
            <w:tcW w:type="dxa" w:w="992"/>
          </w:tcPr>
          <w:p>
            <w:pPr>
              <w:keepNext/>
              <w:spacing w:after="0"/>
              <w:jc w:val="center"/>
            </w:pPr>
            <w:r/>
            <w:r>
              <w:rPr>
                <w:sz w:val="16"/>
              </w:rPr>
              <w:t>4,585</w:t>
            </w:r>
          </w:p>
        </w:tc>
        <w:tc>
          <w:tcPr>
            <w:tcW w:type="dxa" w:w="907"/>
          </w:tcPr>
          <w:p>
            <w:pPr>
              <w:keepNext/>
              <w:spacing w:after="0"/>
              <w:jc w:val="center"/>
            </w:pPr>
            <w:r/>
            <w:r>
              <w:rPr>
                <w:sz w:val="16"/>
              </w:rPr>
              <w:t>739</w:t>
            </w:r>
          </w:p>
        </w:tc>
        <w:tc>
          <w:tcPr>
            <w:tcW w:type="dxa" w:w="624"/>
          </w:tcPr>
          <w:p>
            <w:pPr>
              <w:keepNext/>
              <w:spacing w:after="0"/>
              <w:jc w:val="center"/>
            </w:pPr>
            <w:r/>
            <w:r>
              <w:rPr>
                <w:sz w:val="16"/>
              </w:rPr>
              <w:t>15.6</w:t>
            </w:r>
          </w:p>
        </w:tc>
        <w:tc>
          <w:tcPr>
            <w:tcW w:type="dxa" w:w="907"/>
          </w:tcPr>
          <w:p>
            <w:pPr>
              <w:keepNext/>
              <w:spacing w:after="0"/>
              <w:jc w:val="center"/>
            </w:pPr>
            <w:r/>
            <w:r>
              <w:rPr>
                <w:sz w:val="16"/>
              </w:rPr>
              <w:t>1,118</w:t>
            </w:r>
          </w:p>
        </w:tc>
        <w:tc>
          <w:tcPr>
            <w:tcW w:type="dxa" w:w="624"/>
          </w:tcPr>
          <w:p>
            <w:pPr>
              <w:keepNext/>
              <w:spacing w:after="0"/>
              <w:jc w:val="center"/>
            </w:pPr>
            <w:r/>
            <w:r>
              <w:rPr>
                <w:sz w:val="16"/>
              </w:rPr>
              <w:t>0.47</w:t>
            </w:r>
          </w:p>
        </w:tc>
        <w:tc>
          <w:tcPr>
            <w:tcW w:type="dxa" w:w="737"/>
          </w:tcPr>
          <w:p>
            <w:pPr>
              <w:keepNext/>
              <w:spacing w:after="0"/>
              <w:jc w:val="center"/>
            </w:pPr>
            <w:r/>
            <w:r>
              <w:rPr>
                <w:sz w:val="16"/>
              </w:rPr>
              <w:t>-0.69</w:t>
            </w:r>
          </w:p>
        </w:tc>
        <w:tc>
          <w:tcPr>
            <w:tcW w:type="dxa" w:w="794"/>
          </w:tcPr>
          <w:p>
            <w:pPr>
              <w:keepNext/>
              <w:spacing w:after="0"/>
              <w:jc w:val="center"/>
            </w:pPr>
            <w:r/>
            <w:r>
              <w:rPr>
                <w:sz w:val="16"/>
              </w:rPr>
              <w:t>0.084</w:t>
            </w:r>
          </w:p>
        </w:tc>
        <w:tc>
          <w:tcPr>
            <w:tcW w:type="dxa" w:w="737"/>
          </w:tcPr>
          <w:p>
            <w:pPr>
              <w:keepNext/>
              <w:spacing w:after="0"/>
              <w:jc w:val="center"/>
            </w:pPr>
            <w:r/>
            <w:r>
              <w:rPr>
                <w:sz w:val="16"/>
              </w:rPr>
              <w:t>0</w:t>
            </w:r>
          </w:p>
        </w:tc>
      </w:tr>
      <w:tr>
        <w:tc>
          <w:tcPr>
            <w:tcW w:type="dxa" w:w="1701"/>
            <w:shd w:val="clear" w:color="auto" w:fill="EEF4FC"/>
          </w:tcPr>
          <w:p>
            <w:pPr>
              <w:keepNext/>
              <w:spacing w:after="0"/>
              <w:jc w:val="left"/>
            </w:pPr>
            <w:r/>
            <w:r>
              <w:rPr>
                <w:b/>
                <w:sz w:val="16"/>
              </w:rPr>
              <w:t>ICU %</w:t>
            </w:r>
          </w:p>
        </w:tc>
        <w:tc>
          <w:tcPr>
            <w:tcW w:type="dxa" w:w="992"/>
            <w:shd w:val="clear" w:color="auto" w:fill="EEF4FC"/>
          </w:tcPr>
          <w:p>
            <w:pPr>
              <w:keepNext/>
              <w:spacing w:after="0"/>
              <w:jc w:val="center"/>
            </w:pPr>
            <w:r/>
            <w:r>
              <w:rPr>
                <w:sz w:val="16"/>
              </w:rPr>
              <w:t>75.92</w:t>
            </w:r>
          </w:p>
        </w:tc>
        <w:tc>
          <w:tcPr>
            <w:tcW w:type="dxa" w:w="992"/>
            <w:shd w:val="clear" w:color="auto" w:fill="EEF4FC"/>
          </w:tcPr>
          <w:p>
            <w:pPr>
              <w:keepNext/>
              <w:spacing w:after="0"/>
              <w:jc w:val="center"/>
            </w:pPr>
            <w:r/>
            <w:r>
              <w:rPr>
                <w:sz w:val="16"/>
              </w:rPr>
              <w:t>74.35</w:t>
            </w:r>
          </w:p>
        </w:tc>
        <w:tc>
          <w:tcPr>
            <w:tcW w:type="dxa" w:w="907"/>
            <w:shd w:val="clear" w:color="auto" w:fill="EEF4FC"/>
          </w:tcPr>
          <w:p>
            <w:pPr>
              <w:keepNext/>
              <w:spacing w:after="0"/>
              <w:jc w:val="center"/>
            </w:pPr>
            <w:r/>
            <w:r>
              <w:rPr>
                <w:sz w:val="16"/>
              </w:rPr>
              <w:t>10.47</w:t>
            </w:r>
          </w:p>
        </w:tc>
        <w:tc>
          <w:tcPr>
            <w:tcW w:type="dxa" w:w="624"/>
            <w:shd w:val="clear" w:color="auto" w:fill="EEF4FC"/>
          </w:tcPr>
          <w:p>
            <w:pPr>
              <w:keepNext/>
              <w:spacing w:after="0"/>
              <w:jc w:val="center"/>
            </w:pPr>
            <w:r/>
            <w:r>
              <w:rPr>
                <w:sz w:val="16"/>
              </w:rPr>
              <w:t>13.8</w:t>
            </w:r>
          </w:p>
        </w:tc>
        <w:tc>
          <w:tcPr>
            <w:tcW w:type="dxa" w:w="907"/>
            <w:shd w:val="clear" w:color="auto" w:fill="EEF4FC"/>
          </w:tcPr>
          <w:p>
            <w:pPr>
              <w:keepNext/>
              <w:spacing w:after="0"/>
              <w:jc w:val="center"/>
            </w:pPr>
            <w:r/>
            <w:r>
              <w:rPr>
                <w:sz w:val="16"/>
              </w:rPr>
              <w:t>15.35</w:t>
            </w:r>
          </w:p>
        </w:tc>
        <w:tc>
          <w:tcPr>
            <w:tcW w:type="dxa" w:w="624"/>
            <w:shd w:val="clear" w:color="auto" w:fill="EEF4FC"/>
          </w:tcPr>
          <w:p>
            <w:pPr>
              <w:keepNext/>
              <w:spacing w:after="0"/>
              <w:jc w:val="center"/>
            </w:pPr>
            <w:r/>
            <w:r>
              <w:rPr>
                <w:sz w:val="16"/>
              </w:rPr>
              <w:t>0.43</w:t>
            </w:r>
          </w:p>
        </w:tc>
        <w:tc>
          <w:tcPr>
            <w:tcW w:type="dxa" w:w="737"/>
            <w:shd w:val="clear" w:color="auto" w:fill="EEF4FC"/>
          </w:tcPr>
          <w:p>
            <w:pPr>
              <w:keepNext/>
              <w:spacing w:after="0"/>
              <w:jc w:val="center"/>
            </w:pPr>
            <w:r/>
            <w:r>
              <w:rPr>
                <w:sz w:val="16"/>
              </w:rPr>
              <w:t>-0.80</w:t>
            </w:r>
          </w:p>
        </w:tc>
        <w:tc>
          <w:tcPr>
            <w:tcW w:type="dxa" w:w="794"/>
            <w:shd w:val="clear" w:color="auto" w:fill="EEF4FC"/>
          </w:tcPr>
          <w:p>
            <w:pPr>
              <w:keepNext/>
              <w:spacing w:after="0"/>
              <w:jc w:val="center"/>
            </w:pPr>
            <w:r/>
            <w:r>
              <w:rPr>
                <w:sz w:val="16"/>
              </w:rPr>
              <w:t>0.076</w:t>
            </w:r>
          </w:p>
        </w:tc>
        <w:tc>
          <w:tcPr>
            <w:tcW w:type="dxa" w:w="737"/>
            <w:shd w:val="clear" w:color="auto" w:fill="EEF4FC"/>
          </w:tcPr>
          <w:p>
            <w:pPr>
              <w:keepNext/>
              <w:spacing w:after="0"/>
              <w:jc w:val="center"/>
            </w:pPr>
            <w:r/>
            <w:r>
              <w:rPr>
                <w:sz w:val="16"/>
              </w:rPr>
              <w:t>0</w:t>
            </w:r>
          </w:p>
        </w:tc>
      </w:tr>
      <w:tr>
        <w:tc>
          <w:tcPr>
            <w:tcW w:type="dxa" w:w="1701"/>
          </w:tcPr>
          <w:p>
            <w:pPr>
              <w:keepNext/>
              <w:spacing w:after="0"/>
              <w:jc w:val="left"/>
            </w:pPr>
            <w:r/>
            <w:r>
              <w:rPr>
                <w:b/>
                <w:sz w:val="16"/>
              </w:rPr>
              <w:t>Spend $</w:t>
            </w:r>
          </w:p>
        </w:tc>
        <w:tc>
          <w:tcPr>
            <w:tcW w:type="dxa" w:w="992"/>
          </w:tcPr>
          <w:p>
            <w:pPr>
              <w:keepNext/>
              <w:spacing w:after="0"/>
              <w:jc w:val="center"/>
            </w:pPr>
            <w:r/>
            <w:r>
              <w:rPr>
                <w:sz w:val="16"/>
              </w:rPr>
              <w:t>1,249,167</w:t>
            </w:r>
          </w:p>
        </w:tc>
        <w:tc>
          <w:tcPr>
            <w:tcW w:type="dxa" w:w="992"/>
          </w:tcPr>
          <w:p>
            <w:pPr>
              <w:keepNext/>
              <w:spacing w:after="0"/>
              <w:jc w:val="center"/>
            </w:pPr>
            <w:r/>
            <w:r>
              <w:rPr>
                <w:sz w:val="16"/>
              </w:rPr>
              <w:t>1,215,000</w:t>
            </w:r>
          </w:p>
        </w:tc>
        <w:tc>
          <w:tcPr>
            <w:tcW w:type="dxa" w:w="907"/>
          </w:tcPr>
          <w:p>
            <w:pPr>
              <w:keepNext/>
              <w:spacing w:after="0"/>
              <w:jc w:val="center"/>
            </w:pPr>
            <w:r/>
            <w:r>
              <w:rPr>
                <w:sz w:val="16"/>
              </w:rPr>
              <w:t>148,164</w:t>
            </w:r>
          </w:p>
        </w:tc>
        <w:tc>
          <w:tcPr>
            <w:tcW w:type="dxa" w:w="624"/>
          </w:tcPr>
          <w:p>
            <w:pPr>
              <w:keepNext/>
              <w:spacing w:after="0"/>
              <w:jc w:val="center"/>
            </w:pPr>
            <w:r/>
            <w:r>
              <w:rPr>
                <w:sz w:val="16"/>
              </w:rPr>
              <w:t>11.9</w:t>
            </w:r>
          </w:p>
        </w:tc>
        <w:tc>
          <w:tcPr>
            <w:tcW w:type="dxa" w:w="907"/>
          </w:tcPr>
          <w:p>
            <w:pPr>
              <w:keepNext/>
              <w:spacing w:after="0"/>
              <w:jc w:val="center"/>
            </w:pPr>
            <w:r/>
            <w:r>
              <w:rPr>
                <w:sz w:val="16"/>
              </w:rPr>
              <w:t>207,500</w:t>
            </w:r>
          </w:p>
        </w:tc>
        <w:tc>
          <w:tcPr>
            <w:tcW w:type="dxa" w:w="624"/>
          </w:tcPr>
          <w:p>
            <w:pPr>
              <w:keepNext/>
              <w:spacing w:after="0"/>
              <w:jc w:val="center"/>
            </w:pPr>
            <w:r/>
            <w:r>
              <w:rPr>
                <w:sz w:val="16"/>
              </w:rPr>
              <w:t>0.60</w:t>
            </w:r>
          </w:p>
        </w:tc>
        <w:tc>
          <w:tcPr>
            <w:tcW w:type="dxa" w:w="737"/>
          </w:tcPr>
          <w:p>
            <w:pPr>
              <w:keepNext/>
              <w:spacing w:after="0"/>
              <w:jc w:val="center"/>
            </w:pPr>
            <w:r/>
            <w:r>
              <w:rPr>
                <w:sz w:val="16"/>
              </w:rPr>
              <w:t>-0.47</w:t>
            </w:r>
          </w:p>
        </w:tc>
        <w:tc>
          <w:tcPr>
            <w:tcW w:type="dxa" w:w="794"/>
          </w:tcPr>
          <w:p>
            <w:pPr>
              <w:keepNext/>
              <w:spacing w:after="0"/>
              <w:jc w:val="center"/>
            </w:pPr>
            <w:r/>
            <w:r>
              <w:rPr>
                <w:sz w:val="16"/>
              </w:rPr>
              <w:t>0.044</w:t>
            </w:r>
          </w:p>
        </w:tc>
        <w:tc>
          <w:tcPr>
            <w:tcW w:type="dxa" w:w="737"/>
          </w:tcPr>
          <w:p>
            <w:pPr>
              <w:keepNext/>
              <w:spacing w:after="0"/>
              <w:jc w:val="center"/>
            </w:pPr>
            <w:r/>
            <w:r>
              <w:rPr>
                <w:sz w:val="16"/>
              </w:rPr>
              <w:t>0</w:t>
            </w:r>
          </w:p>
        </w:tc>
      </w:tr>
      <w:tr>
        <w:tc>
          <w:tcPr>
            <w:tcW w:type="dxa" w:w="1701"/>
            <w:shd w:val="clear" w:color="auto" w:fill="EEF4FC"/>
          </w:tcPr>
          <w:p>
            <w:pPr>
              <w:keepNext/>
              <w:spacing w:after="0"/>
              <w:jc w:val="left"/>
            </w:pPr>
            <w:r/>
            <w:r>
              <w:rPr>
                <w:b/>
                <w:sz w:val="16"/>
              </w:rPr>
              <w:t>Pop. density</w:t>
            </w:r>
          </w:p>
        </w:tc>
        <w:tc>
          <w:tcPr>
            <w:tcW w:type="dxa" w:w="992"/>
            <w:shd w:val="clear" w:color="auto" w:fill="EEF4FC"/>
          </w:tcPr>
          <w:p>
            <w:pPr>
              <w:keepNext/>
              <w:spacing w:after="0"/>
              <w:jc w:val="center"/>
            </w:pPr>
            <w:r/>
            <w:r>
              <w:rPr>
                <w:sz w:val="16"/>
              </w:rPr>
              <w:t>107.93</w:t>
            </w:r>
          </w:p>
        </w:tc>
        <w:tc>
          <w:tcPr>
            <w:tcW w:type="dxa" w:w="992"/>
            <w:shd w:val="clear" w:color="auto" w:fill="EEF4FC"/>
          </w:tcPr>
          <w:p>
            <w:pPr>
              <w:keepNext/>
              <w:spacing w:after="0"/>
              <w:jc w:val="center"/>
            </w:pPr>
            <w:r/>
            <w:r>
              <w:rPr>
                <w:sz w:val="16"/>
              </w:rPr>
              <w:t>107.75</w:t>
            </w:r>
          </w:p>
        </w:tc>
        <w:tc>
          <w:tcPr>
            <w:tcW w:type="dxa" w:w="907"/>
            <w:shd w:val="clear" w:color="auto" w:fill="EEF4FC"/>
          </w:tcPr>
          <w:p>
            <w:pPr>
              <w:keepNext/>
              <w:spacing w:after="0"/>
              <w:jc w:val="center"/>
            </w:pPr>
            <w:r/>
            <w:r>
              <w:rPr>
                <w:sz w:val="16"/>
              </w:rPr>
              <w:t>3.56</w:t>
            </w:r>
          </w:p>
        </w:tc>
        <w:tc>
          <w:tcPr>
            <w:tcW w:type="dxa" w:w="624"/>
            <w:shd w:val="clear" w:color="auto" w:fill="EEF4FC"/>
          </w:tcPr>
          <w:p>
            <w:pPr>
              <w:keepNext/>
              <w:spacing w:after="0"/>
              <w:jc w:val="center"/>
            </w:pPr>
            <w:r/>
            <w:r>
              <w:rPr>
                <w:sz w:val="16"/>
              </w:rPr>
              <w:t>3.3</w:t>
            </w:r>
          </w:p>
        </w:tc>
        <w:tc>
          <w:tcPr>
            <w:tcW w:type="dxa" w:w="907"/>
            <w:shd w:val="clear" w:color="auto" w:fill="EEF4FC"/>
          </w:tcPr>
          <w:p>
            <w:pPr>
              <w:keepNext/>
              <w:spacing w:after="0"/>
              <w:jc w:val="center"/>
            </w:pPr>
            <w:r/>
            <w:r>
              <w:rPr>
                <w:sz w:val="16"/>
              </w:rPr>
              <w:t>6.05</w:t>
            </w:r>
          </w:p>
        </w:tc>
        <w:tc>
          <w:tcPr>
            <w:tcW w:type="dxa" w:w="624"/>
            <w:shd w:val="clear" w:color="auto" w:fill="EEF4FC"/>
          </w:tcPr>
          <w:p>
            <w:pPr>
              <w:keepNext/>
              <w:spacing w:after="0"/>
              <w:jc w:val="center"/>
            </w:pPr>
            <w:r/>
            <w:r>
              <w:rPr>
                <w:sz w:val="16"/>
              </w:rPr>
              <w:t>0.12</w:t>
            </w:r>
          </w:p>
        </w:tc>
        <w:tc>
          <w:tcPr>
            <w:tcW w:type="dxa" w:w="737"/>
            <w:shd w:val="clear" w:color="auto" w:fill="EEF4FC"/>
          </w:tcPr>
          <w:p>
            <w:pPr>
              <w:keepNext/>
              <w:spacing w:after="0"/>
              <w:jc w:val="center"/>
            </w:pPr>
            <w:r/>
            <w:r>
              <w:rPr>
                <w:sz w:val="16"/>
              </w:rPr>
              <w:t>-1.22</w:t>
            </w:r>
          </w:p>
        </w:tc>
        <w:tc>
          <w:tcPr>
            <w:tcW w:type="dxa" w:w="794"/>
            <w:shd w:val="clear" w:color="auto" w:fill="EEF4FC"/>
          </w:tcPr>
          <w:p>
            <w:pPr>
              <w:keepNext/>
              <w:spacing w:after="0"/>
              <w:jc w:val="center"/>
            </w:pPr>
            <w:r/>
            <w:r>
              <w:rPr>
                <w:sz w:val="16"/>
              </w:rPr>
              <w:t>0.045</w:t>
            </w:r>
          </w:p>
        </w:tc>
        <w:tc>
          <w:tcPr>
            <w:tcW w:type="dxa" w:w="737"/>
            <w:shd w:val="clear" w:color="auto" w:fill="EEF4FC"/>
          </w:tcPr>
          <w:p>
            <w:pPr>
              <w:keepNext/>
              <w:spacing w:after="0"/>
              <w:jc w:val="center"/>
            </w:pPr>
            <w:r/>
            <w:r>
              <w:rPr>
                <w:sz w:val="16"/>
              </w:rPr>
              <w:t>0</w:t>
            </w:r>
          </w:p>
        </w:tc>
      </w:tr>
      <w:tr>
        <w:tc>
          <w:tcPr>
            <w:tcW w:type="dxa" w:w="1701"/>
          </w:tcPr>
          <w:p>
            <w:pPr>
              <w:keepNext/>
              <w:spacing w:after="0"/>
              <w:jc w:val="left"/>
            </w:pPr>
            <w:r/>
            <w:r>
              <w:rPr>
                <w:b/>
                <w:sz w:val="16"/>
              </w:rPr>
              <w:t>Vacc. %</w:t>
            </w:r>
          </w:p>
        </w:tc>
        <w:tc>
          <w:tcPr>
            <w:tcW w:type="dxa" w:w="992"/>
          </w:tcPr>
          <w:p>
            <w:pPr>
              <w:keepNext/>
              <w:spacing w:after="0"/>
              <w:jc w:val="center"/>
            </w:pPr>
            <w:r/>
            <w:r>
              <w:rPr>
                <w:sz w:val="16"/>
              </w:rPr>
              <w:t>79.65</w:t>
            </w:r>
          </w:p>
        </w:tc>
        <w:tc>
          <w:tcPr>
            <w:tcW w:type="dxa" w:w="992"/>
          </w:tcPr>
          <w:p>
            <w:pPr>
              <w:keepNext/>
              <w:spacing w:after="0"/>
              <w:jc w:val="center"/>
            </w:pPr>
            <w:r/>
            <w:r>
              <w:rPr>
                <w:sz w:val="16"/>
              </w:rPr>
              <w:t>79.85</w:t>
            </w:r>
          </w:p>
        </w:tc>
        <w:tc>
          <w:tcPr>
            <w:tcW w:type="dxa" w:w="907"/>
          </w:tcPr>
          <w:p>
            <w:pPr>
              <w:keepNext/>
              <w:spacing w:after="0"/>
              <w:jc w:val="center"/>
            </w:pPr>
            <w:r/>
            <w:r>
              <w:rPr>
                <w:sz w:val="16"/>
              </w:rPr>
              <w:t>7.25</w:t>
            </w:r>
          </w:p>
        </w:tc>
        <w:tc>
          <w:tcPr>
            <w:tcW w:type="dxa" w:w="624"/>
          </w:tcPr>
          <w:p>
            <w:pPr>
              <w:keepNext/>
              <w:spacing w:after="0"/>
              <w:jc w:val="center"/>
            </w:pPr>
            <w:r/>
            <w:r>
              <w:rPr>
                <w:sz w:val="16"/>
              </w:rPr>
              <w:t>9.1</w:t>
            </w:r>
          </w:p>
        </w:tc>
        <w:tc>
          <w:tcPr>
            <w:tcW w:type="dxa" w:w="907"/>
          </w:tcPr>
          <w:p>
            <w:pPr>
              <w:keepNext/>
              <w:spacing w:after="0"/>
              <w:jc w:val="center"/>
            </w:pPr>
            <w:r/>
            <w:r>
              <w:rPr>
                <w:sz w:val="16"/>
              </w:rPr>
              <w:t>10.93</w:t>
            </w:r>
          </w:p>
        </w:tc>
        <w:tc>
          <w:tcPr>
            <w:tcW w:type="dxa" w:w="624"/>
          </w:tcPr>
          <w:p>
            <w:pPr>
              <w:keepNext/>
              <w:spacing w:after="0"/>
              <w:jc w:val="center"/>
            </w:pPr>
            <w:r/>
            <w:r>
              <w:rPr>
                <w:sz w:val="16"/>
              </w:rPr>
              <w:t>-0.51</w:t>
            </w:r>
          </w:p>
        </w:tc>
        <w:tc>
          <w:tcPr>
            <w:tcW w:type="dxa" w:w="737"/>
          </w:tcPr>
          <w:p>
            <w:pPr>
              <w:keepNext/>
              <w:spacing w:after="0"/>
              <w:jc w:val="center"/>
            </w:pPr>
            <w:r/>
            <w:r>
              <w:rPr>
                <w:sz w:val="16"/>
              </w:rPr>
              <w:t>-0.29</w:t>
            </w:r>
          </w:p>
        </w:tc>
        <w:tc>
          <w:tcPr>
            <w:tcW w:type="dxa" w:w="794"/>
          </w:tcPr>
          <w:p>
            <w:pPr>
              <w:keepNext/>
              <w:spacing w:after="0"/>
              <w:jc w:val="center"/>
            </w:pPr>
            <w:r/>
            <w:r>
              <w:rPr>
                <w:sz w:val="16"/>
              </w:rPr>
              <w:t>0.119</w:t>
            </w:r>
          </w:p>
        </w:tc>
        <w:tc>
          <w:tcPr>
            <w:tcW w:type="dxa" w:w="737"/>
          </w:tcPr>
          <w:p>
            <w:pPr>
              <w:keepNext/>
              <w:spacing w:after="0"/>
              <w:jc w:val="center"/>
            </w:pPr>
            <w:r/>
            <w:r>
              <w:rPr>
                <w:sz w:val="16"/>
              </w:rPr>
              <w:t>0</w:t>
            </w:r>
          </w:p>
        </w:tc>
      </w:tr>
      <w:tr>
        <w:tc>
          <w:tcPr>
            <w:tcW w:type="dxa" w:w="1701"/>
            <w:shd w:val="clear" w:color="auto" w:fill="EEF4FC"/>
          </w:tcPr>
          <w:p>
            <w:pPr>
              <w:keepNext w:val="0"/>
              <w:spacing w:after="0"/>
              <w:jc w:val="left"/>
            </w:pPr>
            <w:r/>
            <w:r>
              <w:rPr>
                <w:b/>
                <w:sz w:val="16"/>
              </w:rPr>
              <w:t>Flu cases</w:t>
            </w:r>
          </w:p>
        </w:tc>
        <w:tc>
          <w:tcPr>
            <w:tcW w:type="dxa" w:w="992"/>
            <w:shd w:val="clear" w:color="auto" w:fill="EEF4FC"/>
          </w:tcPr>
          <w:p>
            <w:pPr>
              <w:keepNext w:val="0"/>
              <w:spacing w:after="0"/>
              <w:jc w:val="center"/>
            </w:pPr>
            <w:r/>
            <w:r>
              <w:rPr>
                <w:sz w:val="16"/>
              </w:rPr>
              <w:t>1,253</w:t>
            </w:r>
          </w:p>
        </w:tc>
        <w:tc>
          <w:tcPr>
            <w:tcW w:type="dxa" w:w="992"/>
            <w:shd w:val="clear" w:color="auto" w:fill="EEF4FC"/>
          </w:tcPr>
          <w:p>
            <w:pPr>
              <w:keepNext w:val="0"/>
              <w:spacing w:after="0"/>
              <w:jc w:val="center"/>
            </w:pPr>
            <w:r/>
            <w:r>
              <w:rPr>
                <w:sz w:val="16"/>
              </w:rPr>
              <w:t>1,180</w:t>
            </w:r>
          </w:p>
        </w:tc>
        <w:tc>
          <w:tcPr>
            <w:tcW w:type="dxa" w:w="907"/>
            <w:shd w:val="clear" w:color="auto" w:fill="EEF4FC"/>
          </w:tcPr>
          <w:p>
            <w:pPr>
              <w:keepNext w:val="0"/>
              <w:spacing w:after="0"/>
              <w:jc w:val="center"/>
            </w:pPr>
            <w:r/>
            <w:r>
              <w:rPr>
                <w:sz w:val="16"/>
              </w:rPr>
              <w:t>417</w:t>
            </w:r>
          </w:p>
        </w:tc>
        <w:tc>
          <w:tcPr>
            <w:tcW w:type="dxa" w:w="624"/>
            <w:shd w:val="clear" w:color="auto" w:fill="EEF4FC"/>
          </w:tcPr>
          <w:p>
            <w:pPr>
              <w:keepNext w:val="0"/>
              <w:spacing w:after="0"/>
              <w:jc w:val="center"/>
            </w:pPr>
            <w:r/>
            <w:r>
              <w:rPr>
                <w:sz w:val="16"/>
              </w:rPr>
              <w:t>33.3</w:t>
            </w:r>
          </w:p>
        </w:tc>
        <w:tc>
          <w:tcPr>
            <w:tcW w:type="dxa" w:w="907"/>
            <w:shd w:val="clear" w:color="auto" w:fill="EEF4FC"/>
          </w:tcPr>
          <w:p>
            <w:pPr>
              <w:keepNext w:val="0"/>
              <w:spacing w:after="0"/>
              <w:jc w:val="center"/>
            </w:pPr>
            <w:r/>
            <w:r>
              <w:rPr>
                <w:sz w:val="16"/>
              </w:rPr>
              <w:t>665</w:t>
            </w:r>
          </w:p>
        </w:tc>
        <w:tc>
          <w:tcPr>
            <w:tcW w:type="dxa" w:w="624"/>
            <w:shd w:val="clear" w:color="auto" w:fill="EEF4FC"/>
          </w:tcPr>
          <w:p>
            <w:pPr>
              <w:keepNext w:val="0"/>
              <w:spacing w:after="0"/>
              <w:jc w:val="center"/>
            </w:pPr>
            <w:r/>
            <w:r>
              <w:rPr>
                <w:sz w:val="16"/>
              </w:rPr>
              <w:t>0.60</w:t>
            </w:r>
          </w:p>
        </w:tc>
        <w:tc>
          <w:tcPr>
            <w:tcW w:type="dxa" w:w="737"/>
            <w:shd w:val="clear" w:color="auto" w:fill="EEF4FC"/>
          </w:tcPr>
          <w:p>
            <w:pPr>
              <w:keepNext w:val="0"/>
              <w:spacing w:after="0"/>
              <w:jc w:val="center"/>
            </w:pPr>
            <w:r/>
            <w:r>
              <w:rPr>
                <w:sz w:val="16"/>
              </w:rPr>
              <w:t>-0.77</w:t>
            </w:r>
          </w:p>
        </w:tc>
        <w:tc>
          <w:tcPr>
            <w:tcW w:type="dxa" w:w="794"/>
            <w:shd w:val="clear" w:color="auto" w:fill="EEF4FC"/>
          </w:tcPr>
          <w:p>
            <w:pPr>
              <w:keepNext w:val="0"/>
              <w:spacing w:after="0"/>
              <w:jc w:val="center"/>
            </w:pPr>
            <w:r/>
            <w:r>
              <w:rPr>
                <w:sz w:val="16"/>
              </w:rPr>
              <w:t>0.004</w:t>
            </w:r>
          </w:p>
        </w:tc>
        <w:tc>
          <w:tcPr>
            <w:tcW w:type="dxa" w:w="737"/>
            <w:shd w:val="clear" w:color="auto" w:fill="EEF4FC"/>
          </w:tcPr>
          <w:p>
            <w:pPr>
              <w:keepNext w:val="0"/>
              <w:spacing w:after="0"/>
              <w:jc w:val="center"/>
            </w:pPr>
            <w:r/>
            <w:r>
              <w:rPr>
                <w:sz w:val="16"/>
              </w:rPr>
              <w:t>0</w:t>
            </w:r>
          </w:p>
        </w:tc>
      </w:tr>
    </w:tbl>
    <w:p>
      <w:pPr>
        <w:spacing w:after="40"/>
      </w:pPr>
    </w:p>
    <w:p>
      <w:r>
        <w:rPr>
          <w:i w:val="0"/>
        </w:rPr>
        <w:t>Every demand variable has a mean above its median and positive skew: ER visits 0.47, ICU utilisation 0.43, expenditure 0.60 and flu cases 0.60. This is the signature of winter surges stretching the upper tail (Figure 1). ER visits and ICU sit just inside the conventional ±0.5 "approximately symmetric" band, while expenditure and flu cases are moderately right-skewed. Excess kurtosis is negative throughout (platykurtic). That reflects a two-regime pattern, summer low and winter high, rather than heavy tails. Flu cases are the most volatile series (CV 33%) and the only one that clearly fails the Shapiro-Wilk normality test (p = 0.004). Vaccination coverage is the only left-skewed variable (−0.51), because of the rapid roll-out from 61% in early 2021. No observation breaches the 1.5 × IQR fences (Figure 2). The extremes are therefore systematic seasonal peaks, not data errors, and none were removed.</w:t>
      </w:r>
    </w:p>
    <w:p>
      <w:pPr>
        <w:jc w:val="center"/>
      </w:pPr>
      <w:r>
        <w:drawing>
          <wp:inline xmlns:a="http://schemas.openxmlformats.org/drawingml/2006/main" xmlns:pic="http://schemas.openxmlformats.org/drawingml/2006/picture">
            <wp:extent cx="5832000" cy="3090984"/>
            <wp:docPr id="1" name="Picture 1"/>
            <wp:cNvGraphicFramePr>
              <a:graphicFrameLocks noChangeAspect="1"/>
            </wp:cNvGraphicFramePr>
            <a:graphic>
              <a:graphicData uri="http://schemas.openxmlformats.org/drawingml/2006/picture">
                <pic:pic>
                  <pic:nvPicPr>
                    <pic:cNvPr id="0" name="fig01_histograms.png"/>
                    <pic:cNvPicPr/>
                  </pic:nvPicPr>
                  <pic:blipFill>
                    <a:blip r:embed="rId9"/>
                    <a:stretch>
                      <a:fillRect/>
                    </a:stretch>
                  </pic:blipFill>
                  <pic:spPr>
                    <a:xfrm>
                      <a:off x="0" y="0"/>
                      <a:ext cx="5832000" cy="3090984"/>
                    </a:xfrm>
                    <a:prstGeom prst="rect"/>
                  </pic:spPr>
                </pic:pic>
              </a:graphicData>
            </a:graphic>
          </wp:inline>
        </w:drawing>
      </w:r>
    </w:p>
    <w:p>
      <w:pPr>
        <w:jc w:val="center"/>
      </w:pPr>
      <w:r>
        <w:rPr>
          <w:i/>
          <w:color w:val="52514E"/>
          <w:sz w:val="17"/>
        </w:rPr>
        <w:t>Figure 1. Histograms with fitted normal curves; dashed = mean, dotted = median.</w:t>
      </w:r>
    </w:p>
    <w:p>
      <w:pPr>
        <w:pStyle w:val="Heading2"/>
      </w:pPr>
      <w:r>
        <w:t>1.3 Multi-dimensional pivot analysis and KPIs</w:t>
      </w:r>
    </w:p>
    <w:p>
      <w:pPr>
        <w:keepNext/>
        <w:spacing w:after="40"/>
      </w:pPr>
      <w:r>
        <w:rPr>
          <w:b/>
          <w:color w:val="0D366B"/>
          <w:sz w:val="18"/>
        </w:rPr>
        <w:t>Table 2. Annual KPI pivot with calculated fields and year-over-year growth</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680"/>
            <w:shd w:val="clear" w:color="auto" w:fill="1C5CAB"/>
          </w:tcPr>
          <w:p>
            <w:pPr>
              <w:keepNext/>
              <w:spacing w:after="0"/>
              <w:jc w:val="left"/>
            </w:pPr>
            <w:r/>
            <w:r>
              <w:rPr>
                <w:b/>
                <w:color w:val="FFFFFF"/>
                <w:sz w:val="16"/>
              </w:rPr>
              <w:t>Year</w:t>
            </w:r>
          </w:p>
        </w:tc>
        <w:tc>
          <w:tcPr>
            <w:tcW w:type="dxa" w:w="964"/>
            <w:shd w:val="clear" w:color="auto" w:fill="1C5CAB"/>
          </w:tcPr>
          <w:p>
            <w:pPr>
              <w:keepNext/>
              <w:spacing w:after="0"/>
              <w:jc w:val="center"/>
            </w:pPr>
            <w:r/>
            <w:r>
              <w:rPr>
                <w:b/>
                <w:color w:val="FFFFFF"/>
                <w:sz w:val="16"/>
              </w:rPr>
              <w:t>ER visits</w:t>
            </w:r>
          </w:p>
        </w:tc>
        <w:tc>
          <w:tcPr>
            <w:tcW w:type="dxa" w:w="680"/>
            <w:shd w:val="clear" w:color="auto" w:fill="1C5CAB"/>
          </w:tcPr>
          <w:p>
            <w:pPr>
              <w:keepNext/>
              <w:spacing w:after="0"/>
              <w:jc w:val="center"/>
            </w:pPr>
            <w:r/>
            <w:r>
              <w:rPr>
                <w:b/>
                <w:color w:val="FFFFFF"/>
                <w:sz w:val="16"/>
              </w:rPr>
              <w:t>YoY %</w:t>
            </w:r>
          </w:p>
        </w:tc>
        <w:tc>
          <w:tcPr>
            <w:tcW w:type="dxa" w:w="907"/>
            <w:shd w:val="clear" w:color="auto" w:fill="1C5CAB"/>
          </w:tcPr>
          <w:p>
            <w:pPr>
              <w:keepNext/>
              <w:spacing w:after="0"/>
              <w:jc w:val="center"/>
            </w:pPr>
            <w:r/>
            <w:r>
              <w:rPr>
                <w:b/>
                <w:color w:val="FFFFFF"/>
                <w:sz w:val="16"/>
              </w:rPr>
              <w:t>Flu cases</w:t>
            </w:r>
          </w:p>
        </w:tc>
        <w:tc>
          <w:tcPr>
            <w:tcW w:type="dxa" w:w="1020"/>
            <w:shd w:val="clear" w:color="auto" w:fill="1C5CAB"/>
          </w:tcPr>
          <w:p>
            <w:pPr>
              <w:keepNext/>
              <w:spacing w:after="0"/>
              <w:jc w:val="center"/>
            </w:pPr>
            <w:r/>
            <w:r>
              <w:rPr>
                <w:b/>
                <w:color w:val="FFFFFF"/>
                <w:sz w:val="16"/>
              </w:rPr>
              <w:t>Expenditure $m</w:t>
            </w:r>
          </w:p>
        </w:tc>
        <w:tc>
          <w:tcPr>
            <w:tcW w:type="dxa" w:w="964"/>
            <w:shd w:val="clear" w:color="auto" w:fill="1C5CAB"/>
          </w:tcPr>
          <w:p>
            <w:pPr>
              <w:keepNext/>
              <w:spacing w:after="0"/>
              <w:jc w:val="center"/>
            </w:pPr>
            <w:r/>
            <w:r>
              <w:rPr>
                <w:b/>
                <w:color w:val="FFFFFF"/>
                <w:sz w:val="16"/>
              </w:rPr>
              <w:t>$ per ER visit</w:t>
            </w:r>
          </w:p>
        </w:tc>
        <w:tc>
          <w:tcPr>
            <w:tcW w:type="dxa" w:w="1077"/>
            <w:shd w:val="clear" w:color="auto" w:fill="1C5CAB"/>
          </w:tcPr>
          <w:p>
            <w:pPr>
              <w:keepNext/>
              <w:spacing w:after="0"/>
              <w:jc w:val="center"/>
            </w:pPr>
            <w:r/>
            <w:r>
              <w:rPr>
                <w:b/>
                <w:color w:val="FFFFFF"/>
                <w:sz w:val="16"/>
              </w:rPr>
              <w:t>ER visits per flu case</w:t>
            </w:r>
          </w:p>
        </w:tc>
        <w:tc>
          <w:tcPr>
            <w:tcW w:type="dxa" w:w="850"/>
            <w:shd w:val="clear" w:color="auto" w:fill="1C5CAB"/>
          </w:tcPr>
          <w:p>
            <w:pPr>
              <w:keepNext/>
              <w:spacing w:after="0"/>
              <w:jc w:val="center"/>
            </w:pPr>
            <w:r/>
            <w:r>
              <w:rPr>
                <w:b/>
                <w:color w:val="FFFFFF"/>
                <w:sz w:val="16"/>
              </w:rPr>
              <w:t>Mean ICU %</w:t>
            </w:r>
          </w:p>
        </w:tc>
        <w:tc>
          <w:tcPr>
            <w:tcW w:type="dxa" w:w="850"/>
            <w:shd w:val="clear" w:color="auto" w:fill="1C5CAB"/>
          </w:tcPr>
          <w:p>
            <w:pPr>
              <w:keepNext/>
              <w:spacing w:after="0"/>
              <w:jc w:val="center"/>
            </w:pPr>
            <w:r/>
            <w:r>
              <w:rPr>
                <w:b/>
                <w:color w:val="FFFFFF"/>
                <w:sz w:val="16"/>
              </w:rPr>
              <w:t>Peak ICU %</w:t>
            </w:r>
          </w:p>
        </w:tc>
        <w:tc>
          <w:tcPr>
            <w:tcW w:type="dxa" w:w="1020"/>
            <w:shd w:val="clear" w:color="auto" w:fill="1C5CAB"/>
          </w:tcPr>
          <w:p>
            <w:pPr>
              <w:keepNext/>
              <w:spacing w:after="0"/>
              <w:jc w:val="center"/>
            </w:pPr>
            <w:r/>
            <w:r>
              <w:rPr>
                <w:b/>
                <w:color w:val="FFFFFF"/>
                <w:sz w:val="16"/>
              </w:rPr>
              <w:t>Months ICU &gt; 85%</w:t>
            </w:r>
          </w:p>
        </w:tc>
      </w:tr>
      <w:tr>
        <w:tc>
          <w:tcPr>
            <w:tcW w:type="dxa" w:w="680"/>
          </w:tcPr>
          <w:p>
            <w:pPr>
              <w:keepNext/>
              <w:spacing w:after="0"/>
              <w:jc w:val="left"/>
            </w:pPr>
            <w:r/>
            <w:r>
              <w:rPr>
                <w:b/>
                <w:sz w:val="16"/>
              </w:rPr>
              <w:t>2021</w:t>
            </w:r>
          </w:p>
        </w:tc>
        <w:tc>
          <w:tcPr>
            <w:tcW w:type="dxa" w:w="964"/>
          </w:tcPr>
          <w:p>
            <w:pPr>
              <w:keepNext/>
              <w:spacing w:after="0"/>
              <w:jc w:val="center"/>
            </w:pPr>
            <w:r/>
            <w:r>
              <w:rPr>
                <w:sz w:val="16"/>
              </w:rPr>
              <w:t>50,980</w:t>
            </w:r>
          </w:p>
        </w:tc>
        <w:tc>
          <w:tcPr>
            <w:tcW w:type="dxa" w:w="680"/>
          </w:tcPr>
          <w:p>
            <w:pPr>
              <w:keepNext/>
              <w:spacing w:after="0"/>
              <w:jc w:val="center"/>
            </w:pPr>
            <w:r/>
            <w:r>
              <w:rPr>
                <w:sz w:val="16"/>
              </w:rPr>
              <w:t>–</w:t>
            </w:r>
          </w:p>
        </w:tc>
        <w:tc>
          <w:tcPr>
            <w:tcW w:type="dxa" w:w="907"/>
          </w:tcPr>
          <w:p>
            <w:pPr>
              <w:keepNext/>
              <w:spacing w:after="0"/>
              <w:jc w:val="center"/>
            </w:pPr>
            <w:r/>
            <w:r>
              <w:rPr>
                <w:sz w:val="16"/>
              </w:rPr>
              <w:t>12,590</w:t>
            </w:r>
          </w:p>
        </w:tc>
        <w:tc>
          <w:tcPr>
            <w:tcW w:type="dxa" w:w="1020"/>
          </w:tcPr>
          <w:p>
            <w:pPr>
              <w:keepNext/>
              <w:spacing w:after="0"/>
              <w:jc w:val="center"/>
            </w:pPr>
            <w:r/>
            <w:r>
              <w:rPr>
                <w:sz w:val="16"/>
              </w:rPr>
              <w:t>13.76</w:t>
            </w:r>
          </w:p>
        </w:tc>
        <w:tc>
          <w:tcPr>
            <w:tcW w:type="dxa" w:w="964"/>
          </w:tcPr>
          <w:p>
            <w:pPr>
              <w:keepNext/>
              <w:spacing w:after="0"/>
              <w:jc w:val="center"/>
            </w:pPr>
            <w:r/>
            <w:r>
              <w:rPr>
                <w:sz w:val="16"/>
              </w:rPr>
              <w:t>269.91</w:t>
            </w:r>
          </w:p>
        </w:tc>
        <w:tc>
          <w:tcPr>
            <w:tcW w:type="dxa" w:w="1077"/>
          </w:tcPr>
          <w:p>
            <w:pPr>
              <w:keepNext/>
              <w:spacing w:after="0"/>
              <w:jc w:val="center"/>
            </w:pPr>
            <w:r/>
            <w:r>
              <w:rPr>
                <w:sz w:val="16"/>
              </w:rPr>
              <w:t>4.05</w:t>
            </w:r>
          </w:p>
        </w:tc>
        <w:tc>
          <w:tcPr>
            <w:tcW w:type="dxa" w:w="850"/>
          </w:tcPr>
          <w:p>
            <w:pPr>
              <w:keepNext/>
              <w:spacing w:after="0"/>
              <w:jc w:val="center"/>
            </w:pPr>
            <w:r/>
            <w:r>
              <w:rPr>
                <w:sz w:val="16"/>
              </w:rPr>
              <w:t>69.9</w:t>
            </w:r>
          </w:p>
        </w:tc>
        <w:tc>
          <w:tcPr>
            <w:tcW w:type="dxa" w:w="850"/>
          </w:tcPr>
          <w:p>
            <w:pPr>
              <w:keepNext/>
              <w:spacing w:after="0"/>
              <w:jc w:val="center"/>
            </w:pPr>
            <w:r/>
            <w:r>
              <w:rPr>
                <w:sz w:val="16"/>
              </w:rPr>
              <w:t>86.2</w:t>
            </w:r>
          </w:p>
        </w:tc>
        <w:tc>
          <w:tcPr>
            <w:tcW w:type="dxa" w:w="1020"/>
          </w:tcPr>
          <w:p>
            <w:pPr>
              <w:keepNext/>
              <w:spacing w:after="0"/>
              <w:jc w:val="center"/>
            </w:pPr>
            <w:r/>
            <w:r>
              <w:rPr>
                <w:sz w:val="16"/>
              </w:rPr>
              <w:t>1</w:t>
            </w:r>
          </w:p>
        </w:tc>
      </w:tr>
      <w:tr>
        <w:tc>
          <w:tcPr>
            <w:tcW w:type="dxa" w:w="680"/>
            <w:shd w:val="clear" w:color="auto" w:fill="EEF4FC"/>
          </w:tcPr>
          <w:p>
            <w:pPr>
              <w:keepNext/>
              <w:spacing w:after="0"/>
              <w:jc w:val="left"/>
            </w:pPr>
            <w:r/>
            <w:r>
              <w:rPr>
                <w:b/>
                <w:sz w:val="16"/>
              </w:rPr>
              <w:t>2022</w:t>
            </w:r>
          </w:p>
        </w:tc>
        <w:tc>
          <w:tcPr>
            <w:tcW w:type="dxa" w:w="964"/>
            <w:shd w:val="clear" w:color="auto" w:fill="EEF4FC"/>
          </w:tcPr>
          <w:p>
            <w:pPr>
              <w:keepNext/>
              <w:spacing w:after="0"/>
              <w:jc w:val="center"/>
            </w:pPr>
            <w:r/>
            <w:r>
              <w:rPr>
                <w:sz w:val="16"/>
              </w:rPr>
              <w:t>55,740</w:t>
            </w:r>
          </w:p>
        </w:tc>
        <w:tc>
          <w:tcPr>
            <w:tcW w:type="dxa" w:w="680"/>
            <w:shd w:val="clear" w:color="auto" w:fill="EEF4FC"/>
          </w:tcPr>
          <w:p>
            <w:pPr>
              <w:keepNext/>
              <w:spacing w:after="0"/>
              <w:jc w:val="center"/>
            </w:pPr>
            <w:r/>
            <w:r>
              <w:rPr>
                <w:sz w:val="16"/>
              </w:rPr>
              <w:t>9.3</w:t>
            </w:r>
          </w:p>
        </w:tc>
        <w:tc>
          <w:tcPr>
            <w:tcW w:type="dxa" w:w="907"/>
            <w:shd w:val="clear" w:color="auto" w:fill="EEF4FC"/>
          </w:tcPr>
          <w:p>
            <w:pPr>
              <w:keepNext/>
              <w:spacing w:after="0"/>
              <w:jc w:val="center"/>
            </w:pPr>
            <w:r/>
            <w:r>
              <w:rPr>
                <w:sz w:val="16"/>
              </w:rPr>
              <w:t>14,630</w:t>
            </w:r>
          </w:p>
        </w:tc>
        <w:tc>
          <w:tcPr>
            <w:tcW w:type="dxa" w:w="1020"/>
            <w:shd w:val="clear" w:color="auto" w:fill="EEF4FC"/>
          </w:tcPr>
          <w:p>
            <w:pPr>
              <w:keepNext/>
              <w:spacing w:after="0"/>
              <w:jc w:val="center"/>
            </w:pPr>
            <w:r/>
            <w:r>
              <w:rPr>
                <w:sz w:val="16"/>
              </w:rPr>
              <w:t>14.69</w:t>
            </w:r>
          </w:p>
        </w:tc>
        <w:tc>
          <w:tcPr>
            <w:tcW w:type="dxa" w:w="964"/>
            <w:shd w:val="clear" w:color="auto" w:fill="EEF4FC"/>
          </w:tcPr>
          <w:p>
            <w:pPr>
              <w:keepNext/>
              <w:spacing w:after="0"/>
              <w:jc w:val="center"/>
            </w:pPr>
            <w:r/>
            <w:r>
              <w:rPr>
                <w:sz w:val="16"/>
              </w:rPr>
              <w:t>263.55</w:t>
            </w:r>
          </w:p>
        </w:tc>
        <w:tc>
          <w:tcPr>
            <w:tcW w:type="dxa" w:w="1077"/>
            <w:shd w:val="clear" w:color="auto" w:fill="EEF4FC"/>
          </w:tcPr>
          <w:p>
            <w:pPr>
              <w:keepNext/>
              <w:spacing w:after="0"/>
              <w:jc w:val="center"/>
            </w:pPr>
            <w:r/>
            <w:r>
              <w:rPr>
                <w:sz w:val="16"/>
              </w:rPr>
              <w:t>3.81</w:t>
            </w:r>
          </w:p>
        </w:tc>
        <w:tc>
          <w:tcPr>
            <w:tcW w:type="dxa" w:w="850"/>
            <w:shd w:val="clear" w:color="auto" w:fill="EEF4FC"/>
          </w:tcPr>
          <w:p>
            <w:pPr>
              <w:keepNext/>
              <w:spacing w:after="0"/>
              <w:jc w:val="center"/>
            </w:pPr>
            <w:r/>
            <w:r>
              <w:rPr>
                <w:sz w:val="16"/>
              </w:rPr>
              <w:t>74.5</w:t>
            </w:r>
          </w:p>
        </w:tc>
        <w:tc>
          <w:tcPr>
            <w:tcW w:type="dxa" w:w="850"/>
            <w:shd w:val="clear" w:color="auto" w:fill="EEF4FC"/>
          </w:tcPr>
          <w:p>
            <w:pPr>
              <w:keepNext/>
              <w:spacing w:after="0"/>
              <w:jc w:val="center"/>
            </w:pPr>
            <w:r/>
            <w:r>
              <w:rPr>
                <w:sz w:val="16"/>
              </w:rPr>
              <w:t>90.1</w:t>
            </w:r>
          </w:p>
        </w:tc>
        <w:tc>
          <w:tcPr>
            <w:tcW w:type="dxa" w:w="1020"/>
            <w:shd w:val="clear" w:color="auto" w:fill="EEF4FC"/>
          </w:tcPr>
          <w:p>
            <w:pPr>
              <w:keepNext/>
              <w:spacing w:after="0"/>
              <w:jc w:val="center"/>
            </w:pPr>
            <w:r/>
            <w:r>
              <w:rPr>
                <w:sz w:val="16"/>
              </w:rPr>
              <w:t>2</w:t>
            </w:r>
          </w:p>
        </w:tc>
      </w:tr>
      <w:tr>
        <w:tc>
          <w:tcPr>
            <w:tcW w:type="dxa" w:w="680"/>
          </w:tcPr>
          <w:p>
            <w:pPr>
              <w:keepNext/>
              <w:spacing w:after="0"/>
              <w:jc w:val="left"/>
            </w:pPr>
            <w:r/>
            <w:r>
              <w:rPr>
                <w:b/>
                <w:sz w:val="16"/>
              </w:rPr>
              <w:t>2023</w:t>
            </w:r>
          </w:p>
        </w:tc>
        <w:tc>
          <w:tcPr>
            <w:tcW w:type="dxa" w:w="964"/>
          </w:tcPr>
          <w:p>
            <w:pPr>
              <w:keepNext/>
              <w:spacing w:after="0"/>
              <w:jc w:val="center"/>
            </w:pPr>
            <w:r/>
            <w:r>
              <w:rPr>
                <w:sz w:val="16"/>
              </w:rPr>
              <w:t>58,960</w:t>
            </w:r>
          </w:p>
        </w:tc>
        <w:tc>
          <w:tcPr>
            <w:tcW w:type="dxa" w:w="680"/>
          </w:tcPr>
          <w:p>
            <w:pPr>
              <w:keepNext/>
              <w:spacing w:after="0"/>
              <w:jc w:val="center"/>
            </w:pPr>
            <w:r/>
            <w:r>
              <w:rPr>
                <w:sz w:val="16"/>
              </w:rPr>
              <w:t>5.8</w:t>
            </w:r>
          </w:p>
        </w:tc>
        <w:tc>
          <w:tcPr>
            <w:tcW w:type="dxa" w:w="907"/>
          </w:tcPr>
          <w:p>
            <w:pPr>
              <w:keepNext/>
              <w:spacing w:after="0"/>
              <w:jc w:val="center"/>
            </w:pPr>
            <w:r/>
            <w:r>
              <w:rPr>
                <w:sz w:val="16"/>
              </w:rPr>
              <w:t>15,820</w:t>
            </w:r>
          </w:p>
        </w:tc>
        <w:tc>
          <w:tcPr>
            <w:tcW w:type="dxa" w:w="1020"/>
          </w:tcPr>
          <w:p>
            <w:pPr>
              <w:keepNext/>
              <w:spacing w:after="0"/>
              <w:jc w:val="center"/>
            </w:pPr>
            <w:r/>
            <w:r>
              <w:rPr>
                <w:sz w:val="16"/>
              </w:rPr>
              <w:t>15.39</w:t>
            </w:r>
          </w:p>
        </w:tc>
        <w:tc>
          <w:tcPr>
            <w:tcW w:type="dxa" w:w="964"/>
          </w:tcPr>
          <w:p>
            <w:pPr>
              <w:keepNext/>
              <w:spacing w:after="0"/>
              <w:jc w:val="center"/>
            </w:pPr>
            <w:r/>
            <w:r>
              <w:rPr>
                <w:sz w:val="16"/>
              </w:rPr>
              <w:t>261.02</w:t>
            </w:r>
          </w:p>
        </w:tc>
        <w:tc>
          <w:tcPr>
            <w:tcW w:type="dxa" w:w="1077"/>
          </w:tcPr>
          <w:p>
            <w:pPr>
              <w:keepNext/>
              <w:spacing w:after="0"/>
              <w:jc w:val="center"/>
            </w:pPr>
            <w:r/>
            <w:r>
              <w:rPr>
                <w:sz w:val="16"/>
              </w:rPr>
              <w:t>3.73</w:t>
            </w:r>
          </w:p>
        </w:tc>
        <w:tc>
          <w:tcPr>
            <w:tcW w:type="dxa" w:w="850"/>
          </w:tcPr>
          <w:p>
            <w:pPr>
              <w:keepNext/>
              <w:spacing w:after="0"/>
              <w:jc w:val="center"/>
            </w:pPr>
            <w:r/>
            <w:r>
              <w:rPr>
                <w:sz w:val="16"/>
              </w:rPr>
              <w:t>78.0</w:t>
            </w:r>
          </w:p>
        </w:tc>
        <w:tc>
          <w:tcPr>
            <w:tcW w:type="dxa" w:w="850"/>
          </w:tcPr>
          <w:p>
            <w:pPr>
              <w:keepNext/>
              <w:spacing w:after="0"/>
              <w:jc w:val="center"/>
            </w:pPr>
            <w:r/>
            <w:r>
              <w:rPr>
                <w:sz w:val="16"/>
              </w:rPr>
              <w:t>94.0</w:t>
            </w:r>
          </w:p>
        </w:tc>
        <w:tc>
          <w:tcPr>
            <w:tcW w:type="dxa" w:w="1020"/>
          </w:tcPr>
          <w:p>
            <w:pPr>
              <w:keepNext/>
              <w:spacing w:after="0"/>
              <w:jc w:val="center"/>
            </w:pPr>
            <w:r/>
            <w:r>
              <w:rPr>
                <w:sz w:val="16"/>
              </w:rPr>
              <w:t>4</w:t>
            </w:r>
          </w:p>
        </w:tc>
      </w:tr>
      <w:tr>
        <w:tc>
          <w:tcPr>
            <w:tcW w:type="dxa" w:w="680"/>
            <w:shd w:val="clear" w:color="auto" w:fill="EEF4FC"/>
          </w:tcPr>
          <w:p>
            <w:pPr>
              <w:keepNext w:val="0"/>
              <w:spacing w:after="0"/>
              <w:jc w:val="left"/>
            </w:pPr>
            <w:r/>
            <w:r>
              <w:rPr>
                <w:b/>
                <w:sz w:val="16"/>
              </w:rPr>
              <w:t>2024</w:t>
            </w:r>
          </w:p>
        </w:tc>
        <w:tc>
          <w:tcPr>
            <w:tcW w:type="dxa" w:w="964"/>
            <w:shd w:val="clear" w:color="auto" w:fill="EEF4FC"/>
          </w:tcPr>
          <w:p>
            <w:pPr>
              <w:keepNext w:val="0"/>
              <w:spacing w:after="0"/>
              <w:jc w:val="center"/>
            </w:pPr>
            <w:r/>
            <w:r>
              <w:rPr>
                <w:sz w:val="16"/>
              </w:rPr>
              <w:t>62,080</w:t>
            </w:r>
          </w:p>
        </w:tc>
        <w:tc>
          <w:tcPr>
            <w:tcW w:type="dxa" w:w="680"/>
            <w:shd w:val="clear" w:color="auto" w:fill="EEF4FC"/>
          </w:tcPr>
          <w:p>
            <w:pPr>
              <w:keepNext w:val="0"/>
              <w:spacing w:after="0"/>
              <w:jc w:val="center"/>
            </w:pPr>
            <w:r/>
            <w:r>
              <w:rPr>
                <w:sz w:val="16"/>
              </w:rPr>
              <w:t>5.3</w:t>
            </w:r>
          </w:p>
        </w:tc>
        <w:tc>
          <w:tcPr>
            <w:tcW w:type="dxa" w:w="907"/>
            <w:shd w:val="clear" w:color="auto" w:fill="EEF4FC"/>
          </w:tcPr>
          <w:p>
            <w:pPr>
              <w:keepNext w:val="0"/>
              <w:spacing w:after="0"/>
              <w:jc w:val="center"/>
            </w:pPr>
            <w:r/>
            <w:r>
              <w:rPr>
                <w:sz w:val="16"/>
              </w:rPr>
              <w:t>17,110</w:t>
            </w:r>
          </w:p>
        </w:tc>
        <w:tc>
          <w:tcPr>
            <w:tcW w:type="dxa" w:w="1020"/>
            <w:shd w:val="clear" w:color="auto" w:fill="EEF4FC"/>
          </w:tcPr>
          <w:p>
            <w:pPr>
              <w:keepNext w:val="0"/>
              <w:spacing w:after="0"/>
              <w:jc w:val="center"/>
            </w:pPr>
            <w:r/>
            <w:r>
              <w:rPr>
                <w:sz w:val="16"/>
              </w:rPr>
              <w:t>16.12</w:t>
            </w:r>
          </w:p>
        </w:tc>
        <w:tc>
          <w:tcPr>
            <w:tcW w:type="dxa" w:w="964"/>
            <w:shd w:val="clear" w:color="auto" w:fill="EEF4FC"/>
          </w:tcPr>
          <w:p>
            <w:pPr>
              <w:keepNext w:val="0"/>
              <w:spacing w:after="0"/>
              <w:jc w:val="center"/>
            </w:pPr>
            <w:r/>
            <w:r>
              <w:rPr>
                <w:sz w:val="16"/>
              </w:rPr>
              <w:t>259.66</w:t>
            </w:r>
          </w:p>
        </w:tc>
        <w:tc>
          <w:tcPr>
            <w:tcW w:type="dxa" w:w="1077"/>
            <w:shd w:val="clear" w:color="auto" w:fill="EEF4FC"/>
          </w:tcPr>
          <w:p>
            <w:pPr>
              <w:keepNext w:val="0"/>
              <w:spacing w:after="0"/>
              <w:jc w:val="center"/>
            </w:pPr>
            <w:r/>
            <w:r>
              <w:rPr>
                <w:sz w:val="16"/>
              </w:rPr>
              <w:t>3.63</w:t>
            </w:r>
          </w:p>
        </w:tc>
        <w:tc>
          <w:tcPr>
            <w:tcW w:type="dxa" w:w="850"/>
            <w:shd w:val="clear" w:color="auto" w:fill="EEF4FC"/>
          </w:tcPr>
          <w:p>
            <w:pPr>
              <w:keepNext w:val="0"/>
              <w:spacing w:after="0"/>
              <w:jc w:val="center"/>
            </w:pPr>
            <w:r/>
            <w:r>
              <w:rPr>
                <w:sz w:val="16"/>
              </w:rPr>
              <w:t>81.2</w:t>
            </w:r>
          </w:p>
        </w:tc>
        <w:tc>
          <w:tcPr>
            <w:tcW w:type="dxa" w:w="850"/>
            <w:shd w:val="clear" w:color="auto" w:fill="EEF4FC"/>
          </w:tcPr>
          <w:p>
            <w:pPr>
              <w:keepNext w:val="0"/>
              <w:spacing w:after="0"/>
              <w:jc w:val="center"/>
            </w:pPr>
            <w:r/>
            <w:r>
              <w:rPr>
                <w:sz w:val="16"/>
              </w:rPr>
              <w:t>97.9</w:t>
            </w:r>
          </w:p>
        </w:tc>
        <w:tc>
          <w:tcPr>
            <w:tcW w:type="dxa" w:w="1020"/>
            <w:shd w:val="clear" w:color="auto" w:fill="EEF4FC"/>
          </w:tcPr>
          <w:p>
            <w:pPr>
              <w:keepNext w:val="0"/>
              <w:spacing w:after="0"/>
              <w:jc w:val="center"/>
            </w:pPr>
            <w:r/>
            <w:r>
              <w:rPr>
                <w:sz w:val="16"/>
              </w:rPr>
              <w:t>4</w:t>
            </w:r>
          </w:p>
        </w:tc>
      </w:tr>
    </w:tbl>
    <w:p>
      <w:pPr>
        <w:spacing w:after="40"/>
      </w:pPr>
    </w:p>
    <w:p>
      <w:pPr>
        <w:keepNext/>
        <w:spacing w:after="40"/>
      </w:pPr>
      <w:r>
        <w:rPr>
          <w:b/>
          <w:color w:val="0D366B"/>
          <w:sz w:val="18"/>
        </w:rPr>
        <w:t>Table 3. Pivot: share of annual ER visits by quarter (% of column total) and mean ICU % by season</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835"/>
            <w:shd w:val="clear" w:color="auto" w:fill="1C5CAB"/>
          </w:tcPr>
          <w:p>
            <w:pPr>
              <w:keepNext/>
              <w:spacing w:after="0"/>
              <w:jc w:val="left"/>
            </w:pPr>
            <w:r/>
            <w:r>
              <w:rPr>
                <w:b/>
                <w:color w:val="FFFFFF"/>
                <w:sz w:val="17"/>
              </w:rPr>
              <w:t>Dimension</w:t>
            </w:r>
          </w:p>
        </w:tc>
        <w:tc>
          <w:tcPr>
            <w:tcW w:type="dxa" w:w="1304"/>
            <w:shd w:val="clear" w:color="auto" w:fill="1C5CAB"/>
          </w:tcPr>
          <w:p>
            <w:pPr>
              <w:keepNext/>
              <w:spacing w:after="0"/>
              <w:jc w:val="center"/>
            </w:pPr>
            <w:r/>
            <w:r>
              <w:rPr>
                <w:b/>
                <w:color w:val="FFFFFF"/>
                <w:sz w:val="17"/>
              </w:rPr>
              <w:t>2021</w:t>
            </w:r>
          </w:p>
        </w:tc>
        <w:tc>
          <w:tcPr>
            <w:tcW w:type="dxa" w:w="1304"/>
            <w:shd w:val="clear" w:color="auto" w:fill="1C5CAB"/>
          </w:tcPr>
          <w:p>
            <w:pPr>
              <w:keepNext/>
              <w:spacing w:after="0"/>
              <w:jc w:val="center"/>
            </w:pPr>
            <w:r/>
            <w:r>
              <w:rPr>
                <w:b/>
                <w:color w:val="FFFFFF"/>
                <w:sz w:val="17"/>
              </w:rPr>
              <w:t>2022</w:t>
            </w:r>
          </w:p>
        </w:tc>
        <w:tc>
          <w:tcPr>
            <w:tcW w:type="dxa" w:w="1304"/>
            <w:shd w:val="clear" w:color="auto" w:fill="1C5CAB"/>
          </w:tcPr>
          <w:p>
            <w:pPr>
              <w:keepNext/>
              <w:spacing w:after="0"/>
              <w:jc w:val="center"/>
            </w:pPr>
            <w:r/>
            <w:r>
              <w:rPr>
                <w:b/>
                <w:color w:val="FFFFFF"/>
                <w:sz w:val="17"/>
              </w:rPr>
              <w:t>2023</w:t>
            </w:r>
          </w:p>
        </w:tc>
        <w:tc>
          <w:tcPr>
            <w:tcW w:type="dxa" w:w="1304"/>
            <w:shd w:val="clear" w:color="auto" w:fill="1C5CAB"/>
          </w:tcPr>
          <w:p>
            <w:pPr>
              <w:keepNext/>
              <w:spacing w:after="0"/>
              <w:jc w:val="center"/>
            </w:pPr>
            <w:r/>
            <w:r>
              <w:rPr>
                <w:b/>
                <w:color w:val="FFFFFF"/>
                <w:sz w:val="17"/>
              </w:rPr>
              <w:t>2024</w:t>
            </w:r>
          </w:p>
        </w:tc>
      </w:tr>
      <w:tr>
        <w:tc>
          <w:tcPr>
            <w:tcW w:type="dxa" w:w="2835"/>
          </w:tcPr>
          <w:p>
            <w:pPr>
              <w:keepNext/>
              <w:spacing w:after="0"/>
              <w:jc w:val="left"/>
            </w:pPr>
            <w:r/>
            <w:r>
              <w:rPr>
                <w:b/>
                <w:sz w:val="17"/>
              </w:rPr>
              <w:t>Q1 share of visits</w:t>
            </w:r>
          </w:p>
        </w:tc>
        <w:tc>
          <w:tcPr>
            <w:tcW w:type="dxa" w:w="1304"/>
          </w:tcPr>
          <w:p>
            <w:pPr>
              <w:keepNext/>
              <w:spacing w:after="0"/>
              <w:jc w:val="center"/>
            </w:pPr>
            <w:r/>
            <w:r>
              <w:rPr>
                <w:sz w:val="17"/>
              </w:rPr>
              <w:t>26.5%</w:t>
            </w:r>
          </w:p>
        </w:tc>
        <w:tc>
          <w:tcPr>
            <w:tcW w:type="dxa" w:w="1304"/>
          </w:tcPr>
          <w:p>
            <w:pPr>
              <w:keepNext/>
              <w:spacing w:after="0"/>
              <w:jc w:val="center"/>
            </w:pPr>
            <w:r/>
            <w:r>
              <w:rPr>
                <w:sz w:val="17"/>
              </w:rPr>
              <w:t>27.6%</w:t>
            </w:r>
          </w:p>
        </w:tc>
        <w:tc>
          <w:tcPr>
            <w:tcW w:type="dxa" w:w="1304"/>
          </w:tcPr>
          <w:p>
            <w:pPr>
              <w:keepNext/>
              <w:spacing w:after="0"/>
              <w:jc w:val="center"/>
            </w:pPr>
            <w:r/>
            <w:r>
              <w:rPr>
                <w:sz w:val="17"/>
              </w:rPr>
              <w:t>27.7%</w:t>
            </w:r>
          </w:p>
        </w:tc>
        <w:tc>
          <w:tcPr>
            <w:tcW w:type="dxa" w:w="1304"/>
          </w:tcPr>
          <w:p>
            <w:pPr>
              <w:keepNext/>
              <w:spacing w:after="0"/>
              <w:jc w:val="center"/>
            </w:pPr>
            <w:r/>
            <w:r>
              <w:rPr>
                <w:sz w:val="17"/>
              </w:rPr>
              <w:t>27.8%</w:t>
            </w:r>
          </w:p>
        </w:tc>
      </w:tr>
      <w:tr>
        <w:tc>
          <w:tcPr>
            <w:tcW w:type="dxa" w:w="2835"/>
            <w:shd w:val="clear" w:color="auto" w:fill="EEF4FC"/>
          </w:tcPr>
          <w:p>
            <w:pPr>
              <w:keepNext/>
              <w:spacing w:after="0"/>
              <w:jc w:val="left"/>
            </w:pPr>
            <w:r/>
            <w:r>
              <w:rPr>
                <w:b/>
                <w:sz w:val="17"/>
              </w:rPr>
              <w:t>Q2 share of visits</w:t>
            </w:r>
          </w:p>
        </w:tc>
        <w:tc>
          <w:tcPr>
            <w:tcW w:type="dxa" w:w="1304"/>
            <w:shd w:val="clear" w:color="auto" w:fill="EEF4FC"/>
          </w:tcPr>
          <w:p>
            <w:pPr>
              <w:keepNext/>
              <w:spacing w:after="0"/>
              <w:jc w:val="center"/>
            </w:pPr>
            <w:r/>
            <w:r>
              <w:rPr>
                <w:sz w:val="17"/>
              </w:rPr>
              <w:t>22.0%</w:t>
            </w:r>
          </w:p>
        </w:tc>
        <w:tc>
          <w:tcPr>
            <w:tcW w:type="dxa" w:w="1304"/>
            <w:shd w:val="clear" w:color="auto" w:fill="EEF4FC"/>
          </w:tcPr>
          <w:p>
            <w:pPr>
              <w:keepNext/>
              <w:spacing w:after="0"/>
              <w:jc w:val="center"/>
            </w:pPr>
            <w:r/>
            <w:r>
              <w:rPr>
                <w:sz w:val="17"/>
              </w:rPr>
              <w:t>21.7%</w:t>
            </w:r>
          </w:p>
        </w:tc>
        <w:tc>
          <w:tcPr>
            <w:tcW w:type="dxa" w:w="1304"/>
            <w:shd w:val="clear" w:color="auto" w:fill="EEF4FC"/>
          </w:tcPr>
          <w:p>
            <w:pPr>
              <w:keepNext/>
              <w:spacing w:after="0"/>
              <w:jc w:val="center"/>
            </w:pPr>
            <w:r/>
            <w:r>
              <w:rPr>
                <w:sz w:val="17"/>
              </w:rPr>
              <w:t>21.7%</w:t>
            </w:r>
          </w:p>
        </w:tc>
        <w:tc>
          <w:tcPr>
            <w:tcW w:type="dxa" w:w="1304"/>
            <w:shd w:val="clear" w:color="auto" w:fill="EEF4FC"/>
          </w:tcPr>
          <w:p>
            <w:pPr>
              <w:keepNext/>
              <w:spacing w:after="0"/>
              <w:jc w:val="center"/>
            </w:pPr>
            <w:r/>
            <w:r>
              <w:rPr>
                <w:sz w:val="17"/>
              </w:rPr>
              <w:t>21.6%</w:t>
            </w:r>
          </w:p>
        </w:tc>
      </w:tr>
      <w:tr>
        <w:tc>
          <w:tcPr>
            <w:tcW w:type="dxa" w:w="2835"/>
          </w:tcPr>
          <w:p>
            <w:pPr>
              <w:keepNext/>
              <w:spacing w:after="0"/>
              <w:jc w:val="left"/>
            </w:pPr>
            <w:r/>
            <w:r>
              <w:rPr>
                <w:b/>
                <w:sz w:val="17"/>
              </w:rPr>
              <w:t>Q3 share of visits</w:t>
            </w:r>
          </w:p>
        </w:tc>
        <w:tc>
          <w:tcPr>
            <w:tcW w:type="dxa" w:w="1304"/>
          </w:tcPr>
          <w:p>
            <w:pPr>
              <w:keepNext/>
              <w:spacing w:after="0"/>
              <w:jc w:val="center"/>
            </w:pPr>
            <w:r/>
            <w:r>
              <w:rPr>
                <w:sz w:val="17"/>
              </w:rPr>
              <w:t>22.6%</w:t>
            </w:r>
          </w:p>
        </w:tc>
        <w:tc>
          <w:tcPr>
            <w:tcW w:type="dxa" w:w="1304"/>
          </w:tcPr>
          <w:p>
            <w:pPr>
              <w:keepNext/>
              <w:spacing w:after="0"/>
              <w:jc w:val="center"/>
            </w:pPr>
            <w:r/>
            <w:r>
              <w:rPr>
                <w:sz w:val="17"/>
              </w:rPr>
              <w:t>22.3%</w:t>
            </w:r>
          </w:p>
        </w:tc>
        <w:tc>
          <w:tcPr>
            <w:tcW w:type="dxa" w:w="1304"/>
          </w:tcPr>
          <w:p>
            <w:pPr>
              <w:keepNext/>
              <w:spacing w:after="0"/>
              <w:jc w:val="center"/>
            </w:pPr>
            <w:r/>
            <w:r>
              <w:rPr>
                <w:sz w:val="17"/>
              </w:rPr>
              <w:t>22.3%</w:t>
            </w:r>
          </w:p>
        </w:tc>
        <w:tc>
          <w:tcPr>
            <w:tcW w:type="dxa" w:w="1304"/>
          </w:tcPr>
          <w:p>
            <w:pPr>
              <w:keepNext/>
              <w:spacing w:after="0"/>
              <w:jc w:val="center"/>
            </w:pPr>
            <w:r/>
            <w:r>
              <w:rPr>
                <w:sz w:val="17"/>
              </w:rPr>
              <w:t>22.3%</w:t>
            </w:r>
          </w:p>
        </w:tc>
      </w:tr>
      <w:tr>
        <w:tc>
          <w:tcPr>
            <w:tcW w:type="dxa" w:w="2835"/>
            <w:shd w:val="clear" w:color="auto" w:fill="EEF4FC"/>
          </w:tcPr>
          <w:p>
            <w:pPr>
              <w:keepNext/>
              <w:spacing w:after="0"/>
              <w:jc w:val="left"/>
            </w:pPr>
            <w:r/>
            <w:r>
              <w:rPr>
                <w:b/>
                <w:sz w:val="17"/>
              </w:rPr>
              <w:t>Q4 share of visits</w:t>
            </w:r>
          </w:p>
        </w:tc>
        <w:tc>
          <w:tcPr>
            <w:tcW w:type="dxa" w:w="1304"/>
            <w:shd w:val="clear" w:color="auto" w:fill="EEF4FC"/>
          </w:tcPr>
          <w:p>
            <w:pPr>
              <w:keepNext/>
              <w:spacing w:after="0"/>
              <w:jc w:val="center"/>
            </w:pPr>
            <w:r/>
            <w:r>
              <w:rPr>
                <w:sz w:val="17"/>
              </w:rPr>
              <w:t>28.9%</w:t>
            </w:r>
          </w:p>
        </w:tc>
        <w:tc>
          <w:tcPr>
            <w:tcW w:type="dxa" w:w="1304"/>
            <w:shd w:val="clear" w:color="auto" w:fill="EEF4FC"/>
          </w:tcPr>
          <w:p>
            <w:pPr>
              <w:keepNext/>
              <w:spacing w:after="0"/>
              <w:jc w:val="center"/>
            </w:pPr>
            <w:r/>
            <w:r>
              <w:rPr>
                <w:sz w:val="17"/>
              </w:rPr>
              <w:t>28.3%</w:t>
            </w:r>
          </w:p>
        </w:tc>
        <w:tc>
          <w:tcPr>
            <w:tcW w:type="dxa" w:w="1304"/>
            <w:shd w:val="clear" w:color="auto" w:fill="EEF4FC"/>
          </w:tcPr>
          <w:p>
            <w:pPr>
              <w:keepNext/>
              <w:spacing w:after="0"/>
              <w:jc w:val="center"/>
            </w:pPr>
            <w:r/>
            <w:r>
              <w:rPr>
                <w:sz w:val="17"/>
              </w:rPr>
              <w:t>28.3%</w:t>
            </w:r>
          </w:p>
        </w:tc>
        <w:tc>
          <w:tcPr>
            <w:tcW w:type="dxa" w:w="1304"/>
            <w:shd w:val="clear" w:color="auto" w:fill="EEF4FC"/>
          </w:tcPr>
          <w:p>
            <w:pPr>
              <w:keepNext/>
              <w:spacing w:after="0"/>
              <w:jc w:val="center"/>
            </w:pPr>
            <w:r/>
            <w:r>
              <w:rPr>
                <w:sz w:val="17"/>
              </w:rPr>
              <w:t>28.3%</w:t>
            </w:r>
          </w:p>
        </w:tc>
      </w:tr>
      <w:tr>
        <w:tc>
          <w:tcPr>
            <w:tcW w:type="dxa" w:w="2835"/>
          </w:tcPr>
          <w:p>
            <w:pPr>
              <w:keepNext/>
              <w:spacing w:after="0"/>
              <w:jc w:val="left"/>
            </w:pPr>
            <w:r/>
            <w:r>
              <w:rPr>
                <w:b/>
                <w:sz w:val="17"/>
              </w:rPr>
              <w:t>Winter mean ICU %</w:t>
            </w:r>
          </w:p>
        </w:tc>
        <w:tc>
          <w:tcPr>
            <w:tcW w:type="dxa" w:w="1304"/>
          </w:tcPr>
          <w:p>
            <w:pPr>
              <w:keepNext/>
              <w:spacing w:after="0"/>
              <w:jc w:val="center"/>
            </w:pPr>
            <w:r/>
            <w:r>
              <w:rPr>
                <w:sz w:val="17"/>
              </w:rPr>
              <w:t>79.6</w:t>
            </w:r>
          </w:p>
        </w:tc>
        <w:tc>
          <w:tcPr>
            <w:tcW w:type="dxa" w:w="1304"/>
          </w:tcPr>
          <w:p>
            <w:pPr>
              <w:keepNext/>
              <w:spacing w:after="0"/>
              <w:jc w:val="center"/>
            </w:pPr>
            <w:r/>
            <w:r>
              <w:rPr>
                <w:sz w:val="17"/>
              </w:rPr>
              <w:t>87.2</w:t>
            </w:r>
          </w:p>
        </w:tc>
        <w:tc>
          <w:tcPr>
            <w:tcW w:type="dxa" w:w="1304"/>
          </w:tcPr>
          <w:p>
            <w:pPr>
              <w:keepNext/>
              <w:spacing w:after="0"/>
              <w:jc w:val="center"/>
            </w:pPr>
            <w:r/>
            <w:r>
              <w:rPr>
                <w:sz w:val="17"/>
              </w:rPr>
              <w:t>91.3</w:t>
            </w:r>
          </w:p>
        </w:tc>
        <w:tc>
          <w:tcPr>
            <w:tcW w:type="dxa" w:w="1304"/>
          </w:tcPr>
          <w:p>
            <w:pPr>
              <w:keepNext/>
              <w:spacing w:after="0"/>
              <w:jc w:val="center"/>
            </w:pPr>
            <w:r/>
            <w:r>
              <w:rPr>
                <w:sz w:val="17"/>
              </w:rPr>
              <w:t>95.2</w:t>
            </w:r>
          </w:p>
        </w:tc>
      </w:tr>
      <w:tr>
        <w:tc>
          <w:tcPr>
            <w:tcW w:type="dxa" w:w="2835"/>
            <w:shd w:val="clear" w:color="auto" w:fill="EEF4FC"/>
          </w:tcPr>
          <w:p>
            <w:pPr>
              <w:keepNext w:val="0"/>
              <w:spacing w:after="0"/>
              <w:jc w:val="left"/>
            </w:pPr>
            <w:r/>
            <w:r>
              <w:rPr>
                <w:b/>
                <w:sz w:val="17"/>
              </w:rPr>
              <w:t>Summer mean ICU %</w:t>
            </w:r>
          </w:p>
        </w:tc>
        <w:tc>
          <w:tcPr>
            <w:tcW w:type="dxa" w:w="1304"/>
            <w:shd w:val="clear" w:color="auto" w:fill="EEF4FC"/>
          </w:tcPr>
          <w:p>
            <w:pPr>
              <w:keepNext w:val="0"/>
              <w:spacing w:after="0"/>
              <w:jc w:val="center"/>
            </w:pPr>
            <w:r/>
            <w:r>
              <w:rPr>
                <w:sz w:val="17"/>
              </w:rPr>
              <w:t>61.1</w:t>
            </w:r>
          </w:p>
        </w:tc>
        <w:tc>
          <w:tcPr>
            <w:tcW w:type="dxa" w:w="1304"/>
            <w:shd w:val="clear" w:color="auto" w:fill="EEF4FC"/>
          </w:tcPr>
          <w:p>
            <w:pPr>
              <w:keepNext w:val="0"/>
              <w:spacing w:after="0"/>
              <w:jc w:val="center"/>
            </w:pPr>
            <w:r/>
            <w:r>
              <w:rPr>
                <w:sz w:val="17"/>
              </w:rPr>
              <w:t>64.1</w:t>
            </w:r>
          </w:p>
        </w:tc>
        <w:tc>
          <w:tcPr>
            <w:tcW w:type="dxa" w:w="1304"/>
            <w:shd w:val="clear" w:color="auto" w:fill="EEF4FC"/>
          </w:tcPr>
          <w:p>
            <w:pPr>
              <w:keepNext w:val="0"/>
              <w:spacing w:after="0"/>
              <w:jc w:val="center"/>
            </w:pPr>
            <w:r/>
            <w:r>
              <w:rPr>
                <w:sz w:val="17"/>
              </w:rPr>
              <w:t>67.1</w:t>
            </w:r>
          </w:p>
        </w:tc>
        <w:tc>
          <w:tcPr>
            <w:tcW w:type="dxa" w:w="1304"/>
            <w:shd w:val="clear" w:color="auto" w:fill="EEF4FC"/>
          </w:tcPr>
          <w:p>
            <w:pPr>
              <w:keepNext w:val="0"/>
              <w:spacing w:after="0"/>
              <w:jc w:val="center"/>
            </w:pPr>
            <w:r/>
            <w:r>
              <w:rPr>
                <w:sz w:val="17"/>
              </w:rPr>
              <w:t>69.9</w:t>
            </w:r>
          </w:p>
        </w:tc>
      </w:tr>
    </w:tbl>
    <w:p>
      <w:pPr>
        <w:spacing w:after="40"/>
      </w:pPr>
    </w:p>
    <w:p>
      <w:r>
        <w:rPr>
          <w:i w:val="0"/>
        </w:rPr>
        <w:t xml:space="preserve">The pivots (Tables 2–3; workbook sheets Pivot_Tables and Pivot_Formulas) give four operational KPIs. First, </w:t>
      </w:r>
      <w:r>
        <w:rPr>
          <w:b/>
          <w:i w:val="0"/>
        </w:rPr>
        <w:t>volume growth is slowing but persistent</w:t>
      </w:r>
      <w:r>
        <w:rPr>
          <w:i w:val="0"/>
        </w:rPr>
        <w:t xml:space="preserve">: ER visits grew 9.3% in 2022, then 5.8% and 5.3%. Second, </w:t>
      </w:r>
      <w:r>
        <w:rPr>
          <w:b/>
          <w:i w:val="0"/>
        </w:rPr>
        <w:t>demand is concentrated in Q1 and Q4</w:t>
      </w:r>
      <w:r>
        <w:rPr>
          <w:i w:val="0"/>
        </w:rPr>
        <w:t xml:space="preserve">, which now carry 56% of annual visits, against 44% in Q2–Q3. Third, </w:t>
      </w:r>
      <w:r>
        <w:rPr>
          <w:b/>
          <w:i w:val="0"/>
        </w:rPr>
        <w:t>winter ICU pressure is rising faster than demand</w:t>
      </w:r>
      <w:r>
        <w:rPr>
          <w:i w:val="0"/>
        </w:rPr>
        <w:t xml:space="preserve">. Winter mean ICU utilisation rose 15.6 percentage points (79.6% to 95.2%), while summer rose only 8.8 points, so the surge is eroding the safety margin precisely when it is most needed. Fourth, </w:t>
      </w:r>
      <w:r>
        <w:rPr>
          <w:b/>
          <w:i w:val="0"/>
        </w:rPr>
        <w:t>unit cost is falling</w:t>
      </w:r>
      <w:r>
        <w:rPr>
          <w:i w:val="0"/>
        </w:rPr>
        <w:t>. Expenditure per ER visit fell 3.8%, from $269.91 to $259.66, which shows economies of scale. ER visits per respiratory case also fell 10%, from 4.05 to 3.63, which is consistent with rising vaccination reducing the severity of each infection.</w:t>
      </w:r>
    </w:p>
    <w:p>
      <w:pPr>
        <w:pStyle w:val="Heading2"/>
      </w:pPr>
      <w:r>
        <w:t>1.4 Correlation structure</w:t>
      </w:r>
    </w:p>
    <w:p>
      <w:pPr>
        <w:jc w:val="center"/>
      </w:pPr>
      <w:r>
        <w:drawing>
          <wp:inline xmlns:a="http://schemas.openxmlformats.org/drawingml/2006/main" xmlns:pic="http://schemas.openxmlformats.org/drawingml/2006/picture">
            <wp:extent cx="4140000" cy="3397081"/>
            <wp:docPr id="2" name="Picture 2"/>
            <wp:cNvGraphicFramePr>
              <a:graphicFrameLocks noChangeAspect="1"/>
            </wp:cNvGraphicFramePr>
            <a:graphic>
              <a:graphicData uri="http://schemas.openxmlformats.org/drawingml/2006/picture">
                <pic:pic>
                  <pic:nvPicPr>
                    <pic:cNvPr id="0" name="fig03_correlation_heatmap.png"/>
                    <pic:cNvPicPr/>
                  </pic:nvPicPr>
                  <pic:blipFill>
                    <a:blip r:embed="rId10"/>
                    <a:stretch>
                      <a:fillRect/>
                    </a:stretch>
                  </pic:blipFill>
                  <pic:spPr>
                    <a:xfrm>
                      <a:off x="0" y="0"/>
                      <a:ext cx="4140000" cy="3397081"/>
                    </a:xfrm>
                    <a:prstGeom prst="rect"/>
                  </pic:spPr>
                </pic:pic>
              </a:graphicData>
            </a:graphic>
          </wp:inline>
        </w:drawing>
      </w:r>
    </w:p>
    <w:p>
      <w:pPr>
        <w:jc w:val="center"/>
      </w:pPr>
      <w:r>
        <w:rPr>
          <w:i/>
          <w:color w:val="52514E"/>
          <w:sz w:val="17"/>
        </w:rPr>
        <w:t>Figure 3. Pearson correlation heat map.</w:t>
      </w:r>
    </w:p>
    <w:p>
      <w:r>
        <w:rPr>
          <w:i w:val="0"/>
        </w:rPr>
        <w:t xml:space="preserve">The heat map (Figure 3) reveals two clusters. The </w:t>
      </w:r>
      <w:r>
        <w:rPr>
          <w:b/>
          <w:i w:val="0"/>
        </w:rPr>
        <w:t>seasonal-demand cluster</w:t>
      </w:r>
      <w:r>
        <w:rPr>
          <w:i w:val="0"/>
        </w:rPr>
        <w:t xml:space="preserve"> (ER visits, ICU utilisation, expenditure and flu cases) is almost perfectly correlated (r = 0.983–0.998). The </w:t>
      </w:r>
      <w:r>
        <w:rPr>
          <w:b/>
          <w:i w:val="0"/>
        </w:rPr>
        <w:t>structural-trend cluster</w:t>
      </w:r>
      <w:r>
        <w:rPr>
          <w:i w:val="0"/>
        </w:rPr>
        <w:t xml:space="preserve"> (population density and vaccination coverage, r = 0.973) consists of two variables that rise steadily over time. Correlations between the clusters are moderate (0.30–0.50) but still significant at α = 0.05. Two implications follow. ICU utilisation and expenditure are *consequences* of patient volume, so using them to "predict" ER visits would be circular; they are excluded as predictors in Section 2. And population density and vaccination coverage are likely to be collinear in any joint model.</w:t>
      </w:r>
    </w:p>
    <w:p>
      <w:pPr>
        <w:pStyle w:val="Heading2"/>
      </w:pPr>
      <w:r>
        <w:t>1.5 Pattern recognition and anomaly detection</w:t>
      </w:r>
    </w:p>
    <w:p>
      <w:pPr>
        <w:jc w:val="center"/>
      </w:pPr>
      <w:r>
        <w:drawing>
          <wp:inline xmlns:a="http://schemas.openxmlformats.org/drawingml/2006/main" xmlns:pic="http://schemas.openxmlformats.org/drawingml/2006/picture">
            <wp:extent cx="5832000" cy="3386582"/>
            <wp:docPr id="3" name="Picture 3"/>
            <wp:cNvGraphicFramePr>
              <a:graphicFrameLocks noChangeAspect="1"/>
            </wp:cNvGraphicFramePr>
            <a:graphic>
              <a:graphicData uri="http://schemas.openxmlformats.org/drawingml/2006/picture">
                <pic:pic>
                  <pic:nvPicPr>
                    <pic:cNvPr id="0" name="fig04_timeseries_anomalies.png"/>
                    <pic:cNvPicPr/>
                  </pic:nvPicPr>
                  <pic:blipFill>
                    <a:blip r:embed="rId11"/>
                    <a:stretch>
                      <a:fillRect/>
                    </a:stretch>
                  </pic:blipFill>
                  <pic:spPr>
                    <a:xfrm>
                      <a:off x="0" y="0"/>
                      <a:ext cx="5832000" cy="3386582"/>
                    </a:xfrm>
                    <a:prstGeom prst="rect"/>
                  </pic:spPr>
                </pic:pic>
              </a:graphicData>
            </a:graphic>
          </wp:inline>
        </w:drawing>
      </w:r>
    </w:p>
    <w:p>
      <w:pPr>
        <w:jc w:val="center"/>
      </w:pPr>
      <w:r>
        <w:rPr>
          <w:i/>
          <w:color w:val="52514E"/>
          <w:sz w:val="17"/>
        </w:rPr>
        <w:t>Figure 4. ER visits with trend and winter peaks (top); ICU utilisation and months above the 85% threshold (bottom).</w:t>
      </w:r>
    </w:p>
    <w:p>
      <w:r>
        <w:rPr>
          <w:i w:val="0"/>
        </w:rPr>
        <w:t>Anomalies were screened in three ways: raw z-scores, the irregular component left after the seasonal decomposition, and operational thresholds. Five patterns stand out.</w:t>
      </w:r>
    </w:p>
    <w:p>
      <w:pPr>
        <w:pStyle w:val="ListBullet"/>
      </w:pPr>
      <w:r>
        <w:rPr>
          <w:i w:val="0"/>
        </w:rPr>
      </w:r>
      <w:r>
        <w:rPr>
          <w:b/>
          <w:i w:val="0"/>
        </w:rPr>
        <w:t>No crisis or supply-chain shocks.</w:t>
      </w:r>
      <w:r>
        <w:rPr>
          <w:i w:val="0"/>
        </w:rPr>
        <w:t xml:space="preserve"> The largest irregular deviation is only 0.55% of the expected level. Two months, July 2021 and April 2022, are statistically flagged (|z| &gt; 2) but differ by only about 20–25 visits, which is operationally immaterial.</w:t>
      </w:r>
    </w:p>
    <w:p>
      <w:pPr>
        <w:pStyle w:val="ListBullet"/>
      </w:pPr>
      <w:r>
        <w:rPr>
          <w:i w:val="0"/>
        </w:rPr>
      </w:r>
      <w:r>
        <w:rPr>
          <w:b/>
          <w:i w:val="0"/>
        </w:rPr>
        <w:t>Capacity-stress anomaly.</w:t>
      </w:r>
      <w:r>
        <w:rPr>
          <w:i w:val="0"/>
        </w:rPr>
        <w:t xml:space="preserve"> ICU utilisation exceeded 85% in 11 months, exceeded 90% in seven, and reached 97.3% (January 2024) and 97.9% (December 2024). The literature associates sustained occupancy above about 85% with bed shortages and access delays (Bagust, Place and Posnett, 1999).</w:t>
      </w:r>
    </w:p>
    <w:p>
      <w:pPr>
        <w:pStyle w:val="ListBullet"/>
      </w:pPr>
      <w:r>
        <w:rPr>
          <w:i w:val="0"/>
        </w:rPr>
      </w:r>
      <w:r>
        <w:rPr>
          <w:b/>
          <w:i w:val="0"/>
        </w:rPr>
        <w:t>Vaccination regime change.</w:t>
      </w:r>
      <w:r>
        <w:rPr>
          <w:i w:val="0"/>
        </w:rPr>
        <w:t xml:space="preserve"> Coverage rose 2.6 percentage points a month in early 2021 (the campaign roll-out), then settled at about 0.45 points a month.</w:t>
      </w:r>
    </w:p>
    <w:p>
      <w:pPr>
        <w:pStyle w:val="ListBullet"/>
      </w:pPr>
      <w:r>
        <w:rPr>
          <w:i w:val="0"/>
        </w:rPr>
      </w:r>
      <w:r>
        <w:rPr>
          <w:b/>
          <w:i w:val="0"/>
        </w:rPr>
        <w:t>Post-pandemic rebound.</w:t>
      </w:r>
      <w:r>
        <w:rPr>
          <w:i w:val="0"/>
        </w:rPr>
        <w:t xml:space="preserve"> In 2022, flu cases rose 16.2% and ER visits 9.3%, about double the later rates. This suggests that 2021 was a suppressed base year.</w:t>
      </w:r>
    </w:p>
    <w:p>
      <w:pPr>
        <w:pStyle w:val="ListBullet"/>
      </w:pPr>
      <w:r>
        <w:rPr>
          <w:i w:val="0"/>
        </w:rPr>
      </w:r>
      <w:r>
        <w:rPr>
          <w:b/>
          <w:i w:val="0"/>
        </w:rPr>
        <w:t>Recurrent summer bump.</w:t>
      </w:r>
      <w:r>
        <w:rPr>
          <w:i w:val="0"/>
        </w:rPr>
        <w:t xml:space="preserve"> July exceeds June every year (+1.1% to +1.6%), a small secondary peak in an otherwise quiet period.</w:t>
      </w:r>
    </w:p>
    <w:p>
      <w:pPr>
        <w:pStyle w:val="Heading1"/>
      </w:pPr>
      <w:r>
        <w:t>Section 2 — Predictive Regression Analysis (Unit 5)</w:t>
      </w:r>
    </w:p>
    <w:p>
      <w:pPr>
        <w:pStyle w:val="Heading2"/>
      </w:pPr>
      <w:r>
        <w:t>2.1 Simple linear regression</w:t>
      </w:r>
    </w:p>
    <w:p>
      <w:r>
        <w:rPr>
          <w:i w:val="0"/>
        </w:rPr>
        <w:t>The target is monthly ER visits, the primary operational volume that drives staffing. Among the exogenous continuous drivers, flu/respiratory cases are the most correlated (r = 0.988). Ordinary least squares gives:</w:t>
      </w:r>
    </w:p>
    <w:p>
      <w:pPr>
        <w:jc w:val="center"/>
      </w:pPr>
      <w:r>
        <w:rPr>
          <w:i w:val="0"/>
        </w:rPr>
      </w:r>
      <w:r>
        <w:rPr>
          <w:b/>
          <w:i w:val="0"/>
        </w:rPr>
        <w:t>ER_Visits = 2,552.71 + 1.7495 × Flu_Resp_Cases</w:t>
      </w:r>
      <w:r>
        <w:rPr>
          <w:i w:val="0"/>
        </w:rPr>
      </w:r>
    </w:p>
    <w:p>
      <w:r>
        <w:rPr>
          <w:i w:val="0"/>
        </w:rPr>
        <w:t>The slope is highly significant (t = 42.66, p &lt; 0.001). R² = 0.9753, Adjusted R² = 0.9748, F = 1,819.5 and the standard error is 117.4 visits. Each additional respiratory case is associated with about 1.75 additional ER visits. The intercept, about 2,553 visits, is the non-respiratory baseline. It is a structural floor of demand that exists even in a flu-free month (Figure 5). However, the Breusch-Pagan test (p = 0.013) and Durbin-Watson statistic (0.19) show heteroscedastic, autocorrelated residuals. The single predictor leaves a systematic, trending component unexplained, and that motivates the multiple model.</w:t>
      </w:r>
    </w:p>
    <w:p>
      <w:pPr>
        <w:jc w:val="center"/>
      </w:pPr>
      <w:r>
        <w:drawing>
          <wp:inline xmlns:a="http://schemas.openxmlformats.org/drawingml/2006/main" xmlns:pic="http://schemas.openxmlformats.org/drawingml/2006/picture">
            <wp:extent cx="4320000" cy="2695705"/>
            <wp:docPr id="4" name="Picture 4"/>
            <wp:cNvGraphicFramePr>
              <a:graphicFrameLocks noChangeAspect="1"/>
            </wp:cNvGraphicFramePr>
            <a:graphic>
              <a:graphicData uri="http://schemas.openxmlformats.org/drawingml/2006/picture">
                <pic:pic>
                  <pic:nvPicPr>
                    <pic:cNvPr id="0" name="fig05_slr.png"/>
                    <pic:cNvPicPr/>
                  </pic:nvPicPr>
                  <pic:blipFill>
                    <a:blip r:embed="rId12"/>
                    <a:stretch>
                      <a:fillRect/>
                    </a:stretch>
                  </pic:blipFill>
                  <pic:spPr>
                    <a:xfrm>
                      <a:off x="0" y="0"/>
                      <a:ext cx="4320000" cy="2695705"/>
                    </a:xfrm>
                    <a:prstGeom prst="rect"/>
                  </pic:spPr>
                </pic:pic>
              </a:graphicData>
            </a:graphic>
          </wp:inline>
        </w:drawing>
      </w:r>
    </w:p>
    <w:p>
      <w:pPr>
        <w:jc w:val="center"/>
      </w:pPr>
      <w:r>
        <w:rPr>
          <w:i/>
          <w:color w:val="52514E"/>
          <w:sz w:val="17"/>
        </w:rPr>
        <w:t>Figure 5. Simple linear regression with 95% prediction interval.</w:t>
      </w:r>
    </w:p>
    <w:p>
      <w:pPr>
        <w:pStyle w:val="Heading2"/>
      </w:pPr>
      <w:r>
        <w:t>2.2 Multiple linear regression</w:t>
      </w:r>
    </w:p>
    <w:p>
      <w:r>
        <w:rPr>
          <w:i w:val="0"/>
        </w:rPr>
        <w:t>The full specification adds population density and vaccination coverage as socio-demographic predictors, plus a categorical baseline dummy (Winter = 1 for December–February; the baseline is the other nine months):</w:t>
      </w:r>
    </w:p>
    <w:p>
      <w:pPr>
        <w:jc w:val="center"/>
      </w:pPr>
      <w:r>
        <w:rPr>
          <w:i w:val="0"/>
        </w:rPr>
        <w:t>ER_Visits = β₀ + β₁·Flu + β₂·PopDensity + β₃·Vaccination + β₄·Winter + ε</w:t>
      </w:r>
    </w:p>
    <w:p>
      <w:pPr>
        <w:keepNext/>
        <w:spacing w:after="40"/>
      </w:pPr>
      <w:r>
        <w:rPr>
          <w:b/>
          <w:color w:val="0D366B"/>
          <w:sz w:val="18"/>
        </w:rPr>
        <w:t>Table 4. Multiple linear regression results (dependent variable: monthly ER visits)</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814"/>
            <w:shd w:val="clear" w:color="auto" w:fill="1C5CAB"/>
          </w:tcPr>
          <w:p>
            <w:pPr>
              <w:keepNext/>
              <w:spacing w:after="0"/>
              <w:jc w:val="left"/>
            </w:pPr>
            <w:r/>
            <w:r>
              <w:rPr>
                <w:b/>
                <w:color w:val="FFFFFF"/>
                <w:sz w:val="16"/>
              </w:rPr>
              <w:t>Term</w:t>
            </w:r>
          </w:p>
        </w:tc>
        <w:tc>
          <w:tcPr>
            <w:tcW w:type="dxa" w:w="1077"/>
            <w:shd w:val="clear" w:color="auto" w:fill="1C5CAB"/>
          </w:tcPr>
          <w:p>
            <w:pPr>
              <w:keepNext/>
              <w:spacing w:after="0"/>
              <w:jc w:val="center"/>
            </w:pPr>
            <w:r/>
            <w:r>
              <w:rPr>
                <w:b/>
                <w:color w:val="FFFFFF"/>
                <w:sz w:val="16"/>
              </w:rPr>
              <w:t>Full: β</w:t>
            </w:r>
          </w:p>
        </w:tc>
        <w:tc>
          <w:tcPr>
            <w:tcW w:type="dxa" w:w="907"/>
            <w:shd w:val="clear" w:color="auto" w:fill="1C5CAB"/>
          </w:tcPr>
          <w:p>
            <w:pPr>
              <w:keepNext/>
              <w:spacing w:after="0"/>
              <w:jc w:val="center"/>
            </w:pPr>
            <w:r/>
            <w:r>
              <w:rPr>
                <w:b/>
                <w:color w:val="FFFFFF"/>
                <w:sz w:val="16"/>
              </w:rPr>
              <w:t>Full: SE</w:t>
            </w:r>
          </w:p>
        </w:tc>
        <w:tc>
          <w:tcPr>
            <w:tcW w:type="dxa" w:w="794"/>
            <w:shd w:val="clear" w:color="auto" w:fill="1C5CAB"/>
          </w:tcPr>
          <w:p>
            <w:pPr>
              <w:keepNext/>
              <w:spacing w:after="0"/>
              <w:jc w:val="center"/>
            </w:pPr>
            <w:r/>
            <w:r>
              <w:rPr>
                <w:b/>
                <w:color w:val="FFFFFF"/>
                <w:sz w:val="16"/>
              </w:rPr>
              <w:t>Full: p</w:t>
            </w:r>
          </w:p>
        </w:tc>
        <w:tc>
          <w:tcPr>
            <w:tcW w:type="dxa" w:w="794"/>
            <w:shd w:val="clear" w:color="auto" w:fill="1C5CAB"/>
          </w:tcPr>
          <w:p>
            <w:pPr>
              <w:keepNext/>
              <w:spacing w:after="0"/>
              <w:jc w:val="center"/>
            </w:pPr>
            <w:r/>
            <w:r>
              <w:rPr>
                <w:b/>
                <w:color w:val="FFFFFF"/>
                <w:sz w:val="16"/>
              </w:rPr>
              <w:t>Full: VIF</w:t>
            </w:r>
          </w:p>
        </w:tc>
        <w:tc>
          <w:tcPr>
            <w:tcW w:type="dxa" w:w="1077"/>
            <w:shd w:val="clear" w:color="auto" w:fill="1C5CAB"/>
          </w:tcPr>
          <w:p>
            <w:pPr>
              <w:keepNext/>
              <w:spacing w:after="0"/>
              <w:jc w:val="center"/>
            </w:pPr>
            <w:r/>
            <w:r>
              <w:rPr>
                <w:b/>
                <w:color w:val="FFFFFF"/>
                <w:sz w:val="16"/>
              </w:rPr>
              <w:t>Refined: β</w:t>
            </w:r>
          </w:p>
        </w:tc>
        <w:tc>
          <w:tcPr>
            <w:tcW w:type="dxa" w:w="907"/>
            <w:shd w:val="clear" w:color="auto" w:fill="1C5CAB"/>
          </w:tcPr>
          <w:p>
            <w:pPr>
              <w:keepNext/>
              <w:spacing w:after="0"/>
              <w:jc w:val="center"/>
            </w:pPr>
            <w:r/>
            <w:r>
              <w:rPr>
                <w:b/>
                <w:color w:val="FFFFFF"/>
                <w:sz w:val="16"/>
              </w:rPr>
              <w:t>Refined: SE</w:t>
            </w:r>
          </w:p>
        </w:tc>
        <w:tc>
          <w:tcPr>
            <w:tcW w:type="dxa" w:w="850"/>
            <w:shd w:val="clear" w:color="auto" w:fill="1C5CAB"/>
          </w:tcPr>
          <w:p>
            <w:pPr>
              <w:keepNext/>
              <w:spacing w:after="0"/>
              <w:jc w:val="center"/>
            </w:pPr>
            <w:r/>
            <w:r>
              <w:rPr>
                <w:b/>
                <w:color w:val="FFFFFF"/>
                <w:sz w:val="16"/>
              </w:rPr>
              <w:t>Refined: p</w:t>
            </w:r>
          </w:p>
        </w:tc>
        <w:tc>
          <w:tcPr>
            <w:tcW w:type="dxa" w:w="907"/>
            <w:shd w:val="clear" w:color="auto" w:fill="1C5CAB"/>
          </w:tcPr>
          <w:p>
            <w:pPr>
              <w:keepNext/>
              <w:spacing w:after="0"/>
              <w:jc w:val="center"/>
            </w:pPr>
            <w:r/>
            <w:r>
              <w:rPr>
                <w:b/>
                <w:color w:val="FFFFFF"/>
                <w:sz w:val="16"/>
              </w:rPr>
              <w:t>Refined: VIF</w:t>
            </w:r>
          </w:p>
        </w:tc>
      </w:tr>
      <w:tr>
        <w:tc>
          <w:tcPr>
            <w:tcW w:type="dxa" w:w="1814"/>
          </w:tcPr>
          <w:p>
            <w:pPr>
              <w:keepNext/>
              <w:spacing w:after="0"/>
              <w:jc w:val="left"/>
            </w:pPr>
            <w:r/>
            <w:r>
              <w:rPr>
                <w:b/>
                <w:sz w:val="16"/>
              </w:rPr>
              <w:t>Intercept</w:t>
            </w:r>
          </w:p>
        </w:tc>
        <w:tc>
          <w:tcPr>
            <w:tcW w:type="dxa" w:w="1077"/>
          </w:tcPr>
          <w:p>
            <w:pPr>
              <w:keepNext/>
              <w:spacing w:after="0"/>
              <w:jc w:val="center"/>
            </w:pPr>
            <w:r/>
            <w:r>
              <w:rPr>
                <w:sz w:val="16"/>
              </w:rPr>
              <w:t>-1,750.13</w:t>
            </w:r>
          </w:p>
        </w:tc>
        <w:tc>
          <w:tcPr>
            <w:tcW w:type="dxa" w:w="907"/>
          </w:tcPr>
          <w:p>
            <w:pPr>
              <w:keepNext/>
              <w:spacing w:after="0"/>
              <w:jc w:val="center"/>
            </w:pPr>
            <w:r/>
            <w:r>
              <w:rPr>
                <w:sz w:val="16"/>
              </w:rPr>
              <w:t>742.66</w:t>
            </w:r>
          </w:p>
        </w:tc>
        <w:tc>
          <w:tcPr>
            <w:tcW w:type="dxa" w:w="794"/>
          </w:tcPr>
          <w:p>
            <w:pPr>
              <w:keepNext/>
              <w:spacing w:after="0"/>
              <w:jc w:val="center"/>
            </w:pPr>
            <w:r/>
            <w:r>
              <w:rPr>
                <w:sz w:val="16"/>
              </w:rPr>
              <w:t>0.023</w:t>
            </w:r>
          </w:p>
        </w:tc>
        <w:tc>
          <w:tcPr>
            <w:tcW w:type="dxa" w:w="794"/>
          </w:tcPr>
          <w:p>
            <w:pPr>
              <w:keepNext/>
              <w:spacing w:after="0"/>
              <w:jc w:val="center"/>
            </w:pPr>
            <w:r/>
            <w:r>
              <w:rPr>
                <w:sz w:val="16"/>
              </w:rPr>
              <w:t>–</w:t>
            </w:r>
          </w:p>
        </w:tc>
        <w:tc>
          <w:tcPr>
            <w:tcW w:type="dxa" w:w="1077"/>
          </w:tcPr>
          <w:p>
            <w:pPr>
              <w:keepNext/>
              <w:spacing w:after="0"/>
              <w:jc w:val="center"/>
            </w:pPr>
            <w:r/>
            <w:r>
              <w:rPr>
                <w:sz w:val="16"/>
              </w:rPr>
              <w:t>-697.62</w:t>
            </w:r>
          </w:p>
        </w:tc>
        <w:tc>
          <w:tcPr>
            <w:tcW w:type="dxa" w:w="907"/>
          </w:tcPr>
          <w:p>
            <w:pPr>
              <w:keepNext/>
              <w:spacing w:after="0"/>
              <w:jc w:val="center"/>
            </w:pPr>
            <w:r/>
            <w:r>
              <w:rPr>
                <w:sz w:val="16"/>
              </w:rPr>
              <w:t>292.99</w:t>
            </w:r>
          </w:p>
        </w:tc>
        <w:tc>
          <w:tcPr>
            <w:tcW w:type="dxa" w:w="850"/>
          </w:tcPr>
          <w:p>
            <w:pPr>
              <w:keepNext/>
              <w:spacing w:after="0"/>
              <w:jc w:val="center"/>
            </w:pPr>
            <w:r/>
            <w:r>
              <w:rPr>
                <w:sz w:val="16"/>
              </w:rPr>
              <w:t>0.022</w:t>
            </w:r>
          </w:p>
        </w:tc>
        <w:tc>
          <w:tcPr>
            <w:tcW w:type="dxa" w:w="907"/>
          </w:tcPr>
          <w:p>
            <w:pPr>
              <w:keepNext/>
              <w:spacing w:after="0"/>
              <w:jc w:val="center"/>
            </w:pPr>
            <w:r/>
            <w:r>
              <w:rPr>
                <w:sz w:val="16"/>
              </w:rPr>
              <w:t>–</w:t>
            </w:r>
          </w:p>
        </w:tc>
      </w:tr>
      <w:tr>
        <w:tc>
          <w:tcPr>
            <w:tcW w:type="dxa" w:w="1814"/>
            <w:shd w:val="clear" w:color="auto" w:fill="EEF4FC"/>
          </w:tcPr>
          <w:p>
            <w:pPr>
              <w:keepNext/>
              <w:spacing w:after="0"/>
              <w:jc w:val="left"/>
            </w:pPr>
            <w:r/>
            <w:r>
              <w:rPr>
                <w:b/>
                <w:sz w:val="16"/>
              </w:rPr>
              <w:t>Flu/resp. cases</w:t>
            </w:r>
          </w:p>
        </w:tc>
        <w:tc>
          <w:tcPr>
            <w:tcW w:type="dxa" w:w="1077"/>
            <w:shd w:val="clear" w:color="auto" w:fill="EEF4FC"/>
          </w:tcPr>
          <w:p>
            <w:pPr>
              <w:keepNext/>
              <w:spacing w:after="0"/>
              <w:jc w:val="center"/>
            </w:pPr>
            <w:r/>
            <w:r>
              <w:rPr>
                <w:sz w:val="16"/>
              </w:rPr>
              <w:t>1.6461</w:t>
            </w:r>
          </w:p>
        </w:tc>
        <w:tc>
          <w:tcPr>
            <w:tcW w:type="dxa" w:w="907"/>
            <w:shd w:val="clear" w:color="auto" w:fill="EEF4FC"/>
          </w:tcPr>
          <w:p>
            <w:pPr>
              <w:keepNext/>
              <w:spacing w:after="0"/>
              <w:jc w:val="center"/>
            </w:pPr>
            <w:r/>
            <w:r>
              <w:rPr>
                <w:sz w:val="16"/>
              </w:rPr>
              <w:t>0.0352</w:t>
            </w:r>
          </w:p>
        </w:tc>
        <w:tc>
          <w:tcPr>
            <w:tcW w:type="dxa" w:w="794"/>
            <w:shd w:val="clear" w:color="auto" w:fill="EEF4FC"/>
          </w:tcPr>
          <w:p>
            <w:pPr>
              <w:keepNext/>
              <w:spacing w:after="0"/>
              <w:jc w:val="center"/>
            </w:pPr>
            <w:r/>
            <w:r>
              <w:rPr>
                <w:sz w:val="16"/>
              </w:rPr>
              <w:t>&lt; 0.001</w:t>
            </w:r>
          </w:p>
        </w:tc>
        <w:tc>
          <w:tcPr>
            <w:tcW w:type="dxa" w:w="794"/>
            <w:shd w:val="clear" w:color="auto" w:fill="EEF4FC"/>
          </w:tcPr>
          <w:p>
            <w:pPr>
              <w:keepNext/>
              <w:spacing w:after="0"/>
              <w:jc w:val="center"/>
            </w:pPr>
            <w:r/>
            <w:r>
              <w:rPr>
                <w:sz w:val="16"/>
              </w:rPr>
              <w:t>3.09</w:t>
            </w:r>
          </w:p>
        </w:tc>
        <w:tc>
          <w:tcPr>
            <w:tcW w:type="dxa" w:w="1077"/>
            <w:shd w:val="clear" w:color="auto" w:fill="EEF4FC"/>
          </w:tcPr>
          <w:p>
            <w:pPr>
              <w:keepNext/>
              <w:spacing w:after="0"/>
              <w:jc w:val="center"/>
            </w:pPr>
            <w:r/>
            <w:r>
              <w:rPr>
                <w:sz w:val="16"/>
              </w:rPr>
              <w:t>1.6391</w:t>
            </w:r>
          </w:p>
        </w:tc>
        <w:tc>
          <w:tcPr>
            <w:tcW w:type="dxa" w:w="907"/>
            <w:shd w:val="clear" w:color="auto" w:fill="EEF4FC"/>
          </w:tcPr>
          <w:p>
            <w:pPr>
              <w:keepNext/>
              <w:spacing w:after="0"/>
              <w:jc w:val="center"/>
            </w:pPr>
            <w:r/>
            <w:r>
              <w:rPr>
                <w:sz w:val="16"/>
              </w:rPr>
              <w:t>0.0354</w:t>
            </w:r>
          </w:p>
        </w:tc>
        <w:tc>
          <w:tcPr>
            <w:tcW w:type="dxa" w:w="850"/>
            <w:shd w:val="clear" w:color="auto" w:fill="EEF4FC"/>
          </w:tcPr>
          <w:p>
            <w:pPr>
              <w:keepNext/>
              <w:spacing w:after="0"/>
              <w:jc w:val="center"/>
            </w:pPr>
            <w:r/>
            <w:r>
              <w:rPr>
                <w:sz w:val="16"/>
              </w:rPr>
              <w:t>&lt; 0.001</w:t>
            </w:r>
          </w:p>
        </w:tc>
        <w:tc>
          <w:tcPr>
            <w:tcW w:type="dxa" w:w="907"/>
            <w:shd w:val="clear" w:color="auto" w:fill="EEF4FC"/>
          </w:tcPr>
          <w:p>
            <w:pPr>
              <w:keepNext/>
              <w:spacing w:after="0"/>
              <w:jc w:val="center"/>
            </w:pPr>
            <w:r/>
            <w:r>
              <w:rPr>
                <w:sz w:val="16"/>
              </w:rPr>
              <w:t>3.04</w:t>
            </w:r>
          </w:p>
        </w:tc>
      </w:tr>
      <w:tr>
        <w:tc>
          <w:tcPr>
            <w:tcW w:type="dxa" w:w="1814"/>
          </w:tcPr>
          <w:p>
            <w:pPr>
              <w:keepNext/>
              <w:spacing w:after="0"/>
              <w:jc w:val="left"/>
            </w:pPr>
            <w:r/>
            <w:r>
              <w:rPr>
                <w:b/>
                <w:sz w:val="16"/>
              </w:rPr>
              <w:t>Pop. density idx</w:t>
            </w:r>
          </w:p>
        </w:tc>
        <w:tc>
          <w:tcPr>
            <w:tcW w:type="dxa" w:w="1077"/>
          </w:tcPr>
          <w:p>
            <w:pPr>
              <w:keepNext/>
              <w:spacing w:after="0"/>
              <w:jc w:val="center"/>
            </w:pPr>
            <w:r/>
            <w:r>
              <w:rPr>
                <w:sz w:val="16"/>
              </w:rPr>
              <w:t>47.06</w:t>
            </w:r>
          </w:p>
        </w:tc>
        <w:tc>
          <w:tcPr>
            <w:tcW w:type="dxa" w:w="907"/>
          </w:tcPr>
          <w:p>
            <w:pPr>
              <w:keepNext/>
              <w:spacing w:after="0"/>
              <w:jc w:val="center"/>
            </w:pPr>
            <w:r/>
            <w:r>
              <w:rPr>
                <w:sz w:val="16"/>
              </w:rPr>
              <w:t>10.61</w:t>
            </w:r>
          </w:p>
        </w:tc>
        <w:tc>
          <w:tcPr>
            <w:tcW w:type="dxa" w:w="794"/>
          </w:tcPr>
          <w:p>
            <w:pPr>
              <w:keepNext/>
              <w:spacing w:after="0"/>
              <w:jc w:val="center"/>
            </w:pPr>
            <w:r/>
            <w:r>
              <w:rPr>
                <w:sz w:val="16"/>
              </w:rPr>
              <w:t>&lt; 0.001</w:t>
            </w:r>
          </w:p>
        </w:tc>
        <w:tc>
          <w:tcPr>
            <w:tcW w:type="dxa" w:w="794"/>
          </w:tcPr>
          <w:p>
            <w:pPr>
              <w:keepNext/>
              <w:spacing w:after="0"/>
              <w:jc w:val="center"/>
            </w:pPr>
            <w:r/>
            <w:r>
              <w:rPr>
                <w:sz w:val="16"/>
              </w:rPr>
              <w:t>20.48</w:t>
            </w:r>
          </w:p>
        </w:tc>
        <w:tc>
          <w:tcPr>
            <w:tcW w:type="dxa" w:w="1077"/>
          </w:tcPr>
          <w:p>
            <w:pPr>
              <w:keepNext/>
              <w:spacing w:after="0"/>
              <w:jc w:val="center"/>
            </w:pPr>
            <w:r/>
            <w:r>
              <w:rPr>
                <w:sz w:val="16"/>
              </w:rPr>
              <w:t>31.35</w:t>
            </w:r>
          </w:p>
        </w:tc>
        <w:tc>
          <w:tcPr>
            <w:tcW w:type="dxa" w:w="907"/>
          </w:tcPr>
          <w:p>
            <w:pPr>
              <w:keepNext/>
              <w:spacing w:after="0"/>
              <w:jc w:val="center"/>
            </w:pPr>
            <w:r/>
            <w:r>
              <w:rPr>
                <w:sz w:val="16"/>
              </w:rPr>
              <w:t>2.90</w:t>
            </w:r>
          </w:p>
        </w:tc>
        <w:tc>
          <w:tcPr>
            <w:tcW w:type="dxa" w:w="850"/>
          </w:tcPr>
          <w:p>
            <w:pPr>
              <w:keepNext/>
              <w:spacing w:after="0"/>
              <w:jc w:val="center"/>
            </w:pPr>
            <w:r/>
            <w:r>
              <w:rPr>
                <w:sz w:val="16"/>
              </w:rPr>
              <w:t>&lt; 0.001</w:t>
            </w:r>
          </w:p>
        </w:tc>
        <w:tc>
          <w:tcPr>
            <w:tcW w:type="dxa" w:w="907"/>
          </w:tcPr>
          <w:p>
            <w:pPr>
              <w:keepNext/>
              <w:spacing w:after="0"/>
              <w:jc w:val="center"/>
            </w:pPr>
            <w:r/>
            <w:r>
              <w:rPr>
                <w:sz w:val="16"/>
              </w:rPr>
              <w:t>1.48</w:t>
            </w:r>
          </w:p>
        </w:tc>
      </w:tr>
      <w:tr>
        <w:tc>
          <w:tcPr>
            <w:tcW w:type="dxa" w:w="1814"/>
            <w:shd w:val="clear" w:color="auto" w:fill="EEF4FC"/>
          </w:tcPr>
          <w:p>
            <w:pPr>
              <w:keepNext/>
              <w:spacing w:after="0"/>
              <w:jc w:val="left"/>
            </w:pPr>
            <w:r/>
            <w:r>
              <w:rPr>
                <w:b/>
                <w:sz w:val="16"/>
              </w:rPr>
              <w:t>Vaccination %</w:t>
            </w:r>
          </w:p>
        </w:tc>
        <w:tc>
          <w:tcPr>
            <w:tcW w:type="dxa" w:w="1077"/>
            <w:shd w:val="clear" w:color="auto" w:fill="EEF4FC"/>
          </w:tcPr>
          <w:p>
            <w:pPr>
              <w:keepNext/>
              <w:spacing w:after="0"/>
              <w:jc w:val="center"/>
            </w:pPr>
            <w:r/>
            <w:r>
              <w:rPr>
                <w:sz w:val="16"/>
              </w:rPr>
              <w:t>-8.15</w:t>
            </w:r>
          </w:p>
        </w:tc>
        <w:tc>
          <w:tcPr>
            <w:tcW w:type="dxa" w:w="907"/>
            <w:shd w:val="clear" w:color="auto" w:fill="EEF4FC"/>
          </w:tcPr>
          <w:p>
            <w:pPr>
              <w:keepNext/>
              <w:spacing w:after="0"/>
              <w:jc w:val="center"/>
            </w:pPr>
            <w:r/>
            <w:r>
              <w:rPr>
                <w:sz w:val="16"/>
              </w:rPr>
              <w:t>5.30</w:t>
            </w:r>
          </w:p>
        </w:tc>
        <w:tc>
          <w:tcPr>
            <w:tcW w:type="dxa" w:w="794"/>
            <w:shd w:val="clear" w:color="auto" w:fill="EEF4FC"/>
          </w:tcPr>
          <w:p>
            <w:pPr>
              <w:keepNext/>
              <w:spacing w:after="0"/>
              <w:jc w:val="center"/>
            </w:pPr>
            <w:r/>
            <w:r>
              <w:rPr>
                <w:sz w:val="16"/>
              </w:rPr>
              <w:t>0.131</w:t>
            </w:r>
          </w:p>
        </w:tc>
        <w:tc>
          <w:tcPr>
            <w:tcW w:type="dxa" w:w="794"/>
            <w:shd w:val="clear" w:color="auto" w:fill="EEF4FC"/>
          </w:tcPr>
          <w:p>
            <w:pPr>
              <w:keepNext/>
              <w:spacing w:after="0"/>
              <w:jc w:val="center"/>
            </w:pPr>
            <w:r/>
            <w:r>
              <w:rPr>
                <w:sz w:val="16"/>
              </w:rPr>
              <w:t>21.11</w:t>
            </w:r>
          </w:p>
        </w:tc>
        <w:tc>
          <w:tcPr>
            <w:tcW w:type="dxa" w:w="1077"/>
            <w:shd w:val="clear" w:color="auto" w:fill="EEF4FC"/>
          </w:tcPr>
          <w:p>
            <w:pPr>
              <w:keepNext/>
              <w:spacing w:after="0"/>
              <w:jc w:val="center"/>
            </w:pPr>
            <w:r/>
            <w:r>
              <w:rPr>
                <w:sz w:val="16"/>
              </w:rPr>
              <w:t>(dropped)</w:t>
            </w:r>
          </w:p>
        </w:tc>
        <w:tc>
          <w:tcPr>
            <w:tcW w:type="dxa" w:w="907"/>
            <w:shd w:val="clear" w:color="auto" w:fill="EEF4FC"/>
          </w:tcPr>
          <w:p>
            <w:pPr>
              <w:keepNext/>
              <w:spacing w:after="0"/>
              <w:jc w:val="center"/>
            </w:pPr>
            <w:r/>
            <w:r>
              <w:rPr>
                <w:sz w:val="16"/>
              </w:rPr>
            </w:r>
          </w:p>
        </w:tc>
        <w:tc>
          <w:tcPr>
            <w:tcW w:type="dxa" w:w="850"/>
            <w:shd w:val="clear" w:color="auto" w:fill="EEF4FC"/>
          </w:tcPr>
          <w:p>
            <w:pPr>
              <w:keepNext/>
              <w:spacing w:after="0"/>
              <w:jc w:val="center"/>
            </w:pPr>
            <w:r/>
            <w:r>
              <w:rPr>
                <w:sz w:val="16"/>
              </w:rPr>
            </w:r>
          </w:p>
        </w:tc>
        <w:tc>
          <w:tcPr>
            <w:tcW w:type="dxa" w:w="907"/>
            <w:shd w:val="clear" w:color="auto" w:fill="EEF4FC"/>
          </w:tcPr>
          <w:p>
            <w:pPr>
              <w:keepNext/>
              <w:spacing w:after="0"/>
              <w:jc w:val="center"/>
            </w:pPr>
            <w:r/>
            <w:r>
              <w:rPr>
                <w:sz w:val="16"/>
              </w:rPr>
              <w:t>–</w:t>
            </w:r>
          </w:p>
        </w:tc>
      </w:tr>
      <w:tr>
        <w:tc>
          <w:tcPr>
            <w:tcW w:type="dxa" w:w="1814"/>
          </w:tcPr>
          <w:p>
            <w:pPr>
              <w:keepNext/>
              <w:spacing w:after="0"/>
              <w:jc w:val="left"/>
            </w:pPr>
            <w:r/>
            <w:r>
              <w:rPr>
                <w:b/>
                <w:sz w:val="16"/>
              </w:rPr>
              <w:t>Winter dummy</w:t>
            </w:r>
          </w:p>
        </w:tc>
        <w:tc>
          <w:tcPr>
            <w:tcW w:type="dxa" w:w="1077"/>
          </w:tcPr>
          <w:p>
            <w:pPr>
              <w:keepNext/>
              <w:spacing w:after="0"/>
              <w:jc w:val="center"/>
            </w:pPr>
            <w:r/>
            <w:r>
              <w:rPr>
                <w:sz w:val="16"/>
              </w:rPr>
              <w:t>8.07</w:t>
            </w:r>
          </w:p>
        </w:tc>
        <w:tc>
          <w:tcPr>
            <w:tcW w:type="dxa" w:w="907"/>
          </w:tcPr>
          <w:p>
            <w:pPr>
              <w:keepNext/>
              <w:spacing w:after="0"/>
              <w:jc w:val="center"/>
            </w:pPr>
            <w:r/>
            <w:r>
              <w:rPr>
                <w:sz w:val="16"/>
              </w:rPr>
              <w:t>32.68</w:t>
            </w:r>
          </w:p>
        </w:tc>
        <w:tc>
          <w:tcPr>
            <w:tcW w:type="dxa" w:w="794"/>
          </w:tcPr>
          <w:p>
            <w:pPr>
              <w:keepNext/>
              <w:spacing w:after="0"/>
              <w:jc w:val="center"/>
            </w:pPr>
            <w:r/>
            <w:r>
              <w:rPr>
                <w:sz w:val="16"/>
              </w:rPr>
              <w:t>0.806</w:t>
            </w:r>
          </w:p>
        </w:tc>
        <w:tc>
          <w:tcPr>
            <w:tcW w:type="dxa" w:w="794"/>
          </w:tcPr>
          <w:p>
            <w:pPr>
              <w:keepNext/>
              <w:spacing w:after="0"/>
              <w:jc w:val="center"/>
            </w:pPr>
            <w:r/>
            <w:r>
              <w:rPr>
                <w:sz w:val="16"/>
              </w:rPr>
              <w:t>2.93</w:t>
            </w:r>
          </w:p>
        </w:tc>
        <w:tc>
          <w:tcPr>
            <w:tcW w:type="dxa" w:w="1077"/>
          </w:tcPr>
          <w:p>
            <w:pPr>
              <w:keepNext/>
              <w:spacing w:after="0"/>
              <w:jc w:val="center"/>
            </w:pPr>
            <w:r/>
            <w:r>
              <w:rPr>
                <w:sz w:val="16"/>
              </w:rPr>
              <w:t>22.70</w:t>
            </w:r>
          </w:p>
        </w:tc>
        <w:tc>
          <w:tcPr>
            <w:tcW w:type="dxa" w:w="907"/>
          </w:tcPr>
          <w:p>
            <w:pPr>
              <w:keepNext/>
              <w:spacing w:after="0"/>
              <w:jc w:val="center"/>
            </w:pPr>
            <w:r/>
            <w:r>
              <w:rPr>
                <w:sz w:val="16"/>
              </w:rPr>
              <w:t>31.75</w:t>
            </w:r>
          </w:p>
        </w:tc>
        <w:tc>
          <w:tcPr>
            <w:tcW w:type="dxa" w:w="850"/>
          </w:tcPr>
          <w:p>
            <w:pPr>
              <w:keepNext/>
              <w:spacing w:after="0"/>
              <w:jc w:val="center"/>
            </w:pPr>
            <w:r/>
            <w:r>
              <w:rPr>
                <w:sz w:val="16"/>
              </w:rPr>
              <w:t>0.478</w:t>
            </w:r>
          </w:p>
        </w:tc>
        <w:tc>
          <w:tcPr>
            <w:tcW w:type="dxa" w:w="907"/>
          </w:tcPr>
          <w:p>
            <w:pPr>
              <w:keepNext/>
              <w:spacing w:after="0"/>
              <w:jc w:val="center"/>
            </w:pPr>
            <w:r/>
            <w:r>
              <w:rPr>
                <w:sz w:val="16"/>
              </w:rPr>
              <w:t>2.68</w:t>
            </w:r>
          </w:p>
        </w:tc>
      </w:tr>
      <w:tr>
        <w:tc>
          <w:tcPr>
            <w:tcW w:type="dxa" w:w="1814"/>
            <w:shd w:val="clear" w:color="auto" w:fill="EEF4FC"/>
          </w:tcPr>
          <w:p>
            <w:pPr>
              <w:keepNext/>
              <w:spacing w:after="0"/>
              <w:jc w:val="left"/>
            </w:pPr>
            <w:r/>
            <w:r>
              <w:rPr>
                <w:b/>
                <w:sz w:val="16"/>
              </w:rPr>
              <w:t>Adjusted R²</w:t>
            </w:r>
          </w:p>
        </w:tc>
        <w:tc>
          <w:tcPr>
            <w:tcW w:type="dxa" w:w="1077"/>
            <w:shd w:val="clear" w:color="auto" w:fill="EEF4FC"/>
          </w:tcPr>
          <w:p>
            <w:pPr>
              <w:keepNext/>
              <w:spacing w:after="0"/>
              <w:jc w:val="center"/>
            </w:pPr>
            <w:r/>
            <w:r>
              <w:rPr>
                <w:sz w:val="16"/>
              </w:rPr>
              <w:t>0.9940</w:t>
            </w:r>
          </w:p>
        </w:tc>
        <w:tc>
          <w:tcPr>
            <w:tcW w:type="dxa" w:w="907"/>
            <w:shd w:val="clear" w:color="auto" w:fill="EEF4FC"/>
          </w:tcPr>
          <w:p>
            <w:pPr>
              <w:keepNext/>
              <w:spacing w:after="0"/>
              <w:jc w:val="center"/>
            </w:pPr>
            <w:r/>
            <w:r>
              <w:rPr>
                <w:sz w:val="16"/>
              </w:rPr>
            </w:r>
          </w:p>
        </w:tc>
        <w:tc>
          <w:tcPr>
            <w:tcW w:type="dxa" w:w="794"/>
            <w:shd w:val="clear" w:color="auto" w:fill="EEF4FC"/>
          </w:tcPr>
          <w:p>
            <w:pPr>
              <w:keepNext/>
              <w:spacing w:after="0"/>
              <w:jc w:val="center"/>
            </w:pPr>
            <w:r/>
            <w:r>
              <w:rPr>
                <w:sz w:val="16"/>
              </w:rPr>
            </w:r>
          </w:p>
        </w:tc>
        <w:tc>
          <w:tcPr>
            <w:tcW w:type="dxa" w:w="794"/>
            <w:shd w:val="clear" w:color="auto" w:fill="EEF4FC"/>
          </w:tcPr>
          <w:p>
            <w:pPr>
              <w:keepNext/>
              <w:spacing w:after="0"/>
              <w:jc w:val="center"/>
            </w:pPr>
            <w:r/>
            <w:r>
              <w:rPr>
                <w:sz w:val="16"/>
              </w:rPr>
            </w:r>
          </w:p>
        </w:tc>
        <w:tc>
          <w:tcPr>
            <w:tcW w:type="dxa" w:w="1077"/>
            <w:shd w:val="clear" w:color="auto" w:fill="EEF4FC"/>
          </w:tcPr>
          <w:p>
            <w:pPr>
              <w:keepNext/>
              <w:spacing w:after="0"/>
              <w:jc w:val="center"/>
            </w:pPr>
            <w:r/>
            <w:r>
              <w:rPr>
                <w:sz w:val="16"/>
              </w:rPr>
              <w:t>0.9938</w:t>
            </w:r>
          </w:p>
        </w:tc>
        <w:tc>
          <w:tcPr>
            <w:tcW w:type="dxa" w:w="907"/>
            <w:shd w:val="clear" w:color="auto" w:fill="EEF4FC"/>
          </w:tcPr>
          <w:p>
            <w:pPr>
              <w:keepNext/>
              <w:spacing w:after="0"/>
              <w:jc w:val="center"/>
            </w:pPr>
            <w:r/>
            <w:r>
              <w:rPr>
                <w:sz w:val="16"/>
              </w:rPr>
            </w:r>
          </w:p>
        </w:tc>
        <w:tc>
          <w:tcPr>
            <w:tcW w:type="dxa" w:w="850"/>
            <w:shd w:val="clear" w:color="auto" w:fill="EEF4FC"/>
          </w:tcPr>
          <w:p>
            <w:pPr>
              <w:keepNext/>
              <w:spacing w:after="0"/>
              <w:jc w:val="center"/>
            </w:pPr>
            <w:r/>
            <w:r>
              <w:rPr>
                <w:sz w:val="16"/>
              </w:rPr>
            </w:r>
          </w:p>
        </w:tc>
        <w:tc>
          <w:tcPr>
            <w:tcW w:type="dxa" w:w="907"/>
            <w:shd w:val="clear" w:color="auto" w:fill="EEF4FC"/>
          </w:tcPr>
          <w:p>
            <w:pPr>
              <w:keepNext/>
              <w:spacing w:after="0"/>
              <w:jc w:val="center"/>
            </w:pPr>
            <w:r/>
            <w:r>
              <w:rPr>
                <w:sz w:val="16"/>
              </w:rPr>
            </w:r>
          </w:p>
        </w:tc>
      </w:tr>
      <w:tr>
        <w:tc>
          <w:tcPr>
            <w:tcW w:type="dxa" w:w="1814"/>
          </w:tcPr>
          <w:p>
            <w:pPr>
              <w:keepNext/>
              <w:spacing w:after="0"/>
              <w:jc w:val="left"/>
            </w:pPr>
            <w:r/>
            <w:r>
              <w:rPr>
                <w:b/>
                <w:sz w:val="16"/>
              </w:rPr>
              <w:t>F-statistic (p)</w:t>
            </w:r>
          </w:p>
        </w:tc>
        <w:tc>
          <w:tcPr>
            <w:tcW w:type="dxa" w:w="1077"/>
          </w:tcPr>
          <w:p>
            <w:pPr>
              <w:keepNext/>
              <w:spacing w:after="0"/>
              <w:jc w:val="center"/>
            </w:pPr>
            <w:r/>
            <w:r>
              <w:rPr>
                <w:sz w:val="16"/>
              </w:rPr>
              <w:t>1,947.6 (&lt;0.001)</w:t>
            </w:r>
          </w:p>
        </w:tc>
        <w:tc>
          <w:tcPr>
            <w:tcW w:type="dxa" w:w="907"/>
          </w:tcPr>
          <w:p>
            <w:pPr>
              <w:keepNext/>
              <w:spacing w:after="0"/>
              <w:jc w:val="center"/>
            </w:pPr>
            <w:r/>
            <w:r>
              <w:rPr>
                <w:sz w:val="16"/>
              </w:rPr>
            </w:r>
          </w:p>
        </w:tc>
        <w:tc>
          <w:tcPr>
            <w:tcW w:type="dxa" w:w="794"/>
          </w:tcPr>
          <w:p>
            <w:pPr>
              <w:keepNext/>
              <w:spacing w:after="0"/>
              <w:jc w:val="center"/>
            </w:pPr>
            <w:r/>
            <w:r>
              <w:rPr>
                <w:sz w:val="16"/>
              </w:rPr>
            </w:r>
          </w:p>
        </w:tc>
        <w:tc>
          <w:tcPr>
            <w:tcW w:type="dxa" w:w="794"/>
          </w:tcPr>
          <w:p>
            <w:pPr>
              <w:keepNext/>
              <w:spacing w:after="0"/>
              <w:jc w:val="center"/>
            </w:pPr>
            <w:r/>
            <w:r>
              <w:rPr>
                <w:sz w:val="16"/>
              </w:rPr>
            </w:r>
          </w:p>
        </w:tc>
        <w:tc>
          <w:tcPr>
            <w:tcW w:type="dxa" w:w="1077"/>
          </w:tcPr>
          <w:p>
            <w:pPr>
              <w:keepNext/>
              <w:spacing w:after="0"/>
              <w:jc w:val="center"/>
            </w:pPr>
            <w:r/>
            <w:r>
              <w:rPr>
                <w:sz w:val="16"/>
              </w:rPr>
              <w:t>2,517.9 (&lt;0.001)</w:t>
            </w:r>
          </w:p>
        </w:tc>
        <w:tc>
          <w:tcPr>
            <w:tcW w:type="dxa" w:w="907"/>
          </w:tcPr>
          <w:p>
            <w:pPr>
              <w:keepNext/>
              <w:spacing w:after="0"/>
              <w:jc w:val="center"/>
            </w:pPr>
            <w:r/>
            <w:r>
              <w:rPr>
                <w:sz w:val="16"/>
              </w:rPr>
            </w:r>
          </w:p>
        </w:tc>
        <w:tc>
          <w:tcPr>
            <w:tcW w:type="dxa" w:w="850"/>
          </w:tcPr>
          <w:p>
            <w:pPr>
              <w:keepNext/>
              <w:spacing w:after="0"/>
              <w:jc w:val="center"/>
            </w:pPr>
            <w:r/>
            <w:r>
              <w:rPr>
                <w:sz w:val="16"/>
              </w:rPr>
            </w:r>
          </w:p>
        </w:tc>
        <w:tc>
          <w:tcPr>
            <w:tcW w:type="dxa" w:w="907"/>
          </w:tcPr>
          <w:p>
            <w:pPr>
              <w:keepNext/>
              <w:spacing w:after="0"/>
              <w:jc w:val="center"/>
            </w:pPr>
            <w:r/>
            <w:r>
              <w:rPr>
                <w:sz w:val="16"/>
              </w:rPr>
            </w:r>
          </w:p>
        </w:tc>
      </w:tr>
      <w:tr>
        <w:tc>
          <w:tcPr>
            <w:tcW w:type="dxa" w:w="1814"/>
            <w:shd w:val="clear" w:color="auto" w:fill="EEF4FC"/>
          </w:tcPr>
          <w:p>
            <w:pPr>
              <w:keepNext w:val="0"/>
              <w:spacing w:after="0"/>
              <w:jc w:val="left"/>
            </w:pPr>
            <w:r/>
            <w:r>
              <w:rPr>
                <w:b/>
                <w:sz w:val="16"/>
              </w:rPr>
              <w:t>Std error of estimate</w:t>
            </w:r>
          </w:p>
        </w:tc>
        <w:tc>
          <w:tcPr>
            <w:tcW w:type="dxa" w:w="1077"/>
            <w:shd w:val="clear" w:color="auto" w:fill="EEF4FC"/>
          </w:tcPr>
          <w:p>
            <w:pPr>
              <w:keepNext w:val="0"/>
              <w:spacing w:after="0"/>
              <w:jc w:val="center"/>
            </w:pPr>
            <w:r/>
            <w:r>
              <w:rPr>
                <w:sz w:val="16"/>
              </w:rPr>
              <w:t>57.3</w:t>
            </w:r>
          </w:p>
        </w:tc>
        <w:tc>
          <w:tcPr>
            <w:tcW w:type="dxa" w:w="907"/>
            <w:shd w:val="clear" w:color="auto" w:fill="EEF4FC"/>
          </w:tcPr>
          <w:p>
            <w:pPr>
              <w:keepNext w:val="0"/>
              <w:spacing w:after="0"/>
              <w:jc w:val="center"/>
            </w:pPr>
            <w:r/>
            <w:r>
              <w:rPr>
                <w:sz w:val="16"/>
              </w:rPr>
            </w:r>
          </w:p>
        </w:tc>
        <w:tc>
          <w:tcPr>
            <w:tcW w:type="dxa" w:w="794"/>
            <w:shd w:val="clear" w:color="auto" w:fill="EEF4FC"/>
          </w:tcPr>
          <w:p>
            <w:pPr>
              <w:keepNext w:val="0"/>
              <w:spacing w:after="0"/>
              <w:jc w:val="center"/>
            </w:pPr>
            <w:r/>
            <w:r>
              <w:rPr>
                <w:sz w:val="16"/>
              </w:rPr>
            </w:r>
          </w:p>
        </w:tc>
        <w:tc>
          <w:tcPr>
            <w:tcW w:type="dxa" w:w="794"/>
            <w:shd w:val="clear" w:color="auto" w:fill="EEF4FC"/>
          </w:tcPr>
          <w:p>
            <w:pPr>
              <w:keepNext w:val="0"/>
              <w:spacing w:after="0"/>
              <w:jc w:val="center"/>
            </w:pPr>
            <w:r/>
            <w:r>
              <w:rPr>
                <w:sz w:val="16"/>
              </w:rPr>
            </w:r>
          </w:p>
        </w:tc>
        <w:tc>
          <w:tcPr>
            <w:tcW w:type="dxa" w:w="1077"/>
            <w:shd w:val="clear" w:color="auto" w:fill="EEF4FC"/>
          </w:tcPr>
          <w:p>
            <w:pPr>
              <w:keepNext w:val="0"/>
              <w:spacing w:after="0"/>
              <w:jc w:val="center"/>
            </w:pPr>
            <w:r/>
            <w:r>
              <w:rPr>
                <w:sz w:val="16"/>
              </w:rPr>
              <w:t>58.2</w:t>
            </w:r>
          </w:p>
        </w:tc>
        <w:tc>
          <w:tcPr>
            <w:tcW w:type="dxa" w:w="907"/>
            <w:shd w:val="clear" w:color="auto" w:fill="EEF4FC"/>
          </w:tcPr>
          <w:p>
            <w:pPr>
              <w:keepNext w:val="0"/>
              <w:spacing w:after="0"/>
              <w:jc w:val="center"/>
            </w:pPr>
            <w:r/>
            <w:r>
              <w:rPr>
                <w:sz w:val="16"/>
              </w:rPr>
            </w:r>
          </w:p>
        </w:tc>
        <w:tc>
          <w:tcPr>
            <w:tcW w:type="dxa" w:w="850"/>
            <w:shd w:val="clear" w:color="auto" w:fill="EEF4FC"/>
          </w:tcPr>
          <w:p>
            <w:pPr>
              <w:keepNext w:val="0"/>
              <w:spacing w:after="0"/>
              <w:jc w:val="center"/>
            </w:pPr>
            <w:r/>
            <w:r>
              <w:rPr>
                <w:sz w:val="16"/>
              </w:rPr>
            </w:r>
          </w:p>
        </w:tc>
        <w:tc>
          <w:tcPr>
            <w:tcW w:type="dxa" w:w="907"/>
            <w:shd w:val="clear" w:color="auto" w:fill="EEF4FC"/>
          </w:tcPr>
          <w:p>
            <w:pPr>
              <w:keepNext w:val="0"/>
              <w:spacing w:after="0"/>
              <w:jc w:val="center"/>
            </w:pPr>
            <w:r/>
            <w:r>
              <w:rPr>
                <w:sz w:val="16"/>
              </w:rPr>
            </w:r>
          </w:p>
        </w:tc>
      </w:tr>
    </w:tbl>
    <w:p>
      <w:pPr>
        <w:spacing w:after="40"/>
      </w:pPr>
    </w:p>
    <w:p>
      <w:pPr>
        <w:pStyle w:val="Heading2"/>
      </w:pPr>
      <w:r>
        <w:t>2.3 Assumption testing</w:t>
      </w:r>
    </w:p>
    <w:p>
      <w:pPr>
        <w:keepNext/>
        <w:spacing w:after="40"/>
      </w:pPr>
      <w:r>
        <w:rPr>
          <w:b/>
          <w:color w:val="0D366B"/>
          <w:sz w:val="18"/>
        </w:rPr>
        <w:t>Table 5. Regression assumption diagnostics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948"/>
            <w:shd w:val="clear" w:color="auto" w:fill="1C5CAB"/>
          </w:tcPr>
          <w:p>
            <w:pPr>
              <w:keepNext/>
              <w:spacing w:after="0"/>
              <w:jc w:val="left"/>
            </w:pPr>
            <w:r/>
            <w:r>
              <w:rPr>
                <w:b/>
                <w:color w:val="FFFFFF"/>
                <w:sz w:val="16"/>
              </w:rPr>
              <w:t>Assumption / test</w:t>
            </w:r>
          </w:p>
        </w:tc>
        <w:tc>
          <w:tcPr>
            <w:tcW w:type="dxa" w:w="964"/>
            <w:shd w:val="clear" w:color="auto" w:fill="1C5CAB"/>
          </w:tcPr>
          <w:p>
            <w:pPr>
              <w:keepNext/>
              <w:spacing w:after="0"/>
              <w:jc w:val="center"/>
            </w:pPr>
            <w:r/>
            <w:r>
              <w:rPr>
                <w:b/>
                <w:color w:val="FFFFFF"/>
                <w:sz w:val="16"/>
              </w:rPr>
              <w:t>SLR</w:t>
            </w:r>
          </w:p>
        </w:tc>
        <w:tc>
          <w:tcPr>
            <w:tcW w:type="dxa" w:w="1077"/>
            <w:shd w:val="clear" w:color="auto" w:fill="1C5CAB"/>
          </w:tcPr>
          <w:p>
            <w:pPr>
              <w:keepNext/>
              <w:spacing w:after="0"/>
              <w:jc w:val="center"/>
            </w:pPr>
            <w:r/>
            <w:r>
              <w:rPr>
                <w:b/>
                <w:color w:val="FFFFFF"/>
                <w:sz w:val="16"/>
              </w:rPr>
              <w:t>MLR full</w:t>
            </w:r>
          </w:p>
        </w:tc>
        <w:tc>
          <w:tcPr>
            <w:tcW w:type="dxa" w:w="1191"/>
            <w:shd w:val="clear" w:color="auto" w:fill="1C5CAB"/>
          </w:tcPr>
          <w:p>
            <w:pPr>
              <w:keepNext/>
              <w:spacing w:after="0"/>
              <w:jc w:val="center"/>
            </w:pPr>
            <w:r/>
            <w:r>
              <w:rPr>
                <w:b/>
                <w:color w:val="FFFFFF"/>
                <w:sz w:val="16"/>
              </w:rPr>
              <w:t>MLR refined</w:t>
            </w:r>
          </w:p>
        </w:tc>
        <w:tc>
          <w:tcPr>
            <w:tcW w:type="dxa" w:w="2608"/>
            <w:shd w:val="clear" w:color="auto" w:fill="1C5CAB"/>
          </w:tcPr>
          <w:p>
            <w:pPr>
              <w:keepNext/>
              <w:spacing w:after="0"/>
              <w:jc w:val="center"/>
            </w:pPr>
            <w:r/>
            <w:r>
              <w:rPr>
                <w:b/>
                <w:color w:val="FFFFFF"/>
                <w:sz w:val="16"/>
              </w:rPr>
              <w:t>Decision (α = 0.05)</w:t>
            </w:r>
          </w:p>
        </w:tc>
      </w:tr>
      <w:tr>
        <w:tc>
          <w:tcPr>
            <w:tcW w:type="dxa" w:w="2948"/>
          </w:tcPr>
          <w:p>
            <w:pPr>
              <w:keepNext/>
              <w:spacing w:after="0"/>
              <w:jc w:val="left"/>
            </w:pPr>
            <w:r/>
            <w:r>
              <w:rPr>
                <w:b/>
                <w:sz w:val="16"/>
              </w:rPr>
              <w:t>Normality — Shapiro-Wilk p</w:t>
            </w:r>
          </w:p>
        </w:tc>
        <w:tc>
          <w:tcPr>
            <w:tcW w:type="dxa" w:w="964"/>
          </w:tcPr>
          <w:p>
            <w:pPr>
              <w:keepNext/>
              <w:spacing w:after="0"/>
              <w:jc w:val="center"/>
            </w:pPr>
            <w:r/>
            <w:r>
              <w:rPr>
                <w:sz w:val="16"/>
              </w:rPr>
              <w:t>0.623</w:t>
            </w:r>
          </w:p>
        </w:tc>
        <w:tc>
          <w:tcPr>
            <w:tcW w:type="dxa" w:w="1077"/>
          </w:tcPr>
          <w:p>
            <w:pPr>
              <w:keepNext/>
              <w:spacing w:after="0"/>
              <w:jc w:val="center"/>
            </w:pPr>
            <w:r/>
            <w:r>
              <w:rPr>
                <w:sz w:val="16"/>
              </w:rPr>
              <w:t>0.580</w:t>
            </w:r>
          </w:p>
        </w:tc>
        <w:tc>
          <w:tcPr>
            <w:tcW w:type="dxa" w:w="1191"/>
          </w:tcPr>
          <w:p>
            <w:pPr>
              <w:keepNext/>
              <w:spacing w:after="0"/>
              <w:jc w:val="center"/>
            </w:pPr>
            <w:r/>
            <w:r>
              <w:rPr>
                <w:sz w:val="16"/>
              </w:rPr>
              <w:t>0.394</w:t>
            </w:r>
          </w:p>
        </w:tc>
        <w:tc>
          <w:tcPr>
            <w:tcW w:type="dxa" w:w="2608"/>
          </w:tcPr>
          <w:p>
            <w:pPr>
              <w:keepNext/>
              <w:spacing w:after="0"/>
              <w:jc w:val="center"/>
            </w:pPr>
            <w:r/>
            <w:r>
              <w:rPr>
                <w:sz w:val="16"/>
              </w:rPr>
              <w:t>Normal residuals</w:t>
            </w:r>
          </w:p>
        </w:tc>
      </w:tr>
      <w:tr>
        <w:tc>
          <w:tcPr>
            <w:tcW w:type="dxa" w:w="2948"/>
            <w:shd w:val="clear" w:color="auto" w:fill="EEF4FC"/>
          </w:tcPr>
          <w:p>
            <w:pPr>
              <w:keepNext/>
              <w:spacing w:after="0"/>
              <w:jc w:val="left"/>
            </w:pPr>
            <w:r/>
            <w:r>
              <w:rPr>
                <w:b/>
                <w:sz w:val="16"/>
              </w:rPr>
              <w:t>Normality — Jarque-Bera p</w:t>
            </w:r>
          </w:p>
        </w:tc>
        <w:tc>
          <w:tcPr>
            <w:tcW w:type="dxa" w:w="964"/>
            <w:shd w:val="clear" w:color="auto" w:fill="EEF4FC"/>
          </w:tcPr>
          <w:p>
            <w:pPr>
              <w:keepNext/>
              <w:spacing w:after="0"/>
              <w:jc w:val="center"/>
            </w:pPr>
            <w:r/>
            <w:r>
              <w:rPr>
                <w:sz w:val="16"/>
              </w:rPr>
              <w:t>0.507</w:t>
            </w:r>
          </w:p>
        </w:tc>
        <w:tc>
          <w:tcPr>
            <w:tcW w:type="dxa" w:w="1077"/>
            <w:shd w:val="clear" w:color="auto" w:fill="EEF4FC"/>
          </w:tcPr>
          <w:p>
            <w:pPr>
              <w:keepNext/>
              <w:spacing w:after="0"/>
              <w:jc w:val="center"/>
            </w:pPr>
            <w:r/>
            <w:r>
              <w:rPr>
                <w:sz w:val="16"/>
              </w:rPr>
              <w:t>0.895</w:t>
            </w:r>
          </w:p>
        </w:tc>
        <w:tc>
          <w:tcPr>
            <w:tcW w:type="dxa" w:w="1191"/>
            <w:shd w:val="clear" w:color="auto" w:fill="EEF4FC"/>
          </w:tcPr>
          <w:p>
            <w:pPr>
              <w:keepNext/>
              <w:spacing w:after="0"/>
              <w:jc w:val="center"/>
            </w:pPr>
            <w:r/>
            <w:r>
              <w:rPr>
                <w:sz w:val="16"/>
              </w:rPr>
              <w:t>0.848</w:t>
            </w:r>
          </w:p>
        </w:tc>
        <w:tc>
          <w:tcPr>
            <w:tcW w:type="dxa" w:w="2608"/>
            <w:shd w:val="clear" w:color="auto" w:fill="EEF4FC"/>
          </w:tcPr>
          <w:p>
            <w:pPr>
              <w:keepNext/>
              <w:spacing w:after="0"/>
              <w:jc w:val="center"/>
            </w:pPr>
            <w:r/>
            <w:r>
              <w:rPr>
                <w:sz w:val="16"/>
              </w:rPr>
              <w:t>Normal residuals</w:t>
            </w:r>
          </w:p>
        </w:tc>
      </w:tr>
      <w:tr>
        <w:tc>
          <w:tcPr>
            <w:tcW w:type="dxa" w:w="2948"/>
          </w:tcPr>
          <w:p>
            <w:pPr>
              <w:keepNext/>
              <w:spacing w:after="0"/>
              <w:jc w:val="left"/>
            </w:pPr>
            <w:r/>
            <w:r>
              <w:rPr>
                <w:b/>
                <w:sz w:val="16"/>
              </w:rPr>
              <w:t>Homoscedasticity — Breusch-Pagan p</w:t>
            </w:r>
          </w:p>
        </w:tc>
        <w:tc>
          <w:tcPr>
            <w:tcW w:type="dxa" w:w="964"/>
          </w:tcPr>
          <w:p>
            <w:pPr>
              <w:keepNext/>
              <w:spacing w:after="0"/>
              <w:jc w:val="center"/>
            </w:pPr>
            <w:r/>
            <w:r>
              <w:rPr>
                <w:sz w:val="16"/>
              </w:rPr>
              <w:t>0.012</w:t>
            </w:r>
          </w:p>
        </w:tc>
        <w:tc>
          <w:tcPr>
            <w:tcW w:type="dxa" w:w="1077"/>
          </w:tcPr>
          <w:p>
            <w:pPr>
              <w:keepNext/>
              <w:spacing w:after="0"/>
              <w:jc w:val="center"/>
            </w:pPr>
            <w:r/>
            <w:r>
              <w:rPr>
                <w:sz w:val="16"/>
              </w:rPr>
              <w:t>0.732</w:t>
            </w:r>
          </w:p>
        </w:tc>
        <w:tc>
          <w:tcPr>
            <w:tcW w:type="dxa" w:w="1191"/>
          </w:tcPr>
          <w:p>
            <w:pPr>
              <w:keepNext/>
              <w:spacing w:after="0"/>
              <w:jc w:val="center"/>
            </w:pPr>
            <w:r/>
            <w:r>
              <w:rPr>
                <w:sz w:val="16"/>
              </w:rPr>
              <w:t>0.517</w:t>
            </w:r>
          </w:p>
        </w:tc>
        <w:tc>
          <w:tcPr>
            <w:tcW w:type="dxa" w:w="2608"/>
          </w:tcPr>
          <w:p>
            <w:pPr>
              <w:keepNext/>
              <w:spacing w:after="0"/>
              <w:jc w:val="center"/>
            </w:pPr>
            <w:r/>
            <w:r>
              <w:rPr>
                <w:sz w:val="16"/>
              </w:rPr>
              <w:t>Constant variance in MLR</w:t>
            </w:r>
          </w:p>
        </w:tc>
      </w:tr>
      <w:tr>
        <w:tc>
          <w:tcPr>
            <w:tcW w:type="dxa" w:w="2948"/>
            <w:shd w:val="clear" w:color="auto" w:fill="EEF4FC"/>
          </w:tcPr>
          <w:p>
            <w:pPr>
              <w:keepNext/>
              <w:spacing w:after="0"/>
              <w:jc w:val="left"/>
            </w:pPr>
            <w:r/>
            <w:r>
              <w:rPr>
                <w:b/>
                <w:sz w:val="16"/>
              </w:rPr>
              <w:t>Homoscedasticity — White p</w:t>
            </w:r>
          </w:p>
        </w:tc>
        <w:tc>
          <w:tcPr>
            <w:tcW w:type="dxa" w:w="964"/>
            <w:shd w:val="clear" w:color="auto" w:fill="EEF4FC"/>
          </w:tcPr>
          <w:p>
            <w:pPr>
              <w:keepNext/>
              <w:spacing w:after="0"/>
              <w:jc w:val="center"/>
            </w:pPr>
            <w:r/>
            <w:r>
              <w:rPr>
                <w:sz w:val="16"/>
              </w:rPr>
              <w:t>0.036</w:t>
            </w:r>
          </w:p>
        </w:tc>
        <w:tc>
          <w:tcPr>
            <w:tcW w:type="dxa" w:w="1077"/>
            <w:shd w:val="clear" w:color="auto" w:fill="EEF4FC"/>
          </w:tcPr>
          <w:p>
            <w:pPr>
              <w:keepNext/>
              <w:spacing w:after="0"/>
              <w:jc w:val="center"/>
            </w:pPr>
            <w:r/>
            <w:r>
              <w:rPr>
                <w:sz w:val="16"/>
              </w:rPr>
              <w:t>0.064</w:t>
            </w:r>
          </w:p>
        </w:tc>
        <w:tc>
          <w:tcPr>
            <w:tcW w:type="dxa" w:w="1191"/>
            <w:shd w:val="clear" w:color="auto" w:fill="EEF4FC"/>
          </w:tcPr>
          <w:p>
            <w:pPr>
              <w:keepNext/>
              <w:spacing w:after="0"/>
              <w:jc w:val="center"/>
            </w:pPr>
            <w:r/>
            <w:r>
              <w:rPr>
                <w:sz w:val="16"/>
              </w:rPr>
              <w:t>0.075</w:t>
            </w:r>
          </w:p>
        </w:tc>
        <w:tc>
          <w:tcPr>
            <w:tcW w:type="dxa" w:w="2608"/>
            <w:shd w:val="clear" w:color="auto" w:fill="EEF4FC"/>
          </w:tcPr>
          <w:p>
            <w:pPr>
              <w:keepNext/>
              <w:spacing w:after="0"/>
              <w:jc w:val="center"/>
            </w:pPr>
            <w:r/>
            <w:r>
              <w:rPr>
                <w:sz w:val="16"/>
              </w:rPr>
              <w:t>Not rejected in MLR</w:t>
            </w:r>
          </w:p>
        </w:tc>
      </w:tr>
      <w:tr>
        <w:tc>
          <w:tcPr>
            <w:tcW w:type="dxa" w:w="2948"/>
          </w:tcPr>
          <w:p>
            <w:pPr>
              <w:keepNext/>
              <w:spacing w:after="0"/>
              <w:jc w:val="left"/>
            </w:pPr>
            <w:r/>
            <w:r>
              <w:rPr>
                <w:b/>
                <w:sz w:val="16"/>
              </w:rPr>
              <w:t>Multicollinearity — max VIF</w:t>
            </w:r>
          </w:p>
        </w:tc>
        <w:tc>
          <w:tcPr>
            <w:tcW w:type="dxa" w:w="964"/>
          </w:tcPr>
          <w:p>
            <w:pPr>
              <w:keepNext/>
              <w:spacing w:after="0"/>
              <w:jc w:val="center"/>
            </w:pPr>
            <w:r/>
            <w:r>
              <w:rPr>
                <w:sz w:val="16"/>
              </w:rPr>
              <w:t>1.00</w:t>
            </w:r>
          </w:p>
        </w:tc>
        <w:tc>
          <w:tcPr>
            <w:tcW w:type="dxa" w:w="1077"/>
          </w:tcPr>
          <w:p>
            <w:pPr>
              <w:keepNext/>
              <w:spacing w:after="0"/>
              <w:jc w:val="center"/>
            </w:pPr>
            <w:r/>
            <w:r>
              <w:rPr>
                <w:sz w:val="16"/>
              </w:rPr>
              <w:t>21.11</w:t>
            </w:r>
          </w:p>
        </w:tc>
        <w:tc>
          <w:tcPr>
            <w:tcW w:type="dxa" w:w="1191"/>
          </w:tcPr>
          <w:p>
            <w:pPr>
              <w:keepNext/>
              <w:spacing w:after="0"/>
              <w:jc w:val="center"/>
            </w:pPr>
            <w:r/>
            <w:r>
              <w:rPr>
                <w:sz w:val="16"/>
              </w:rPr>
              <w:t>3.04</w:t>
            </w:r>
          </w:p>
        </w:tc>
        <w:tc>
          <w:tcPr>
            <w:tcW w:type="dxa" w:w="2608"/>
          </w:tcPr>
          <w:p>
            <w:pPr>
              <w:keepNext/>
              <w:spacing w:after="0"/>
              <w:jc w:val="center"/>
            </w:pPr>
            <w:r/>
            <w:r>
              <w:rPr>
                <w:sz w:val="16"/>
              </w:rPr>
              <w:t>Full model fails (VIF &gt; 10)</w:t>
            </w:r>
          </w:p>
        </w:tc>
      </w:tr>
      <w:tr>
        <w:tc>
          <w:tcPr>
            <w:tcW w:type="dxa" w:w="2948"/>
            <w:shd w:val="clear" w:color="auto" w:fill="EEF4FC"/>
          </w:tcPr>
          <w:p>
            <w:pPr>
              <w:keepNext w:val="0"/>
              <w:spacing w:after="0"/>
              <w:jc w:val="left"/>
            </w:pPr>
            <w:r/>
            <w:r>
              <w:rPr>
                <w:b/>
                <w:sz w:val="16"/>
              </w:rPr>
              <w:t>Independence — Durbin-Watson</w:t>
            </w:r>
          </w:p>
        </w:tc>
        <w:tc>
          <w:tcPr>
            <w:tcW w:type="dxa" w:w="964"/>
            <w:shd w:val="clear" w:color="auto" w:fill="EEF4FC"/>
          </w:tcPr>
          <w:p>
            <w:pPr>
              <w:keepNext w:val="0"/>
              <w:spacing w:after="0"/>
              <w:jc w:val="center"/>
            </w:pPr>
            <w:r/>
            <w:r>
              <w:rPr>
                <w:sz w:val="16"/>
              </w:rPr>
              <w:t>0.19</w:t>
            </w:r>
          </w:p>
        </w:tc>
        <w:tc>
          <w:tcPr>
            <w:tcW w:type="dxa" w:w="1077"/>
            <w:shd w:val="clear" w:color="auto" w:fill="EEF4FC"/>
          </w:tcPr>
          <w:p>
            <w:pPr>
              <w:keepNext w:val="0"/>
              <w:spacing w:after="0"/>
              <w:jc w:val="center"/>
            </w:pPr>
            <w:r/>
            <w:r>
              <w:rPr>
                <w:sz w:val="16"/>
              </w:rPr>
              <w:t>0.64</w:t>
            </w:r>
          </w:p>
        </w:tc>
        <w:tc>
          <w:tcPr>
            <w:tcW w:type="dxa" w:w="1191"/>
            <w:shd w:val="clear" w:color="auto" w:fill="EEF4FC"/>
          </w:tcPr>
          <w:p>
            <w:pPr>
              <w:keepNext w:val="0"/>
              <w:spacing w:after="0"/>
              <w:jc w:val="center"/>
            </w:pPr>
            <w:r/>
            <w:r>
              <w:rPr>
                <w:sz w:val="16"/>
              </w:rPr>
              <w:t>0.70</w:t>
            </w:r>
          </w:p>
        </w:tc>
        <w:tc>
          <w:tcPr>
            <w:tcW w:type="dxa" w:w="2608"/>
            <w:shd w:val="clear" w:color="auto" w:fill="EEF4FC"/>
          </w:tcPr>
          <w:p>
            <w:pPr>
              <w:keepNext w:val="0"/>
              <w:spacing w:after="0"/>
              <w:jc w:val="center"/>
            </w:pPr>
            <w:r/>
            <w:r>
              <w:rPr>
                <w:sz w:val="16"/>
              </w:rPr>
              <w:t>Positive autocorrelation → HAC SEs</w:t>
            </w:r>
          </w:p>
        </w:tc>
      </w:tr>
    </w:tbl>
    <w:p>
      <w:pPr>
        <w:spacing w:after="40"/>
      </w:pPr>
    </w:p>
    <w:p>
      <w:pPr>
        <w:jc w:val="center"/>
      </w:pPr>
      <w:r>
        <w:drawing>
          <wp:inline xmlns:a="http://schemas.openxmlformats.org/drawingml/2006/main" xmlns:pic="http://schemas.openxmlformats.org/drawingml/2006/picture">
            <wp:extent cx="5400000" cy="3427352"/>
            <wp:docPr id="5" name="Picture 5"/>
            <wp:cNvGraphicFramePr>
              <a:graphicFrameLocks noChangeAspect="1"/>
            </wp:cNvGraphicFramePr>
            <a:graphic>
              <a:graphicData uri="http://schemas.openxmlformats.org/drawingml/2006/picture">
                <pic:pic>
                  <pic:nvPicPr>
                    <pic:cNvPr id="0" name="fig06_mlr_diagnostics.png"/>
                    <pic:cNvPicPr/>
                  </pic:nvPicPr>
                  <pic:blipFill>
                    <a:blip r:embed="rId13"/>
                    <a:stretch>
                      <a:fillRect/>
                    </a:stretch>
                  </pic:blipFill>
                  <pic:spPr>
                    <a:xfrm>
                      <a:off x="0" y="0"/>
                      <a:ext cx="5400000" cy="3427352"/>
                    </a:xfrm>
                    <a:prstGeom prst="rect"/>
                  </pic:spPr>
                </pic:pic>
              </a:graphicData>
            </a:graphic>
          </wp:inline>
        </w:drawing>
      </w:r>
    </w:p>
    <w:p>
      <w:pPr>
        <w:jc w:val="center"/>
      </w:pPr>
      <w:r>
        <w:rPr>
          <w:i/>
          <w:color w:val="52514E"/>
          <w:sz w:val="17"/>
        </w:rPr>
        <w:t>Figure 6. Residual diagnostics for the full MLR.</w:t>
      </w:r>
    </w:p>
    <w:p>
      <w:r>
        <w:rPr>
          <w:i w:val="0"/>
        </w:rPr>
        <w:t xml:space="preserve">The residuals of both multiple models pass both normality tests (Shapiro-Wilk p ≥ 0.39; Jarque-Bera p ≥ 0.85) and the Breusch-Pagan homoscedasticity test (p ≥ 0.52). The Q-Q plot and residual-versus-fitted plot (Figure 6) show no funnel or curvature. Adding population density removed the heteroscedasticity seen in the simple model. </w:t>
      </w:r>
      <w:r>
        <w:rPr>
          <w:b/>
          <w:i w:val="0"/>
        </w:rPr>
        <w:t>Multicollinearity is the material violation.</w:t>
      </w:r>
      <w:r>
        <w:rPr>
          <w:i w:val="0"/>
        </w:rPr>
        <w:t xml:space="preserve"> Population density and vaccination coverage have VIFs of 20.5 and 21.1 (tolerance &lt; 0.05) because they share a common upward trend. Collinearity inflates their standard errors, which is why vaccination coverage appears non-significant (p = 0.131) despite its plausible protective sign. The </w:t>
      </w:r>
      <w:r>
        <w:rPr>
          <w:b/>
          <w:i w:val="0"/>
        </w:rPr>
        <w:t>refined model</w:t>
      </w:r>
      <w:r>
        <w:rPr>
          <w:i w:val="0"/>
        </w:rPr>
        <w:t xml:space="preserve"> drops vaccination coverage, the weaker of the pair. All VIFs then fall below 3.1 and Adjusted R² barely changes (0.9940 to 0.9938), which confirms that the dropped variable carried redundant information. The Durbin-Watson statistics (0.64–0.70) show positive serial correlation, which is typical of monthly data. Re-estimating with Newey-West HAC standard errors (Newey and West, 1987) leaves every significance conclusion unchanged: flu and population density p &lt; 0.001, Winter p = 0.33.</w:t>
      </w:r>
    </w:p>
    <w:p>
      <w:pPr>
        <w:pStyle w:val="Heading2"/>
      </w:pPr>
      <w:r>
        <w:t>2.4 Interpretation of coefficients and model fit</w:t>
      </w:r>
    </w:p>
    <w:p>
      <w:r>
        <w:rPr>
          <w:i w:val="0"/>
        </w:rPr>
        <w:t>In the refined model, Adjusted R² = 0.9938. The predictors explain 99.4% of the variation in monthly ER visits, and the F-statistic (2,517.9, p &lt; 0.001) rejects the null hypothesis that all slopes are zero. The standard error falls from 117 visits (simple model) to 58, halving typical prediction error. At α = 0.05:</w:t>
      </w:r>
    </w:p>
    <w:p>
      <w:pPr>
        <w:pStyle w:val="ListBullet"/>
      </w:pPr>
      <w:r>
        <w:rPr>
          <w:i w:val="0"/>
        </w:rPr>
      </w:r>
      <w:r>
        <w:rPr>
          <w:b/>
          <w:i w:val="0"/>
        </w:rPr>
        <w:t>Flu/respiratory cases (β = 1.639, p &lt; 0.001; standardised β = 0.93).</w:t>
      </w:r>
      <w:r>
        <w:rPr>
          <w:i w:val="0"/>
        </w:rPr>
        <w:t xml:space="preserve"> Holding population density and season constant, every 100 extra respiratory cases bring about 164 extra ER visits. This is by far the dominant driver. A 10% flu increase at the January 2024 peak (2,140 cases) would add about 351 visits a month.</w:t>
      </w:r>
    </w:p>
    <w:p>
      <w:pPr>
        <w:pStyle w:val="ListBullet"/>
      </w:pPr>
      <w:r>
        <w:rPr>
          <w:i w:val="0"/>
        </w:rPr>
      </w:r>
      <w:r>
        <w:rPr>
          <w:b/>
          <w:i w:val="0"/>
        </w:rPr>
        <w:t>Population density index (β = 31.35, p &lt; 0.001).</w:t>
      </w:r>
      <w:r>
        <w:rPr>
          <w:i w:val="0"/>
        </w:rPr>
        <w:t xml:space="preserve"> Each one-point rise adds about 31 visits a month, independent of infection levels. The index rises about 3.05 points a year, so this implies about 96 extra visits a month every year, roughly 1,150 a year or 1.9% of 2024 volume. This growth is structural and permanent, not seasonal.</w:t>
      </w:r>
    </w:p>
    <w:p>
      <w:pPr>
        <w:pStyle w:val="ListBullet"/>
      </w:pPr>
      <w:r>
        <w:rPr>
          <w:i w:val="0"/>
        </w:rPr>
      </w:r>
      <w:r>
        <w:rPr>
          <w:b/>
          <w:i w:val="0"/>
        </w:rPr>
        <w:t>Winter dummy (β = 22.7, p = 0.48).</w:t>
      </w:r>
      <w:r>
        <w:rPr>
          <w:i w:val="0"/>
        </w:rPr>
        <w:t xml:space="preserve"> Not significant, so the null hypothesis cannot be rejected. Once infection levels are known, the calendar has no extra explanatory power. Winter pressure works *through* respiratory illness, so monitoring infections gives a better planning signal than the calendar.</w:t>
      </w:r>
    </w:p>
    <w:p>
      <w:pPr>
        <w:pStyle w:val="ListBullet"/>
      </w:pPr>
      <w:r>
        <w:rPr>
          <w:i w:val="0"/>
        </w:rPr>
      </w:r>
      <w:r>
        <w:rPr>
          <w:b/>
          <w:i w:val="0"/>
        </w:rPr>
        <w:t>Vaccination coverage (full model β = −8.15 per percentage point, p = 0.131).</w:t>
      </w:r>
      <w:r>
        <w:rPr>
          <w:i w:val="0"/>
        </w:rPr>
        <w:t xml:space="preserve"> The sign suggests protection (fewer visits as coverage rises), but the effect cannot be statistically separated from population growth with 48 observations. It should be read as suggestive, not proven.</w:t>
      </w:r>
    </w:p>
    <w:p>
      <w:r>
        <w:rPr>
          <w:i w:val="0"/>
        </w:rPr>
      </w:r>
      <w:r>
        <w:rPr>
          <w:b/>
          <w:i w:val="0"/>
        </w:rPr>
        <w:t>Implications for leadership.</w:t>
      </w:r>
      <w:r>
        <w:rPr>
          <w:i w:val="0"/>
        </w:rPr>
        <w:t xml:space="preserve"> First, the coefficients set a quantitative staffing rule: each 1,000 forecast respiratory cases implies about 1,640 ER visits, or about 53 visits a day, which supports flu-indexed rostering. Second, population growth calls for a permanent annual uplift in baseline ER capacity of about 2%, funded through the recurrent budget rather than winter contingencies. Third, a supplementary regression of expenditure on ER visits (R² = 0.996) gives a </w:t>
      </w:r>
      <w:r>
        <w:rPr>
          <w:b/>
          <w:i w:val="0"/>
        </w:rPr>
        <w:t>marginal cost of about $200 per ER visit</w:t>
      </w:r>
      <w:r>
        <w:rPr>
          <w:i w:val="0"/>
        </w:rPr>
        <w:t>. This converts volume forecasts into budget lines and lets each avoided visit be valued, for example when appraising vaccination outreach.</w:t>
      </w:r>
    </w:p>
    <w:p>
      <w:pPr>
        <w:pStyle w:val="Heading1"/>
      </w:pPr>
      <w:r>
        <w:t>Section 3 — Time Series Forecasting (Unit 6)</w:t>
      </w:r>
    </w:p>
    <w:p>
      <w:pPr>
        <w:pStyle w:val="Heading2"/>
      </w:pPr>
      <w:r>
        <w:t>3.1 Decomposition and structural components</w:t>
      </w:r>
    </w:p>
    <w:p>
      <w:pPr>
        <w:jc w:val="center"/>
      </w:pPr>
      <w:r>
        <w:drawing>
          <wp:inline xmlns:a="http://schemas.openxmlformats.org/drawingml/2006/main" xmlns:pic="http://schemas.openxmlformats.org/drawingml/2006/picture">
            <wp:extent cx="5400000" cy="4115823"/>
            <wp:docPr id="6" name="Picture 6"/>
            <wp:cNvGraphicFramePr>
              <a:graphicFrameLocks noChangeAspect="1"/>
            </wp:cNvGraphicFramePr>
            <a:graphic>
              <a:graphicData uri="http://schemas.openxmlformats.org/drawingml/2006/picture">
                <pic:pic>
                  <pic:nvPicPr>
                    <pic:cNvPr id="0" name="fig07_decomposition.png"/>
                    <pic:cNvPicPr/>
                  </pic:nvPicPr>
                  <pic:blipFill>
                    <a:blip r:embed="rId14"/>
                    <a:stretch>
                      <a:fillRect/>
                    </a:stretch>
                  </pic:blipFill>
                  <pic:spPr>
                    <a:xfrm>
                      <a:off x="0" y="0"/>
                      <a:ext cx="5400000" cy="4115823"/>
                    </a:xfrm>
                    <a:prstGeom prst="rect"/>
                  </pic:spPr>
                </pic:pic>
              </a:graphicData>
            </a:graphic>
          </wp:inline>
        </w:drawing>
      </w:r>
    </w:p>
    <w:p>
      <w:pPr>
        <w:jc w:val="center"/>
      </w:pPr>
      <w:r>
        <w:rPr>
          <w:i/>
          <w:color w:val="52514E"/>
          <w:sz w:val="17"/>
        </w:rPr>
        <w:t>Figure 7. Multiplicative decomposition of ER visits into trend, seasonal and irregular components.</w:t>
      </w:r>
    </w:p>
    <w:p>
      <w:r>
        <w:rPr>
          <w:i w:val="0"/>
        </w:rPr>
        <w:t xml:space="preserve">A classical decomposition (Figure 7) split the 48-month ER series into three parts. The </w:t>
      </w:r>
      <w:r>
        <w:rPr>
          <w:b/>
          <w:i w:val="0"/>
        </w:rPr>
        <w:t>trend</w:t>
      </w:r>
      <w:r>
        <w:rPr>
          <w:i w:val="0"/>
        </w:rPr>
        <w:t xml:space="preserve">, a 2×12 centred moving average, rises steadily from about 4,280 to about 5,160 visits, and its slope eases after 2022. The </w:t>
      </w:r>
      <w:r>
        <w:rPr>
          <w:b/>
          <w:i w:val="0"/>
        </w:rPr>
        <w:t>seasonality</w:t>
      </w:r>
      <w:r>
        <w:rPr>
          <w:i w:val="0"/>
        </w:rPr>
        <w:t xml:space="preserve"> has a 12-month periodicity: the indices peak in January (1.249) and December (1.196), bottom out in June (0.832), and show a small July shoulder (0.841). The </w:t>
      </w:r>
      <w:r>
        <w:rPr>
          <w:b/>
          <w:i w:val="0"/>
        </w:rPr>
        <w:t>irregular component</w:t>
      </w:r>
      <w:r>
        <w:rPr>
          <w:i w:val="0"/>
        </w:rPr>
        <w:t xml:space="preserve"> is very small, with a residual standard deviation of just 10 visits under the multiplicative form. Business-cycle effects were not separately identifiable over four years and are absorbed into the trend.</w:t>
      </w:r>
    </w:p>
    <w:p>
      <w:pPr>
        <w:jc w:val="center"/>
      </w:pPr>
      <w:r>
        <w:drawing>
          <wp:inline xmlns:a="http://schemas.openxmlformats.org/drawingml/2006/main" xmlns:pic="http://schemas.openxmlformats.org/drawingml/2006/picture">
            <wp:extent cx="5580000" cy="1932423"/>
            <wp:docPr id="7" name="Picture 7"/>
            <wp:cNvGraphicFramePr>
              <a:graphicFrameLocks noChangeAspect="1"/>
            </wp:cNvGraphicFramePr>
            <a:graphic>
              <a:graphicData uri="http://schemas.openxmlformats.org/drawingml/2006/picture">
                <pic:pic>
                  <pic:nvPicPr>
                    <pic:cNvPr id="0" name="fig08_seasonal_plot.png"/>
                    <pic:cNvPicPr/>
                  </pic:nvPicPr>
                  <pic:blipFill>
                    <a:blip r:embed="rId15"/>
                    <a:stretch>
                      <a:fillRect/>
                    </a:stretch>
                  </pic:blipFill>
                  <pic:spPr>
                    <a:xfrm>
                      <a:off x="0" y="0"/>
                      <a:ext cx="5580000" cy="1932423"/>
                    </a:xfrm>
                    <a:prstGeom prst="rect"/>
                  </pic:spPr>
                </pic:pic>
              </a:graphicData>
            </a:graphic>
          </wp:inline>
        </w:drawing>
      </w:r>
    </w:p>
    <w:p>
      <w:pPr>
        <w:jc w:val="center"/>
      </w:pPr>
      <w:r>
        <w:rPr>
          <w:i/>
          <w:color w:val="52514E"/>
          <w:sz w:val="17"/>
        </w:rPr>
        <w:t>Figure 8. Seasonal plot: raw profiles (left) and profiles divided by the annual mean (right).</w:t>
      </w:r>
    </w:p>
    <w:p>
      <w:r>
        <w:rPr>
          <w:i w:val="0"/>
        </w:rPr>
      </w:r>
      <w:r>
        <w:rPr>
          <w:b/>
          <w:i w:val="0"/>
        </w:rPr>
        <w:t>Additive or multiplicative?</w:t>
      </w:r>
      <w:r>
        <w:rPr>
          <w:i w:val="0"/>
        </w:rPr>
        <w:t xml:space="preserve"> The line graphs (Figure 8) show the seasonal swing widening as the level rises: the peak-to-trough range grows from 1,760 to 1,850, 1,940 and 2,050 visits. Meanwhile, the peak-to-trough *ratio* stays almost constant (1.492, 1.479, 1.475, 1.478). Once each year is divided by its annual mean, the four curves sit on top of one another. Seasonal fluctuations are therefore proportional to the level, which makes them </w:t>
      </w:r>
      <w:r>
        <w:rPr>
          <w:b/>
          <w:i w:val="0"/>
        </w:rPr>
        <w:t>multiplicative</w:t>
      </w:r>
      <w:r>
        <w:rPr>
          <w:i w:val="0"/>
        </w:rPr>
        <w:t>. This is confirmed by the irregular-component standard deviation: 10.0 visits for the multiplicative form against 35.7 for the additive.</w:t>
      </w:r>
    </w:p>
    <w:p>
      <w:pPr>
        <w:pStyle w:val="Heading2"/>
      </w:pPr>
      <w:r>
        <w:t>3.2 Moving averages</w:t>
      </w:r>
    </w:p>
    <w:p>
      <w:pPr>
        <w:jc w:val="center"/>
      </w:pPr>
      <w:r>
        <w:drawing>
          <wp:inline xmlns:a="http://schemas.openxmlformats.org/drawingml/2006/main" xmlns:pic="http://schemas.openxmlformats.org/drawingml/2006/picture">
            <wp:extent cx="5832000" cy="1992265"/>
            <wp:docPr id="8" name="Picture 8"/>
            <wp:cNvGraphicFramePr>
              <a:graphicFrameLocks noChangeAspect="1"/>
            </wp:cNvGraphicFramePr>
            <a:graphic>
              <a:graphicData uri="http://schemas.openxmlformats.org/drawingml/2006/picture">
                <pic:pic>
                  <pic:nvPicPr>
                    <pic:cNvPr id="0" name="fig09_sma.png"/>
                    <pic:cNvPicPr/>
                  </pic:nvPicPr>
                  <pic:blipFill>
                    <a:blip r:embed="rId16"/>
                    <a:stretch>
                      <a:fillRect/>
                    </a:stretch>
                  </pic:blipFill>
                  <pic:spPr>
                    <a:xfrm>
                      <a:off x="0" y="0"/>
                      <a:ext cx="5832000" cy="1992265"/>
                    </a:xfrm>
                    <a:prstGeom prst="rect"/>
                  </pic:spPr>
                </pic:pic>
              </a:graphicData>
            </a:graphic>
          </wp:inline>
        </w:drawing>
      </w:r>
    </w:p>
    <w:p>
      <w:pPr>
        <w:jc w:val="center"/>
      </w:pPr>
      <w:r>
        <w:rPr>
          <w:i/>
          <w:color w:val="52514E"/>
          <w:sz w:val="17"/>
        </w:rPr>
        <w:t>Figure 9. 3-month and 6-month simple moving averages.</w:t>
      </w:r>
    </w:p>
    <w:p>
      <w:r>
        <w:rPr>
          <w:i w:val="0"/>
        </w:rPr>
        <w:t xml:space="preserve">The 3-month and 6-month SMAs (Figure 9) smooth the noise but, by construction, </w:t>
      </w:r>
      <w:r>
        <w:rPr>
          <w:b/>
          <w:i w:val="0"/>
        </w:rPr>
        <w:t>lag the turning points</w:t>
      </w:r>
      <w:r>
        <w:rPr>
          <w:i w:val="0"/>
        </w:rPr>
        <w:t xml:space="preserve"> by about one and three months. The 6-month SMA almost flattens the seasonal cycle. Used as one-step-ahead forecasts, they under-predict every autumn ramp-up and over-predict every spring decline. These are exactly the months when staffing decisions matter most.</w:t>
      </w:r>
    </w:p>
    <w:p>
      <w:pPr>
        <w:pStyle w:val="Heading2"/>
      </w:pPr>
      <w:r>
        <w:t>3.3 Holt-Winters exponential smoothing</w:t>
      </w:r>
    </w:p>
    <w:p>
      <w:r>
        <w:rPr>
          <w:i w:val="0"/>
        </w:rPr>
        <w:t>A multiplicative Holt-Winters model (Winters, 1960) updates three components each month: level (α), trend (β) and seasonality (γ). Initial seasonal indices came from the ratio-to-moving-average decomposition, and the initial level and trend from a linear fit to the deseasonalised series. The parameters were chosen to minimise the in-sample one-step-ahead sum of squared errors. The fitted values are α = 0.99, β = 0.01 and γ = 0.44 on the training window (γ = 0.19 on the full series). In practice this means the level tracks each new observation almost fully, the trend slope is very stable at about +25 visits a month, and the seasonal shape adapts gradually. These values suit a low-noise, highly persistent series. The workbook reproduces the full recursion with cell formulas (sheets HW_Holdout and HW_Final_2025), so Excel Solver can re-optimise the parameters.</w:t>
      </w:r>
    </w:p>
    <w:p>
      <w:pPr>
        <w:pStyle w:val="Heading2"/>
      </w:pPr>
      <w:r>
        <w:t>3.4 Out-of-sample evaluation</w:t>
      </w:r>
    </w:p>
    <w:p>
      <w:pPr>
        <w:keepNext/>
        <w:spacing w:after="40"/>
      </w:pPr>
      <w:r>
        <w:rPr>
          <w:b/>
          <w:color w:val="0D366B"/>
          <w:sz w:val="18"/>
        </w:rPr>
        <w:t>Table 6. Forecast accuracy on the 12-month 2024 hold-out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4082"/>
            <w:shd w:val="clear" w:color="auto" w:fill="1C5CAB"/>
          </w:tcPr>
          <w:p>
            <w:pPr>
              <w:keepNext/>
              <w:spacing w:after="0"/>
              <w:jc w:val="left"/>
            </w:pPr>
            <w:r/>
            <w:r>
              <w:rPr>
                <w:b/>
                <w:color w:val="FFFFFF"/>
                <w:sz w:val="17"/>
              </w:rPr>
              <w:t>Model (trained 2021–2023, tested 2024)</w:t>
            </w:r>
          </w:p>
        </w:tc>
        <w:tc>
          <w:tcPr>
            <w:tcW w:type="dxa" w:w="1134"/>
            <w:shd w:val="clear" w:color="auto" w:fill="1C5CAB"/>
          </w:tcPr>
          <w:p>
            <w:pPr>
              <w:keepNext/>
              <w:spacing w:after="0"/>
              <w:jc w:val="center"/>
            </w:pPr>
            <w:r/>
            <w:r>
              <w:rPr>
                <w:b/>
                <w:color w:val="FFFFFF"/>
                <w:sz w:val="17"/>
              </w:rPr>
              <w:t>MAPE %</w:t>
            </w:r>
          </w:p>
        </w:tc>
        <w:tc>
          <w:tcPr>
            <w:tcW w:type="dxa" w:w="1134"/>
            <w:shd w:val="clear" w:color="auto" w:fill="1C5CAB"/>
          </w:tcPr>
          <w:p>
            <w:pPr>
              <w:keepNext/>
              <w:spacing w:after="0"/>
              <w:jc w:val="center"/>
            </w:pPr>
            <w:r/>
            <w:r>
              <w:rPr>
                <w:b/>
                <w:color w:val="FFFFFF"/>
                <w:sz w:val="17"/>
              </w:rPr>
              <w:t>RMSE</w:t>
            </w:r>
          </w:p>
        </w:tc>
        <w:tc>
          <w:tcPr>
            <w:tcW w:type="dxa" w:w="1134"/>
            <w:shd w:val="clear" w:color="auto" w:fill="1C5CAB"/>
          </w:tcPr>
          <w:p>
            <w:pPr>
              <w:keepNext/>
              <w:spacing w:after="0"/>
              <w:jc w:val="center"/>
            </w:pPr>
            <w:r/>
            <w:r>
              <w:rPr>
                <w:b/>
                <w:color w:val="FFFFFF"/>
                <w:sz w:val="17"/>
              </w:rPr>
              <w:t>MAE</w:t>
            </w:r>
          </w:p>
        </w:tc>
        <w:tc>
          <w:tcPr>
            <w:tcW w:type="dxa" w:w="1134"/>
            <w:shd w:val="clear" w:color="auto" w:fill="1C5CAB"/>
          </w:tcPr>
          <w:p>
            <w:pPr>
              <w:keepNext/>
              <w:spacing w:after="0"/>
              <w:jc w:val="center"/>
            </w:pPr>
            <w:r/>
            <w:r>
              <w:rPr>
                <w:b/>
                <w:color w:val="FFFFFF"/>
                <w:sz w:val="17"/>
              </w:rPr>
              <w:t>Bias</w:t>
            </w:r>
          </w:p>
        </w:tc>
      </w:tr>
      <w:tr>
        <w:tc>
          <w:tcPr>
            <w:tcW w:type="dxa" w:w="4082"/>
          </w:tcPr>
          <w:p>
            <w:pPr>
              <w:keepNext/>
              <w:spacing w:after="0"/>
              <w:jc w:val="left"/>
            </w:pPr>
            <w:r/>
            <w:r>
              <w:rPr>
                <w:b/>
                <w:sz w:val="17"/>
              </w:rPr>
              <w:t>HW multiplicative (selected)</w:t>
            </w:r>
          </w:p>
        </w:tc>
        <w:tc>
          <w:tcPr>
            <w:tcW w:type="dxa" w:w="1134"/>
          </w:tcPr>
          <w:p>
            <w:pPr>
              <w:keepNext/>
              <w:spacing w:after="0"/>
              <w:jc w:val="center"/>
            </w:pPr>
            <w:r/>
            <w:r>
              <w:rPr>
                <w:sz w:val="17"/>
              </w:rPr>
              <w:t>0.79</w:t>
            </w:r>
          </w:p>
        </w:tc>
        <w:tc>
          <w:tcPr>
            <w:tcW w:type="dxa" w:w="1134"/>
          </w:tcPr>
          <w:p>
            <w:pPr>
              <w:keepNext/>
              <w:spacing w:after="0"/>
              <w:jc w:val="center"/>
            </w:pPr>
            <w:r/>
            <w:r>
              <w:rPr>
                <w:sz w:val="17"/>
              </w:rPr>
              <w:t>43.4</w:t>
            </w:r>
          </w:p>
        </w:tc>
        <w:tc>
          <w:tcPr>
            <w:tcW w:type="dxa" w:w="1134"/>
          </w:tcPr>
          <w:p>
            <w:pPr>
              <w:keepNext/>
              <w:spacing w:after="0"/>
              <w:jc w:val="center"/>
            </w:pPr>
            <w:r/>
            <w:r>
              <w:rPr>
                <w:sz w:val="17"/>
              </w:rPr>
              <w:t>40.4</w:t>
            </w:r>
          </w:p>
        </w:tc>
        <w:tc>
          <w:tcPr>
            <w:tcW w:type="dxa" w:w="1134"/>
          </w:tcPr>
          <w:p>
            <w:pPr>
              <w:keepNext/>
              <w:spacing w:after="0"/>
              <w:jc w:val="center"/>
            </w:pPr>
            <w:r/>
            <w:r>
              <w:rPr>
                <w:sz w:val="17"/>
              </w:rPr>
              <w:t>40.4</w:t>
            </w:r>
          </w:p>
        </w:tc>
      </w:tr>
      <w:tr>
        <w:tc>
          <w:tcPr>
            <w:tcW w:type="dxa" w:w="4082"/>
            <w:shd w:val="clear" w:color="auto" w:fill="EEF4FC"/>
          </w:tcPr>
          <w:p>
            <w:pPr>
              <w:keepNext/>
              <w:spacing w:after="0"/>
              <w:jc w:val="left"/>
            </w:pPr>
            <w:r/>
            <w:r>
              <w:rPr>
                <w:b/>
                <w:sz w:val="17"/>
              </w:rPr>
              <w:t>HW multiplicative (statsmodels)</w:t>
            </w:r>
          </w:p>
        </w:tc>
        <w:tc>
          <w:tcPr>
            <w:tcW w:type="dxa" w:w="1134"/>
            <w:shd w:val="clear" w:color="auto" w:fill="EEF4FC"/>
          </w:tcPr>
          <w:p>
            <w:pPr>
              <w:keepNext/>
              <w:spacing w:after="0"/>
              <w:jc w:val="center"/>
            </w:pPr>
            <w:r/>
            <w:r>
              <w:rPr>
                <w:sz w:val="17"/>
              </w:rPr>
              <w:t>0.95</w:t>
            </w:r>
          </w:p>
        </w:tc>
        <w:tc>
          <w:tcPr>
            <w:tcW w:type="dxa" w:w="1134"/>
            <w:shd w:val="clear" w:color="auto" w:fill="EEF4FC"/>
          </w:tcPr>
          <w:p>
            <w:pPr>
              <w:keepNext/>
              <w:spacing w:after="0"/>
              <w:jc w:val="center"/>
            </w:pPr>
            <w:r/>
            <w:r>
              <w:rPr>
                <w:sz w:val="17"/>
              </w:rPr>
              <w:t>57.2</w:t>
            </w:r>
          </w:p>
        </w:tc>
        <w:tc>
          <w:tcPr>
            <w:tcW w:type="dxa" w:w="1134"/>
            <w:shd w:val="clear" w:color="auto" w:fill="EEF4FC"/>
          </w:tcPr>
          <w:p>
            <w:pPr>
              <w:keepNext/>
              <w:spacing w:after="0"/>
              <w:jc w:val="center"/>
            </w:pPr>
            <w:r/>
            <w:r>
              <w:rPr>
                <w:sz w:val="17"/>
              </w:rPr>
              <w:t>49.5</w:t>
            </w:r>
          </w:p>
        </w:tc>
        <w:tc>
          <w:tcPr>
            <w:tcW w:type="dxa" w:w="1134"/>
            <w:shd w:val="clear" w:color="auto" w:fill="EEF4FC"/>
          </w:tcPr>
          <w:p>
            <w:pPr>
              <w:keepNext/>
              <w:spacing w:after="0"/>
              <w:jc w:val="center"/>
            </w:pPr>
            <w:r/>
            <w:r>
              <w:rPr>
                <w:sz w:val="17"/>
              </w:rPr>
              <w:t>-14.8</w:t>
            </w:r>
          </w:p>
        </w:tc>
      </w:tr>
      <w:tr>
        <w:tc>
          <w:tcPr>
            <w:tcW w:type="dxa" w:w="4082"/>
          </w:tcPr>
          <w:p>
            <w:pPr>
              <w:keepNext/>
              <w:spacing w:after="0"/>
              <w:jc w:val="left"/>
            </w:pPr>
            <w:r/>
            <w:r>
              <w:rPr>
                <w:b/>
                <w:sz w:val="17"/>
              </w:rPr>
              <w:t>Seasonal naïve</w:t>
            </w:r>
          </w:p>
        </w:tc>
        <w:tc>
          <w:tcPr>
            <w:tcW w:type="dxa" w:w="1134"/>
          </w:tcPr>
          <w:p>
            <w:pPr>
              <w:keepNext/>
              <w:spacing w:after="0"/>
              <w:jc w:val="center"/>
            </w:pPr>
            <w:r/>
            <w:r>
              <w:rPr>
                <w:sz w:val="17"/>
              </w:rPr>
              <w:t>5.02</w:t>
            </w:r>
          </w:p>
        </w:tc>
        <w:tc>
          <w:tcPr>
            <w:tcW w:type="dxa" w:w="1134"/>
          </w:tcPr>
          <w:p>
            <w:pPr>
              <w:keepNext/>
              <w:spacing w:after="0"/>
              <w:jc w:val="center"/>
            </w:pPr>
            <w:r/>
            <w:r>
              <w:rPr>
                <w:sz w:val="17"/>
              </w:rPr>
              <w:t>262.9</w:t>
            </w:r>
          </w:p>
        </w:tc>
        <w:tc>
          <w:tcPr>
            <w:tcW w:type="dxa" w:w="1134"/>
          </w:tcPr>
          <w:p>
            <w:pPr>
              <w:keepNext/>
              <w:spacing w:after="0"/>
              <w:jc w:val="center"/>
            </w:pPr>
            <w:r/>
            <w:r>
              <w:rPr>
                <w:sz w:val="17"/>
              </w:rPr>
              <w:t>260.0</w:t>
            </w:r>
          </w:p>
        </w:tc>
        <w:tc>
          <w:tcPr>
            <w:tcW w:type="dxa" w:w="1134"/>
          </w:tcPr>
          <w:p>
            <w:pPr>
              <w:keepNext/>
              <w:spacing w:after="0"/>
              <w:jc w:val="center"/>
            </w:pPr>
            <w:r/>
            <w:r>
              <w:rPr>
                <w:sz w:val="17"/>
              </w:rPr>
              <w:t>-260.0</w:t>
            </w:r>
          </w:p>
        </w:tc>
      </w:tr>
      <w:tr>
        <w:tc>
          <w:tcPr>
            <w:tcW w:type="dxa" w:w="4082"/>
            <w:shd w:val="clear" w:color="auto" w:fill="EEF4FC"/>
          </w:tcPr>
          <w:p>
            <w:pPr>
              <w:keepNext/>
              <w:spacing w:after="0"/>
              <w:jc w:val="left"/>
            </w:pPr>
            <w:r/>
            <w:r>
              <w:rPr>
                <w:b/>
                <w:sz w:val="17"/>
              </w:rPr>
              <w:t>HW additive (statsmodels)</w:t>
            </w:r>
          </w:p>
        </w:tc>
        <w:tc>
          <w:tcPr>
            <w:tcW w:type="dxa" w:w="1134"/>
            <w:shd w:val="clear" w:color="auto" w:fill="EEF4FC"/>
          </w:tcPr>
          <w:p>
            <w:pPr>
              <w:keepNext/>
              <w:spacing w:after="0"/>
              <w:jc w:val="center"/>
            </w:pPr>
            <w:r/>
            <w:r>
              <w:rPr>
                <w:sz w:val="17"/>
              </w:rPr>
              <w:t>5.24</w:t>
            </w:r>
          </w:p>
        </w:tc>
        <w:tc>
          <w:tcPr>
            <w:tcW w:type="dxa" w:w="1134"/>
            <w:shd w:val="clear" w:color="auto" w:fill="EEF4FC"/>
          </w:tcPr>
          <w:p>
            <w:pPr>
              <w:keepNext/>
              <w:spacing w:after="0"/>
              <w:jc w:val="center"/>
            </w:pPr>
            <w:r/>
            <w:r>
              <w:rPr>
                <w:sz w:val="17"/>
              </w:rPr>
              <w:t>274.6</w:t>
            </w:r>
          </w:p>
        </w:tc>
        <w:tc>
          <w:tcPr>
            <w:tcW w:type="dxa" w:w="1134"/>
            <w:shd w:val="clear" w:color="auto" w:fill="EEF4FC"/>
          </w:tcPr>
          <w:p>
            <w:pPr>
              <w:keepNext/>
              <w:spacing w:after="0"/>
              <w:jc w:val="center"/>
            </w:pPr>
            <w:r/>
            <w:r>
              <w:rPr>
                <w:sz w:val="17"/>
              </w:rPr>
              <w:t>253.0</w:t>
            </w:r>
          </w:p>
        </w:tc>
        <w:tc>
          <w:tcPr>
            <w:tcW w:type="dxa" w:w="1134"/>
            <w:shd w:val="clear" w:color="auto" w:fill="EEF4FC"/>
          </w:tcPr>
          <w:p>
            <w:pPr>
              <w:keepNext/>
              <w:spacing w:after="0"/>
              <w:jc w:val="center"/>
            </w:pPr>
            <w:r/>
            <w:r>
              <w:rPr>
                <w:sz w:val="17"/>
              </w:rPr>
              <w:t>250.5</w:t>
            </w:r>
          </w:p>
        </w:tc>
      </w:tr>
      <w:tr>
        <w:tc>
          <w:tcPr>
            <w:tcW w:type="dxa" w:w="4082"/>
          </w:tcPr>
          <w:p>
            <w:pPr>
              <w:keepNext/>
              <w:spacing w:after="0"/>
              <w:jc w:val="left"/>
            </w:pPr>
            <w:r/>
            <w:r>
              <w:rPr>
                <w:b/>
                <w:sz w:val="17"/>
              </w:rPr>
              <w:t>SMA6 (flat, 12-step)</w:t>
            </w:r>
          </w:p>
        </w:tc>
        <w:tc>
          <w:tcPr>
            <w:tcW w:type="dxa" w:w="1134"/>
          </w:tcPr>
          <w:p>
            <w:pPr>
              <w:keepNext/>
              <w:spacing w:after="0"/>
              <w:jc w:val="center"/>
            </w:pPr>
            <w:r/>
            <w:r>
              <w:rPr>
                <w:sz w:val="17"/>
              </w:rPr>
              <w:t>11.65</w:t>
            </w:r>
          </w:p>
        </w:tc>
        <w:tc>
          <w:tcPr>
            <w:tcW w:type="dxa" w:w="1134"/>
          </w:tcPr>
          <w:p>
            <w:pPr>
              <w:keepNext/>
              <w:spacing w:after="0"/>
              <w:jc w:val="center"/>
            </w:pPr>
            <w:r/>
            <w:r>
              <w:rPr>
                <w:sz w:val="17"/>
              </w:rPr>
              <w:t>743.4</w:t>
            </w:r>
          </w:p>
        </w:tc>
        <w:tc>
          <w:tcPr>
            <w:tcW w:type="dxa" w:w="1134"/>
          </w:tcPr>
          <w:p>
            <w:pPr>
              <w:keepNext/>
              <w:spacing w:after="0"/>
              <w:jc w:val="center"/>
            </w:pPr>
            <w:r/>
            <w:r>
              <w:rPr>
                <w:sz w:val="17"/>
              </w:rPr>
              <w:t>625.0</w:t>
            </w:r>
          </w:p>
        </w:tc>
        <w:tc>
          <w:tcPr>
            <w:tcW w:type="dxa" w:w="1134"/>
          </w:tcPr>
          <w:p>
            <w:pPr>
              <w:keepNext/>
              <w:spacing w:after="0"/>
              <w:jc w:val="center"/>
            </w:pPr>
            <w:r/>
            <w:r>
              <w:rPr>
                <w:sz w:val="17"/>
              </w:rPr>
              <w:t>-201.7</w:t>
            </w:r>
          </w:p>
        </w:tc>
      </w:tr>
      <w:tr>
        <w:tc>
          <w:tcPr>
            <w:tcW w:type="dxa" w:w="4082"/>
            <w:shd w:val="clear" w:color="auto" w:fill="EEF4FC"/>
          </w:tcPr>
          <w:p>
            <w:pPr>
              <w:keepNext/>
              <w:spacing w:after="0"/>
              <w:jc w:val="left"/>
            </w:pPr>
            <w:r/>
            <w:r>
              <w:rPr>
                <w:b/>
                <w:sz w:val="17"/>
              </w:rPr>
              <w:t>SMA3 (rolling 1-step)</w:t>
            </w:r>
          </w:p>
        </w:tc>
        <w:tc>
          <w:tcPr>
            <w:tcW w:type="dxa" w:w="1134"/>
            <w:shd w:val="clear" w:color="auto" w:fill="EEF4FC"/>
          </w:tcPr>
          <w:p>
            <w:pPr>
              <w:keepNext/>
              <w:spacing w:after="0"/>
              <w:jc w:val="center"/>
            </w:pPr>
            <w:r/>
            <w:r>
              <w:rPr>
                <w:sz w:val="17"/>
              </w:rPr>
              <w:t>12.07</w:t>
            </w:r>
          </w:p>
        </w:tc>
        <w:tc>
          <w:tcPr>
            <w:tcW w:type="dxa" w:w="1134"/>
            <w:shd w:val="clear" w:color="auto" w:fill="EEF4FC"/>
          </w:tcPr>
          <w:p>
            <w:pPr>
              <w:keepNext/>
              <w:spacing w:after="0"/>
              <w:jc w:val="center"/>
            </w:pPr>
            <w:r/>
            <w:r>
              <w:rPr>
                <w:sz w:val="17"/>
              </w:rPr>
              <w:t>701.6</w:t>
            </w:r>
          </w:p>
        </w:tc>
        <w:tc>
          <w:tcPr>
            <w:tcW w:type="dxa" w:w="1134"/>
            <w:shd w:val="clear" w:color="auto" w:fill="EEF4FC"/>
          </w:tcPr>
          <w:p>
            <w:pPr>
              <w:keepNext/>
              <w:spacing w:after="0"/>
              <w:jc w:val="center"/>
            </w:pPr>
            <w:r/>
            <w:r>
              <w:rPr>
                <w:sz w:val="17"/>
              </w:rPr>
              <w:t>629.2</w:t>
            </w:r>
          </w:p>
        </w:tc>
        <w:tc>
          <w:tcPr>
            <w:tcW w:type="dxa" w:w="1134"/>
            <w:shd w:val="clear" w:color="auto" w:fill="EEF4FC"/>
          </w:tcPr>
          <w:p>
            <w:pPr>
              <w:keepNext/>
              <w:spacing w:after="0"/>
              <w:jc w:val="center"/>
            </w:pPr>
            <w:r/>
            <w:r>
              <w:rPr>
                <w:sz w:val="17"/>
              </w:rPr>
              <w:t>-50.3</w:t>
            </w:r>
          </w:p>
        </w:tc>
      </w:tr>
      <w:tr>
        <w:tc>
          <w:tcPr>
            <w:tcW w:type="dxa" w:w="4082"/>
          </w:tcPr>
          <w:p>
            <w:pPr>
              <w:keepNext/>
              <w:spacing w:after="0"/>
              <w:jc w:val="left"/>
            </w:pPr>
            <w:r/>
            <w:r>
              <w:rPr>
                <w:b/>
                <w:sz w:val="17"/>
              </w:rPr>
              <w:t>SMA3 (flat, 12-step)</w:t>
            </w:r>
          </w:p>
        </w:tc>
        <w:tc>
          <w:tcPr>
            <w:tcW w:type="dxa" w:w="1134"/>
          </w:tcPr>
          <w:p>
            <w:pPr>
              <w:keepNext/>
              <w:spacing w:after="0"/>
              <w:jc w:val="center"/>
            </w:pPr>
            <w:r/>
            <w:r>
              <w:rPr>
                <w:sz w:val="17"/>
              </w:rPr>
              <w:t>14.95</w:t>
            </w:r>
          </w:p>
        </w:tc>
        <w:tc>
          <w:tcPr>
            <w:tcW w:type="dxa" w:w="1134"/>
          </w:tcPr>
          <w:p>
            <w:pPr>
              <w:keepNext/>
              <w:spacing w:after="0"/>
              <w:jc w:val="center"/>
            </w:pPr>
            <w:r/>
            <w:r>
              <w:rPr>
                <w:sz w:val="17"/>
              </w:rPr>
              <w:t>811.7</w:t>
            </w:r>
          </w:p>
        </w:tc>
        <w:tc>
          <w:tcPr>
            <w:tcW w:type="dxa" w:w="1134"/>
          </w:tcPr>
          <w:p>
            <w:pPr>
              <w:keepNext/>
              <w:spacing w:after="0"/>
              <w:jc w:val="center"/>
            </w:pPr>
            <w:r/>
            <w:r>
              <w:rPr>
                <w:sz w:val="17"/>
              </w:rPr>
              <w:t>725.6</w:t>
            </w:r>
          </w:p>
        </w:tc>
        <w:tc>
          <w:tcPr>
            <w:tcW w:type="dxa" w:w="1134"/>
          </w:tcPr>
          <w:p>
            <w:pPr>
              <w:keepNext/>
              <w:spacing w:after="0"/>
              <w:jc w:val="center"/>
            </w:pPr>
            <w:r/>
            <w:r>
              <w:rPr>
                <w:sz w:val="17"/>
              </w:rPr>
              <w:t>383.3</w:t>
            </w:r>
          </w:p>
        </w:tc>
      </w:tr>
      <w:tr>
        <w:tc>
          <w:tcPr>
            <w:tcW w:type="dxa" w:w="4082"/>
            <w:shd w:val="clear" w:color="auto" w:fill="EEF4FC"/>
          </w:tcPr>
          <w:p>
            <w:pPr>
              <w:keepNext w:val="0"/>
              <w:spacing w:after="0"/>
              <w:jc w:val="left"/>
            </w:pPr>
            <w:r/>
            <w:r>
              <w:rPr>
                <w:b/>
                <w:sz w:val="17"/>
              </w:rPr>
              <w:t>SMA6 (rolling 1-step)</w:t>
            </w:r>
          </w:p>
        </w:tc>
        <w:tc>
          <w:tcPr>
            <w:tcW w:type="dxa" w:w="1134"/>
            <w:shd w:val="clear" w:color="auto" w:fill="EEF4FC"/>
          </w:tcPr>
          <w:p>
            <w:pPr>
              <w:keepNext w:val="0"/>
              <w:spacing w:after="0"/>
              <w:jc w:val="center"/>
            </w:pPr>
            <w:r/>
            <w:r>
              <w:rPr>
                <w:sz w:val="17"/>
              </w:rPr>
              <w:t>16.40</w:t>
            </w:r>
          </w:p>
        </w:tc>
        <w:tc>
          <w:tcPr>
            <w:tcW w:type="dxa" w:w="1134"/>
            <w:shd w:val="clear" w:color="auto" w:fill="EEF4FC"/>
          </w:tcPr>
          <w:p>
            <w:pPr>
              <w:keepNext w:val="0"/>
              <w:spacing w:after="0"/>
              <w:jc w:val="center"/>
            </w:pPr>
            <w:r/>
            <w:r>
              <w:rPr>
                <w:sz w:val="17"/>
              </w:rPr>
              <w:t>936.6</w:t>
            </w:r>
          </w:p>
        </w:tc>
        <w:tc>
          <w:tcPr>
            <w:tcW w:type="dxa" w:w="1134"/>
            <w:shd w:val="clear" w:color="auto" w:fill="EEF4FC"/>
          </w:tcPr>
          <w:p>
            <w:pPr>
              <w:keepNext w:val="0"/>
              <w:spacing w:after="0"/>
              <w:jc w:val="center"/>
            </w:pPr>
            <w:r/>
            <w:r>
              <w:rPr>
                <w:sz w:val="17"/>
              </w:rPr>
              <w:t>850.0</w:t>
            </w:r>
          </w:p>
        </w:tc>
        <w:tc>
          <w:tcPr>
            <w:tcW w:type="dxa" w:w="1134"/>
            <w:shd w:val="clear" w:color="auto" w:fill="EEF4FC"/>
          </w:tcPr>
          <w:p>
            <w:pPr>
              <w:keepNext w:val="0"/>
              <w:spacing w:after="0"/>
              <w:jc w:val="center"/>
            </w:pPr>
            <w:r/>
            <w:r>
              <w:rPr>
                <w:sz w:val="17"/>
              </w:rPr>
              <w:t>-81.7</w:t>
            </w:r>
          </w:p>
        </w:tc>
      </w:tr>
    </w:tbl>
    <w:p>
      <w:pPr>
        <w:spacing w:after="40"/>
      </w:pPr>
    </w:p>
    <w:p>
      <w:pPr>
        <w:jc w:val="center"/>
      </w:pPr>
      <w:r>
        <w:drawing>
          <wp:inline xmlns:a="http://schemas.openxmlformats.org/drawingml/2006/main" xmlns:pic="http://schemas.openxmlformats.org/drawingml/2006/picture">
            <wp:extent cx="5832000" cy="2198688"/>
            <wp:docPr id="9" name="Picture 9"/>
            <wp:cNvGraphicFramePr>
              <a:graphicFrameLocks noChangeAspect="1"/>
            </wp:cNvGraphicFramePr>
            <a:graphic>
              <a:graphicData uri="http://schemas.openxmlformats.org/drawingml/2006/picture">
                <pic:pic>
                  <pic:nvPicPr>
                    <pic:cNvPr id="0" name="fig10_holdout.png"/>
                    <pic:cNvPicPr/>
                  </pic:nvPicPr>
                  <pic:blipFill>
                    <a:blip r:embed="rId17"/>
                    <a:stretch>
                      <a:fillRect/>
                    </a:stretch>
                  </pic:blipFill>
                  <pic:spPr>
                    <a:xfrm>
                      <a:off x="0" y="0"/>
                      <a:ext cx="5832000" cy="2198688"/>
                    </a:xfrm>
                    <a:prstGeom prst="rect"/>
                  </pic:spPr>
                </pic:pic>
              </a:graphicData>
            </a:graphic>
          </wp:inline>
        </w:drawing>
      </w:r>
    </w:p>
    <w:p>
      <w:pPr>
        <w:jc w:val="center"/>
      </w:pPr>
      <w:r>
        <w:rPr>
          <w:i/>
          <w:color w:val="52514E"/>
          <w:sz w:val="17"/>
        </w:rPr>
        <w:t>Figure 10. 2024 hold-out: actual versus forecasts.</w:t>
      </w:r>
    </w:p>
    <w:p>
      <w:r>
        <w:rPr>
          <w:i w:val="0"/>
        </w:rPr>
        <w:t xml:space="preserve">Every model was trained on 2021–2023 and asked to forecast 2024 (Table 6, Figure 10). </w:t>
      </w:r>
      <w:r>
        <w:rPr>
          <w:b/>
          <w:i w:val="0"/>
        </w:rPr>
        <w:t>Multiplicative Holt-Winters is decisively the best model</w:t>
      </w:r>
      <w:r>
        <w:rPr>
          <w:i w:val="0"/>
        </w:rPr>
        <w:t>: MAPE 0.79% and RMSE 43 visits, about 1.3 visits a day. The library (statsmodels) implementation confirms the result (0.95%). The additive Holt-Winters variant is more than six times worse (MAPE 5.2%), which empirically confirms the multiplicative diagnosis. Seasonal naïve (5.0%) captures the shape but misses the growth, so it under-forecasts by 260 visits a month on average. The SMAs are unsuitable for seasonal planning (MAPE 11.7–16.4%; RMSE 700–940 visits). Even with the advantage of being re-estimated every month, they are about 15–21 times less accurate than Holt-Winters. Holt-Winters is therefore selected. Its small positive bias (+40 visits) is a prudent direction for capacity planning.</w:t>
      </w:r>
    </w:p>
    <w:p>
      <w:pPr>
        <w:pStyle w:val="Heading2"/>
      </w:pPr>
      <w:r>
        <w:t>3.5 2025 forecast</w:t>
      </w:r>
    </w:p>
    <w:p>
      <w:pPr>
        <w:keepNext/>
        <w:spacing w:after="40"/>
      </w:pPr>
      <w:r>
        <w:rPr>
          <w:b/>
          <w:color w:val="0D366B"/>
          <w:sz w:val="18"/>
        </w:rPr>
        <w:t>Table 7. 2025 forecast and capacity translation (Holt-Winters multiplicative; intervals from rolling-origin cross-validation)</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680"/>
            <w:shd w:val="clear" w:color="auto" w:fill="1C5CAB"/>
          </w:tcPr>
          <w:p>
            <w:pPr>
              <w:keepNext/>
              <w:spacing w:after="0"/>
              <w:jc w:val="left"/>
            </w:pPr>
            <w:r/>
            <w:r>
              <w:rPr>
                <w:b/>
                <w:color w:val="FFFFFF"/>
                <w:sz w:val="16"/>
              </w:rPr>
              <w:t>2025</w:t>
            </w:r>
          </w:p>
        </w:tc>
        <w:tc>
          <w:tcPr>
            <w:tcW w:type="dxa" w:w="1134"/>
            <w:shd w:val="clear" w:color="auto" w:fill="1C5CAB"/>
          </w:tcPr>
          <w:p>
            <w:pPr>
              <w:keepNext/>
              <w:spacing w:after="0"/>
              <w:jc w:val="center"/>
            </w:pPr>
            <w:r/>
            <w:r>
              <w:rPr>
                <w:b/>
                <w:color w:val="FFFFFF"/>
                <w:sz w:val="16"/>
              </w:rPr>
              <w:t>ER forecast</w:t>
            </w:r>
          </w:p>
        </w:tc>
        <w:tc>
          <w:tcPr>
            <w:tcW w:type="dxa" w:w="1644"/>
            <w:shd w:val="clear" w:color="auto" w:fill="1C5CAB"/>
          </w:tcPr>
          <w:p>
            <w:pPr>
              <w:keepNext/>
              <w:spacing w:after="0"/>
              <w:jc w:val="center"/>
            </w:pPr>
            <w:r/>
            <w:r>
              <w:rPr>
                <w:b/>
                <w:color w:val="FFFFFF"/>
                <w:sz w:val="16"/>
              </w:rPr>
              <w:t>95% PI</w:t>
            </w:r>
          </w:p>
        </w:tc>
        <w:tc>
          <w:tcPr>
            <w:tcW w:type="dxa" w:w="1020"/>
            <w:shd w:val="clear" w:color="auto" w:fill="1C5CAB"/>
          </w:tcPr>
          <w:p>
            <w:pPr>
              <w:keepNext/>
              <w:spacing w:after="0"/>
              <w:jc w:val="center"/>
            </w:pPr>
            <w:r/>
            <w:r>
              <w:rPr>
                <w:b/>
                <w:color w:val="FFFFFF"/>
                <w:sz w:val="16"/>
              </w:rPr>
              <w:t>Daily visits</w:t>
            </w:r>
          </w:p>
        </w:tc>
        <w:tc>
          <w:tcPr>
            <w:tcW w:type="dxa" w:w="1020"/>
            <w:shd w:val="clear" w:color="auto" w:fill="1C5CAB"/>
          </w:tcPr>
          <w:p>
            <w:pPr>
              <w:keepNext/>
              <w:spacing w:after="0"/>
              <w:jc w:val="center"/>
            </w:pPr>
            <w:r/>
            <w:r>
              <w:rPr>
                <w:b/>
                <w:color w:val="FFFFFF"/>
                <w:sz w:val="16"/>
              </w:rPr>
              <w:t>Staffing index</w:t>
            </w:r>
          </w:p>
        </w:tc>
        <w:tc>
          <w:tcPr>
            <w:tcW w:type="dxa" w:w="1134"/>
            <w:shd w:val="clear" w:color="auto" w:fill="1C5CAB"/>
          </w:tcPr>
          <w:p>
            <w:pPr>
              <w:keepNext/>
              <w:spacing w:after="0"/>
              <w:jc w:val="center"/>
            </w:pPr>
            <w:r/>
            <w:r>
              <w:rPr>
                <w:b/>
                <w:color w:val="FFFFFF"/>
                <w:sz w:val="16"/>
              </w:rPr>
              <w:t>ICU forecast %</w:t>
            </w:r>
          </w:p>
        </w:tc>
        <w:tc>
          <w:tcPr>
            <w:tcW w:type="dxa" w:w="1474"/>
            <w:shd w:val="clear" w:color="auto" w:fill="1C5CAB"/>
          </w:tcPr>
          <w:p>
            <w:pPr>
              <w:keepNext/>
              <w:spacing w:after="0"/>
              <w:jc w:val="center"/>
            </w:pPr>
            <w:r/>
            <w:r>
              <w:rPr>
                <w:b/>
                <w:color w:val="FFFFFF"/>
                <w:sz w:val="16"/>
              </w:rPr>
              <w:t>Extra ICU beds for 85%</w:t>
            </w:r>
          </w:p>
        </w:tc>
        <w:tc>
          <w:tcPr>
            <w:tcW w:type="dxa" w:w="1474"/>
            <w:shd w:val="clear" w:color="auto" w:fill="1C5CAB"/>
          </w:tcPr>
          <w:p>
            <w:pPr>
              <w:keepNext/>
              <w:spacing w:after="0"/>
              <w:jc w:val="center"/>
            </w:pPr>
            <w:r/>
            <w:r>
              <w:rPr>
                <w:b/>
                <w:color w:val="FFFFFF"/>
                <w:sz w:val="16"/>
              </w:rPr>
              <w:t>Spend above flat budget $k</w:t>
            </w:r>
          </w:p>
        </w:tc>
      </w:tr>
      <w:tr>
        <w:tc>
          <w:tcPr>
            <w:tcW w:type="dxa" w:w="680"/>
          </w:tcPr>
          <w:p>
            <w:pPr>
              <w:keepNext/>
              <w:spacing w:after="0"/>
              <w:jc w:val="left"/>
            </w:pPr>
            <w:r/>
            <w:r>
              <w:rPr>
                <w:b/>
                <w:sz w:val="16"/>
              </w:rPr>
              <w:t>Jan</w:t>
            </w:r>
          </w:p>
        </w:tc>
        <w:tc>
          <w:tcPr>
            <w:tcW w:type="dxa" w:w="1134"/>
          </w:tcPr>
          <w:p>
            <w:pPr>
              <w:keepNext/>
              <w:spacing w:after="0"/>
              <w:jc w:val="center"/>
            </w:pPr>
            <w:r/>
            <w:r>
              <w:rPr>
                <w:sz w:val="16"/>
              </w:rPr>
              <w:t>6,655</w:t>
            </w:r>
          </w:p>
        </w:tc>
        <w:tc>
          <w:tcPr>
            <w:tcW w:type="dxa" w:w="1644"/>
          </w:tcPr>
          <w:p>
            <w:pPr>
              <w:keepNext/>
              <w:spacing w:after="0"/>
              <w:jc w:val="center"/>
            </w:pPr>
            <w:r/>
            <w:r>
              <w:rPr>
                <w:sz w:val="16"/>
              </w:rPr>
              <w:t>6,613–6,697</w:t>
            </w:r>
          </w:p>
        </w:tc>
        <w:tc>
          <w:tcPr>
            <w:tcW w:type="dxa" w:w="1020"/>
          </w:tcPr>
          <w:p>
            <w:pPr>
              <w:keepNext/>
              <w:spacing w:after="0"/>
              <w:jc w:val="center"/>
            </w:pPr>
            <w:r/>
            <w:r>
              <w:rPr>
                <w:sz w:val="16"/>
              </w:rPr>
              <w:t>215</w:t>
            </w:r>
          </w:p>
        </w:tc>
        <w:tc>
          <w:tcPr>
            <w:tcW w:type="dxa" w:w="1020"/>
          </w:tcPr>
          <w:p>
            <w:pPr>
              <w:keepNext/>
              <w:spacing w:after="0"/>
              <w:jc w:val="center"/>
            </w:pPr>
            <w:r/>
            <w:r>
              <w:rPr>
                <w:sz w:val="16"/>
              </w:rPr>
              <w:t>1.29</w:t>
            </w:r>
          </w:p>
        </w:tc>
        <w:tc>
          <w:tcPr>
            <w:tcW w:type="dxa" w:w="1134"/>
          </w:tcPr>
          <w:p>
            <w:pPr>
              <w:keepNext/>
              <w:spacing w:after="0"/>
              <w:jc w:val="center"/>
            </w:pPr>
            <w:r/>
            <w:r>
              <w:rPr>
                <w:sz w:val="16"/>
              </w:rPr>
              <w:t>101.4</w:t>
            </w:r>
          </w:p>
        </w:tc>
        <w:tc>
          <w:tcPr>
            <w:tcW w:type="dxa" w:w="1474"/>
          </w:tcPr>
          <w:p>
            <w:pPr>
              <w:keepNext/>
              <w:spacing w:after="0"/>
              <w:jc w:val="center"/>
            </w:pPr>
            <w:r/>
            <w:r>
              <w:rPr>
                <w:sz w:val="16"/>
              </w:rPr>
              <w:t>+19.3%</w:t>
            </w:r>
          </w:p>
        </w:tc>
        <w:tc>
          <w:tcPr>
            <w:tcW w:type="dxa" w:w="1474"/>
          </w:tcPr>
          <w:p>
            <w:pPr>
              <w:keepNext/>
              <w:spacing w:after="0"/>
              <w:jc w:val="center"/>
            </w:pPr>
            <w:r/>
            <w:r>
              <w:rPr>
                <w:sz w:val="16"/>
              </w:rPr>
              <w:t>238</w:t>
            </w:r>
          </w:p>
        </w:tc>
      </w:tr>
      <w:tr>
        <w:tc>
          <w:tcPr>
            <w:tcW w:type="dxa" w:w="680"/>
            <w:shd w:val="clear" w:color="auto" w:fill="EEF4FC"/>
          </w:tcPr>
          <w:p>
            <w:pPr>
              <w:keepNext/>
              <w:spacing w:after="0"/>
              <w:jc w:val="left"/>
            </w:pPr>
            <w:r/>
            <w:r>
              <w:rPr>
                <w:b/>
                <w:sz w:val="16"/>
              </w:rPr>
              <w:t>Feb</w:t>
            </w:r>
          </w:p>
        </w:tc>
        <w:tc>
          <w:tcPr>
            <w:tcW w:type="dxa" w:w="1134"/>
            <w:shd w:val="clear" w:color="auto" w:fill="EEF4FC"/>
          </w:tcPr>
          <w:p>
            <w:pPr>
              <w:keepNext/>
              <w:spacing w:after="0"/>
              <w:jc w:val="center"/>
            </w:pPr>
            <w:r/>
            <w:r>
              <w:rPr>
                <w:sz w:val="16"/>
              </w:rPr>
              <w:t>6,116</w:t>
            </w:r>
          </w:p>
        </w:tc>
        <w:tc>
          <w:tcPr>
            <w:tcW w:type="dxa" w:w="1644"/>
            <w:shd w:val="clear" w:color="auto" w:fill="EEF4FC"/>
          </w:tcPr>
          <w:p>
            <w:pPr>
              <w:keepNext/>
              <w:spacing w:after="0"/>
              <w:jc w:val="center"/>
            </w:pPr>
            <w:r/>
            <w:r>
              <w:rPr>
                <w:sz w:val="16"/>
              </w:rPr>
              <w:t>6,054–6,177</w:t>
            </w:r>
          </w:p>
        </w:tc>
        <w:tc>
          <w:tcPr>
            <w:tcW w:type="dxa" w:w="1020"/>
            <w:shd w:val="clear" w:color="auto" w:fill="EEF4FC"/>
          </w:tcPr>
          <w:p>
            <w:pPr>
              <w:keepNext/>
              <w:spacing w:after="0"/>
              <w:jc w:val="center"/>
            </w:pPr>
            <w:r/>
            <w:r>
              <w:rPr>
                <w:sz w:val="16"/>
              </w:rPr>
              <w:t>218</w:t>
            </w:r>
          </w:p>
        </w:tc>
        <w:tc>
          <w:tcPr>
            <w:tcW w:type="dxa" w:w="1020"/>
            <w:shd w:val="clear" w:color="auto" w:fill="EEF4FC"/>
          </w:tcPr>
          <w:p>
            <w:pPr>
              <w:keepNext/>
              <w:spacing w:after="0"/>
              <w:jc w:val="center"/>
            </w:pPr>
            <w:r/>
            <w:r>
              <w:rPr>
                <w:sz w:val="16"/>
              </w:rPr>
              <w:t>1.18</w:t>
            </w:r>
          </w:p>
        </w:tc>
        <w:tc>
          <w:tcPr>
            <w:tcW w:type="dxa" w:w="1134"/>
            <w:shd w:val="clear" w:color="auto" w:fill="EEF4FC"/>
          </w:tcPr>
          <w:p>
            <w:pPr>
              <w:keepNext/>
              <w:spacing w:after="0"/>
              <w:jc w:val="center"/>
            </w:pPr>
            <w:r/>
            <w:r>
              <w:rPr>
                <w:sz w:val="16"/>
              </w:rPr>
              <w:t>94.0</w:t>
            </w:r>
          </w:p>
        </w:tc>
        <w:tc>
          <w:tcPr>
            <w:tcW w:type="dxa" w:w="1474"/>
            <w:shd w:val="clear" w:color="auto" w:fill="EEF4FC"/>
          </w:tcPr>
          <w:p>
            <w:pPr>
              <w:keepNext/>
              <w:spacing w:after="0"/>
              <w:jc w:val="center"/>
            </w:pPr>
            <w:r/>
            <w:r>
              <w:rPr>
                <w:sz w:val="16"/>
              </w:rPr>
              <w:t>+10.5%</w:t>
            </w:r>
          </w:p>
        </w:tc>
        <w:tc>
          <w:tcPr>
            <w:tcW w:type="dxa" w:w="1474"/>
            <w:shd w:val="clear" w:color="auto" w:fill="EEF4FC"/>
          </w:tcPr>
          <w:p>
            <w:pPr>
              <w:keepNext/>
              <w:spacing w:after="0"/>
              <w:jc w:val="center"/>
            </w:pPr>
            <w:r/>
            <w:r>
              <w:rPr>
                <w:sz w:val="16"/>
              </w:rPr>
              <w:t>130</w:t>
            </w:r>
          </w:p>
        </w:tc>
      </w:tr>
      <w:tr>
        <w:tc>
          <w:tcPr>
            <w:tcW w:type="dxa" w:w="680"/>
          </w:tcPr>
          <w:p>
            <w:pPr>
              <w:keepNext/>
              <w:spacing w:after="0"/>
              <w:jc w:val="left"/>
            </w:pPr>
            <w:r/>
            <w:r>
              <w:rPr>
                <w:b/>
                <w:sz w:val="16"/>
              </w:rPr>
              <w:t>Mar</w:t>
            </w:r>
          </w:p>
        </w:tc>
        <w:tc>
          <w:tcPr>
            <w:tcW w:type="dxa" w:w="1134"/>
          </w:tcPr>
          <w:p>
            <w:pPr>
              <w:keepNext/>
              <w:spacing w:after="0"/>
              <w:jc w:val="center"/>
            </w:pPr>
            <w:r/>
            <w:r>
              <w:rPr>
                <w:sz w:val="16"/>
              </w:rPr>
              <w:t>5,447</w:t>
            </w:r>
          </w:p>
        </w:tc>
        <w:tc>
          <w:tcPr>
            <w:tcW w:type="dxa" w:w="1644"/>
          </w:tcPr>
          <w:p>
            <w:pPr>
              <w:keepNext/>
              <w:spacing w:after="0"/>
              <w:jc w:val="center"/>
            </w:pPr>
            <w:r/>
            <w:r>
              <w:rPr>
                <w:sz w:val="16"/>
              </w:rPr>
              <w:t>5,375–5,519</w:t>
            </w:r>
          </w:p>
        </w:tc>
        <w:tc>
          <w:tcPr>
            <w:tcW w:type="dxa" w:w="1020"/>
          </w:tcPr>
          <w:p>
            <w:pPr>
              <w:keepNext/>
              <w:spacing w:after="0"/>
              <w:jc w:val="center"/>
            </w:pPr>
            <w:r/>
            <w:r>
              <w:rPr>
                <w:sz w:val="16"/>
              </w:rPr>
              <w:t>176</w:t>
            </w:r>
          </w:p>
        </w:tc>
        <w:tc>
          <w:tcPr>
            <w:tcW w:type="dxa" w:w="1020"/>
          </w:tcPr>
          <w:p>
            <w:pPr>
              <w:keepNext/>
              <w:spacing w:after="0"/>
              <w:jc w:val="center"/>
            </w:pPr>
            <w:r/>
            <w:r>
              <w:rPr>
                <w:sz w:val="16"/>
              </w:rPr>
              <w:t>1.05</w:t>
            </w:r>
          </w:p>
        </w:tc>
        <w:tc>
          <w:tcPr>
            <w:tcW w:type="dxa" w:w="1134"/>
          </w:tcPr>
          <w:p>
            <w:pPr>
              <w:keepNext/>
              <w:spacing w:after="0"/>
              <w:jc w:val="center"/>
            </w:pPr>
            <w:r/>
            <w:r>
              <w:rPr>
                <w:sz w:val="16"/>
              </w:rPr>
              <w:t>85.2</w:t>
            </w:r>
          </w:p>
        </w:tc>
        <w:tc>
          <w:tcPr>
            <w:tcW w:type="dxa" w:w="1474"/>
          </w:tcPr>
          <w:p>
            <w:pPr>
              <w:keepNext/>
              <w:spacing w:after="0"/>
              <w:jc w:val="center"/>
            </w:pPr>
            <w:r/>
            <w:r>
              <w:rPr>
                <w:sz w:val="16"/>
              </w:rPr>
              <w:t>+0.2%</w:t>
            </w:r>
          </w:p>
        </w:tc>
        <w:tc>
          <w:tcPr>
            <w:tcW w:type="dxa" w:w="1474"/>
          </w:tcPr>
          <w:p>
            <w:pPr>
              <w:keepNext/>
              <w:spacing w:after="0"/>
              <w:jc w:val="center"/>
            </w:pPr>
            <w:r/>
            <w:r>
              <w:rPr>
                <w:sz w:val="16"/>
              </w:rPr>
              <w:t>–</w:t>
            </w:r>
          </w:p>
        </w:tc>
      </w:tr>
      <w:tr>
        <w:tc>
          <w:tcPr>
            <w:tcW w:type="dxa" w:w="680"/>
            <w:shd w:val="clear" w:color="auto" w:fill="EEF4FC"/>
          </w:tcPr>
          <w:p>
            <w:pPr>
              <w:keepNext/>
              <w:spacing w:after="0"/>
              <w:jc w:val="left"/>
            </w:pPr>
            <w:r/>
            <w:r>
              <w:rPr>
                <w:b/>
                <w:sz w:val="16"/>
              </w:rPr>
              <w:t>Apr</w:t>
            </w:r>
          </w:p>
        </w:tc>
        <w:tc>
          <w:tcPr>
            <w:tcW w:type="dxa" w:w="1134"/>
            <w:shd w:val="clear" w:color="auto" w:fill="EEF4FC"/>
          </w:tcPr>
          <w:p>
            <w:pPr>
              <w:keepNext/>
              <w:spacing w:after="0"/>
              <w:jc w:val="center"/>
            </w:pPr>
            <w:r/>
            <w:r>
              <w:rPr>
                <w:sz w:val="16"/>
              </w:rPr>
              <w:t>4,974</w:t>
            </w:r>
          </w:p>
        </w:tc>
        <w:tc>
          <w:tcPr>
            <w:tcW w:type="dxa" w:w="1644"/>
            <w:shd w:val="clear" w:color="auto" w:fill="EEF4FC"/>
          </w:tcPr>
          <w:p>
            <w:pPr>
              <w:keepNext/>
              <w:spacing w:after="0"/>
              <w:jc w:val="center"/>
            </w:pPr>
            <w:r/>
            <w:r>
              <w:rPr>
                <w:sz w:val="16"/>
              </w:rPr>
              <w:t>4,892–5,055</w:t>
            </w:r>
          </w:p>
        </w:tc>
        <w:tc>
          <w:tcPr>
            <w:tcW w:type="dxa" w:w="1020"/>
            <w:shd w:val="clear" w:color="auto" w:fill="EEF4FC"/>
          </w:tcPr>
          <w:p>
            <w:pPr>
              <w:keepNext/>
              <w:spacing w:after="0"/>
              <w:jc w:val="center"/>
            </w:pPr>
            <w:r/>
            <w:r>
              <w:rPr>
                <w:sz w:val="16"/>
              </w:rPr>
              <w:t>166</w:t>
            </w:r>
          </w:p>
        </w:tc>
        <w:tc>
          <w:tcPr>
            <w:tcW w:type="dxa" w:w="1020"/>
            <w:shd w:val="clear" w:color="auto" w:fill="EEF4FC"/>
          </w:tcPr>
          <w:p>
            <w:pPr>
              <w:keepNext/>
              <w:spacing w:after="0"/>
              <w:jc w:val="center"/>
            </w:pPr>
            <w:r/>
            <w:r>
              <w:rPr>
                <w:sz w:val="16"/>
              </w:rPr>
              <w:t>0.96</w:t>
            </w:r>
          </w:p>
        </w:tc>
        <w:tc>
          <w:tcPr>
            <w:tcW w:type="dxa" w:w="1134"/>
            <w:shd w:val="clear" w:color="auto" w:fill="EEF4FC"/>
          </w:tcPr>
          <w:p>
            <w:pPr>
              <w:keepNext/>
              <w:spacing w:after="0"/>
              <w:jc w:val="center"/>
            </w:pPr>
            <w:r/>
            <w:r>
              <w:rPr>
                <w:sz w:val="16"/>
              </w:rPr>
              <w:t>78.2</w:t>
            </w:r>
          </w:p>
        </w:tc>
        <w:tc>
          <w:tcPr>
            <w:tcW w:type="dxa" w:w="1474"/>
            <w:shd w:val="clear" w:color="auto" w:fill="EEF4FC"/>
          </w:tcPr>
          <w:p>
            <w:pPr>
              <w:keepNext/>
              <w:spacing w:after="0"/>
              <w:jc w:val="center"/>
            </w:pPr>
            <w:r/>
            <w:r>
              <w:rPr>
                <w:sz w:val="16"/>
              </w:rPr>
              <w:t>–</w:t>
            </w:r>
          </w:p>
        </w:tc>
        <w:tc>
          <w:tcPr>
            <w:tcW w:type="dxa" w:w="1474"/>
            <w:shd w:val="clear" w:color="auto" w:fill="EEF4FC"/>
          </w:tcPr>
          <w:p>
            <w:pPr>
              <w:keepNext/>
              <w:spacing w:after="0"/>
              <w:jc w:val="center"/>
            </w:pPr>
            <w:r/>
            <w:r>
              <w:rPr>
                <w:sz w:val="16"/>
              </w:rPr>
              <w:t>–</w:t>
            </w:r>
          </w:p>
        </w:tc>
      </w:tr>
      <w:tr>
        <w:tc>
          <w:tcPr>
            <w:tcW w:type="dxa" w:w="680"/>
          </w:tcPr>
          <w:p>
            <w:pPr>
              <w:keepNext/>
              <w:spacing w:after="0"/>
              <w:jc w:val="left"/>
            </w:pPr>
            <w:r/>
            <w:r>
              <w:rPr>
                <w:b/>
                <w:sz w:val="16"/>
              </w:rPr>
              <w:t>May</w:t>
            </w:r>
          </w:p>
        </w:tc>
        <w:tc>
          <w:tcPr>
            <w:tcW w:type="dxa" w:w="1134"/>
          </w:tcPr>
          <w:p>
            <w:pPr>
              <w:keepNext/>
              <w:spacing w:after="0"/>
              <w:jc w:val="center"/>
            </w:pPr>
            <w:r/>
            <w:r>
              <w:rPr>
                <w:sz w:val="16"/>
              </w:rPr>
              <w:t>4,714</w:t>
            </w:r>
          </w:p>
        </w:tc>
        <w:tc>
          <w:tcPr>
            <w:tcW w:type="dxa" w:w="1644"/>
          </w:tcPr>
          <w:p>
            <w:pPr>
              <w:keepNext/>
              <w:spacing w:after="0"/>
              <w:jc w:val="center"/>
            </w:pPr>
            <w:r/>
            <w:r>
              <w:rPr>
                <w:sz w:val="16"/>
              </w:rPr>
              <w:t>4,630–4,798</w:t>
            </w:r>
          </w:p>
        </w:tc>
        <w:tc>
          <w:tcPr>
            <w:tcW w:type="dxa" w:w="1020"/>
          </w:tcPr>
          <w:p>
            <w:pPr>
              <w:keepNext/>
              <w:spacing w:after="0"/>
              <w:jc w:val="center"/>
            </w:pPr>
            <w:r/>
            <w:r>
              <w:rPr>
                <w:sz w:val="16"/>
              </w:rPr>
              <w:t>152</w:t>
            </w:r>
          </w:p>
        </w:tc>
        <w:tc>
          <w:tcPr>
            <w:tcW w:type="dxa" w:w="1020"/>
          </w:tcPr>
          <w:p>
            <w:pPr>
              <w:keepNext/>
              <w:spacing w:after="0"/>
              <w:jc w:val="center"/>
            </w:pPr>
            <w:r/>
            <w:r>
              <w:rPr>
                <w:sz w:val="16"/>
              </w:rPr>
              <w:t>0.91</w:t>
            </w:r>
          </w:p>
        </w:tc>
        <w:tc>
          <w:tcPr>
            <w:tcW w:type="dxa" w:w="1134"/>
          </w:tcPr>
          <w:p>
            <w:pPr>
              <w:keepNext/>
              <w:spacing w:after="0"/>
              <w:jc w:val="center"/>
            </w:pPr>
            <w:r/>
            <w:r>
              <w:rPr>
                <w:sz w:val="16"/>
              </w:rPr>
              <w:t>74.1</w:t>
            </w:r>
          </w:p>
        </w:tc>
        <w:tc>
          <w:tcPr>
            <w:tcW w:type="dxa" w:w="1474"/>
          </w:tcPr>
          <w:p>
            <w:pPr>
              <w:keepNext/>
              <w:spacing w:after="0"/>
              <w:jc w:val="center"/>
            </w:pPr>
            <w:r/>
            <w:r>
              <w:rPr>
                <w:sz w:val="16"/>
              </w:rPr>
              <w:t>–</w:t>
            </w:r>
          </w:p>
        </w:tc>
        <w:tc>
          <w:tcPr>
            <w:tcW w:type="dxa" w:w="1474"/>
          </w:tcPr>
          <w:p>
            <w:pPr>
              <w:keepNext/>
              <w:spacing w:after="0"/>
              <w:jc w:val="center"/>
            </w:pPr>
            <w:r/>
            <w:r>
              <w:rPr>
                <w:sz w:val="16"/>
              </w:rPr>
              <w:t>–</w:t>
            </w:r>
          </w:p>
        </w:tc>
      </w:tr>
      <w:tr>
        <w:tc>
          <w:tcPr>
            <w:tcW w:type="dxa" w:w="680"/>
            <w:shd w:val="clear" w:color="auto" w:fill="EEF4FC"/>
          </w:tcPr>
          <w:p>
            <w:pPr>
              <w:keepNext/>
              <w:spacing w:after="0"/>
              <w:jc w:val="left"/>
            </w:pPr>
            <w:r/>
            <w:r>
              <w:rPr>
                <w:b/>
                <w:sz w:val="16"/>
              </w:rPr>
              <w:t>Jun</w:t>
            </w:r>
          </w:p>
        </w:tc>
        <w:tc>
          <w:tcPr>
            <w:tcW w:type="dxa" w:w="1134"/>
            <w:shd w:val="clear" w:color="auto" w:fill="EEF4FC"/>
          </w:tcPr>
          <w:p>
            <w:pPr>
              <w:keepNext/>
              <w:spacing w:after="0"/>
              <w:jc w:val="center"/>
            </w:pPr>
            <w:r/>
            <w:r>
              <w:rPr>
                <w:sz w:val="16"/>
              </w:rPr>
              <w:t>4,539</w:t>
            </w:r>
          </w:p>
        </w:tc>
        <w:tc>
          <w:tcPr>
            <w:tcW w:type="dxa" w:w="1644"/>
            <w:shd w:val="clear" w:color="auto" w:fill="EEF4FC"/>
          </w:tcPr>
          <w:p>
            <w:pPr>
              <w:keepNext/>
              <w:spacing w:after="0"/>
              <w:jc w:val="center"/>
            </w:pPr>
            <w:r/>
            <w:r>
              <w:rPr>
                <w:sz w:val="16"/>
              </w:rPr>
              <w:t>4,451–4,626</w:t>
            </w:r>
          </w:p>
        </w:tc>
        <w:tc>
          <w:tcPr>
            <w:tcW w:type="dxa" w:w="1020"/>
            <w:shd w:val="clear" w:color="auto" w:fill="EEF4FC"/>
          </w:tcPr>
          <w:p>
            <w:pPr>
              <w:keepNext/>
              <w:spacing w:after="0"/>
              <w:jc w:val="center"/>
            </w:pPr>
            <w:r/>
            <w:r>
              <w:rPr>
                <w:sz w:val="16"/>
              </w:rPr>
              <w:t>151</w:t>
            </w:r>
          </w:p>
        </w:tc>
        <w:tc>
          <w:tcPr>
            <w:tcW w:type="dxa" w:w="1020"/>
            <w:shd w:val="clear" w:color="auto" w:fill="EEF4FC"/>
          </w:tcPr>
          <w:p>
            <w:pPr>
              <w:keepNext/>
              <w:spacing w:after="0"/>
              <w:jc w:val="center"/>
            </w:pPr>
            <w:r/>
            <w:r>
              <w:rPr>
                <w:sz w:val="16"/>
              </w:rPr>
              <w:t>0.88</w:t>
            </w:r>
          </w:p>
        </w:tc>
        <w:tc>
          <w:tcPr>
            <w:tcW w:type="dxa" w:w="1134"/>
            <w:shd w:val="clear" w:color="auto" w:fill="EEF4FC"/>
          </w:tcPr>
          <w:p>
            <w:pPr>
              <w:keepNext/>
              <w:spacing w:after="0"/>
              <w:jc w:val="center"/>
            </w:pPr>
            <w:r/>
            <w:r>
              <w:rPr>
                <w:sz w:val="16"/>
              </w:rPr>
              <w:t>71.0</w:t>
            </w:r>
          </w:p>
        </w:tc>
        <w:tc>
          <w:tcPr>
            <w:tcW w:type="dxa" w:w="1474"/>
            <w:shd w:val="clear" w:color="auto" w:fill="EEF4FC"/>
          </w:tcPr>
          <w:p>
            <w:pPr>
              <w:keepNext/>
              <w:spacing w:after="0"/>
              <w:jc w:val="center"/>
            </w:pPr>
            <w:r/>
            <w:r>
              <w:rPr>
                <w:sz w:val="16"/>
              </w:rPr>
              <w:t>–</w:t>
            </w:r>
          </w:p>
        </w:tc>
        <w:tc>
          <w:tcPr>
            <w:tcW w:type="dxa" w:w="1474"/>
            <w:shd w:val="clear" w:color="auto" w:fill="EEF4FC"/>
          </w:tcPr>
          <w:p>
            <w:pPr>
              <w:keepNext/>
              <w:spacing w:after="0"/>
              <w:jc w:val="center"/>
            </w:pPr>
            <w:r/>
            <w:r>
              <w:rPr>
                <w:sz w:val="16"/>
              </w:rPr>
              <w:t>–</w:t>
            </w:r>
          </w:p>
        </w:tc>
      </w:tr>
      <w:tr>
        <w:tc>
          <w:tcPr>
            <w:tcW w:type="dxa" w:w="680"/>
          </w:tcPr>
          <w:p>
            <w:pPr>
              <w:keepNext/>
              <w:spacing w:after="0"/>
              <w:jc w:val="left"/>
            </w:pPr>
            <w:r/>
            <w:r>
              <w:rPr>
                <w:b/>
                <w:sz w:val="16"/>
              </w:rPr>
              <w:t>Jul</w:t>
            </w:r>
          </w:p>
        </w:tc>
        <w:tc>
          <w:tcPr>
            <w:tcW w:type="dxa" w:w="1134"/>
          </w:tcPr>
          <w:p>
            <w:pPr>
              <w:keepNext/>
              <w:spacing w:after="0"/>
              <w:jc w:val="center"/>
            </w:pPr>
            <w:r/>
            <w:r>
              <w:rPr>
                <w:sz w:val="16"/>
              </w:rPr>
              <w:t>4,609</w:t>
            </w:r>
          </w:p>
        </w:tc>
        <w:tc>
          <w:tcPr>
            <w:tcW w:type="dxa" w:w="1644"/>
          </w:tcPr>
          <w:p>
            <w:pPr>
              <w:keepNext/>
              <w:spacing w:after="0"/>
              <w:jc w:val="center"/>
            </w:pPr>
            <w:r/>
            <w:r>
              <w:rPr>
                <w:sz w:val="16"/>
              </w:rPr>
              <w:t>4,501–4,717</w:t>
            </w:r>
          </w:p>
        </w:tc>
        <w:tc>
          <w:tcPr>
            <w:tcW w:type="dxa" w:w="1020"/>
          </w:tcPr>
          <w:p>
            <w:pPr>
              <w:keepNext/>
              <w:spacing w:after="0"/>
              <w:jc w:val="center"/>
            </w:pPr>
            <w:r/>
            <w:r>
              <w:rPr>
                <w:sz w:val="16"/>
              </w:rPr>
              <w:t>149</w:t>
            </w:r>
          </w:p>
        </w:tc>
        <w:tc>
          <w:tcPr>
            <w:tcW w:type="dxa" w:w="1020"/>
          </w:tcPr>
          <w:p>
            <w:pPr>
              <w:keepNext/>
              <w:spacing w:after="0"/>
              <w:jc w:val="center"/>
            </w:pPr>
            <w:r/>
            <w:r>
              <w:rPr>
                <w:sz w:val="16"/>
              </w:rPr>
              <w:t>0.89</w:t>
            </w:r>
          </w:p>
        </w:tc>
        <w:tc>
          <w:tcPr>
            <w:tcW w:type="dxa" w:w="1134"/>
          </w:tcPr>
          <w:p>
            <w:pPr>
              <w:keepNext/>
              <w:spacing w:after="0"/>
              <w:jc w:val="center"/>
            </w:pPr>
            <w:r/>
            <w:r>
              <w:rPr>
                <w:sz w:val="16"/>
              </w:rPr>
              <w:t>72.0</w:t>
            </w:r>
          </w:p>
        </w:tc>
        <w:tc>
          <w:tcPr>
            <w:tcW w:type="dxa" w:w="1474"/>
          </w:tcPr>
          <w:p>
            <w:pPr>
              <w:keepNext/>
              <w:spacing w:after="0"/>
              <w:jc w:val="center"/>
            </w:pPr>
            <w:r/>
            <w:r>
              <w:rPr>
                <w:sz w:val="16"/>
              </w:rPr>
              <w:t>–</w:t>
            </w:r>
          </w:p>
        </w:tc>
        <w:tc>
          <w:tcPr>
            <w:tcW w:type="dxa" w:w="1474"/>
          </w:tcPr>
          <w:p>
            <w:pPr>
              <w:keepNext/>
              <w:spacing w:after="0"/>
              <w:jc w:val="center"/>
            </w:pPr>
            <w:r/>
            <w:r>
              <w:rPr>
                <w:sz w:val="16"/>
              </w:rPr>
              <w:t>–</w:t>
            </w:r>
          </w:p>
        </w:tc>
      </w:tr>
      <w:tr>
        <w:tc>
          <w:tcPr>
            <w:tcW w:type="dxa" w:w="680"/>
            <w:shd w:val="clear" w:color="auto" w:fill="EEF4FC"/>
          </w:tcPr>
          <w:p>
            <w:pPr>
              <w:keepNext/>
              <w:spacing w:after="0"/>
              <w:jc w:val="left"/>
            </w:pPr>
            <w:r/>
            <w:r>
              <w:rPr>
                <w:b/>
                <w:sz w:val="16"/>
              </w:rPr>
              <w:t>Aug</w:t>
            </w:r>
          </w:p>
        </w:tc>
        <w:tc>
          <w:tcPr>
            <w:tcW w:type="dxa" w:w="1134"/>
            <w:shd w:val="clear" w:color="auto" w:fill="EEF4FC"/>
          </w:tcPr>
          <w:p>
            <w:pPr>
              <w:keepNext/>
              <w:spacing w:after="0"/>
              <w:jc w:val="center"/>
            </w:pPr>
            <w:r/>
            <w:r>
              <w:rPr>
                <w:sz w:val="16"/>
              </w:rPr>
              <w:t>4,804</w:t>
            </w:r>
          </w:p>
        </w:tc>
        <w:tc>
          <w:tcPr>
            <w:tcW w:type="dxa" w:w="1644"/>
            <w:shd w:val="clear" w:color="auto" w:fill="EEF4FC"/>
          </w:tcPr>
          <w:p>
            <w:pPr>
              <w:keepNext/>
              <w:spacing w:after="0"/>
              <w:jc w:val="center"/>
            </w:pPr>
            <w:r/>
            <w:r>
              <w:rPr>
                <w:sz w:val="16"/>
              </w:rPr>
              <w:t>4,689–4,919</w:t>
            </w:r>
          </w:p>
        </w:tc>
        <w:tc>
          <w:tcPr>
            <w:tcW w:type="dxa" w:w="1020"/>
            <w:shd w:val="clear" w:color="auto" w:fill="EEF4FC"/>
          </w:tcPr>
          <w:p>
            <w:pPr>
              <w:keepNext/>
              <w:spacing w:after="0"/>
              <w:jc w:val="center"/>
            </w:pPr>
            <w:r/>
            <w:r>
              <w:rPr>
                <w:sz w:val="16"/>
              </w:rPr>
              <w:t>155</w:t>
            </w:r>
          </w:p>
        </w:tc>
        <w:tc>
          <w:tcPr>
            <w:tcW w:type="dxa" w:w="1020"/>
            <w:shd w:val="clear" w:color="auto" w:fill="EEF4FC"/>
          </w:tcPr>
          <w:p>
            <w:pPr>
              <w:keepNext/>
              <w:spacing w:after="0"/>
              <w:jc w:val="center"/>
            </w:pPr>
            <w:r/>
            <w:r>
              <w:rPr>
                <w:sz w:val="16"/>
              </w:rPr>
              <w:t>0.93</w:t>
            </w:r>
          </w:p>
        </w:tc>
        <w:tc>
          <w:tcPr>
            <w:tcW w:type="dxa" w:w="1134"/>
            <w:shd w:val="clear" w:color="auto" w:fill="EEF4FC"/>
          </w:tcPr>
          <w:p>
            <w:pPr>
              <w:keepNext/>
              <w:spacing w:after="0"/>
              <w:jc w:val="center"/>
            </w:pPr>
            <w:r/>
            <w:r>
              <w:rPr>
                <w:sz w:val="16"/>
              </w:rPr>
              <w:t>75.9</w:t>
            </w:r>
          </w:p>
        </w:tc>
        <w:tc>
          <w:tcPr>
            <w:tcW w:type="dxa" w:w="1474"/>
            <w:shd w:val="clear" w:color="auto" w:fill="EEF4FC"/>
          </w:tcPr>
          <w:p>
            <w:pPr>
              <w:keepNext/>
              <w:spacing w:after="0"/>
              <w:jc w:val="center"/>
            </w:pPr>
            <w:r/>
            <w:r>
              <w:rPr>
                <w:sz w:val="16"/>
              </w:rPr>
              <w:t>–</w:t>
            </w:r>
          </w:p>
        </w:tc>
        <w:tc>
          <w:tcPr>
            <w:tcW w:type="dxa" w:w="1474"/>
            <w:shd w:val="clear" w:color="auto" w:fill="EEF4FC"/>
          </w:tcPr>
          <w:p>
            <w:pPr>
              <w:keepNext/>
              <w:spacing w:after="0"/>
              <w:jc w:val="center"/>
            </w:pPr>
            <w:r/>
            <w:r>
              <w:rPr>
                <w:sz w:val="16"/>
              </w:rPr>
              <w:t>–</w:t>
            </w:r>
          </w:p>
        </w:tc>
      </w:tr>
      <w:tr>
        <w:tc>
          <w:tcPr>
            <w:tcW w:type="dxa" w:w="680"/>
          </w:tcPr>
          <w:p>
            <w:pPr>
              <w:keepNext/>
              <w:spacing w:after="0"/>
              <w:jc w:val="left"/>
            </w:pPr>
            <w:r/>
            <w:r>
              <w:rPr>
                <w:b/>
                <w:sz w:val="16"/>
              </w:rPr>
              <w:t>Sep</w:t>
            </w:r>
          </w:p>
        </w:tc>
        <w:tc>
          <w:tcPr>
            <w:tcW w:type="dxa" w:w="1134"/>
          </w:tcPr>
          <w:p>
            <w:pPr>
              <w:keepNext/>
              <w:spacing w:after="0"/>
              <w:jc w:val="center"/>
            </w:pPr>
            <w:r/>
            <w:r>
              <w:rPr>
                <w:sz w:val="16"/>
              </w:rPr>
              <w:t>5,198</w:t>
            </w:r>
          </w:p>
        </w:tc>
        <w:tc>
          <w:tcPr>
            <w:tcW w:type="dxa" w:w="1644"/>
          </w:tcPr>
          <w:p>
            <w:pPr>
              <w:keepNext/>
              <w:spacing w:after="0"/>
              <w:jc w:val="center"/>
            </w:pPr>
            <w:r/>
            <w:r>
              <w:rPr>
                <w:sz w:val="16"/>
              </w:rPr>
              <w:t>5,063–5,332</w:t>
            </w:r>
          </w:p>
        </w:tc>
        <w:tc>
          <w:tcPr>
            <w:tcW w:type="dxa" w:w="1020"/>
          </w:tcPr>
          <w:p>
            <w:pPr>
              <w:keepNext/>
              <w:spacing w:after="0"/>
              <w:jc w:val="center"/>
            </w:pPr>
            <w:r/>
            <w:r>
              <w:rPr>
                <w:sz w:val="16"/>
              </w:rPr>
              <w:t>173</w:t>
            </w:r>
          </w:p>
        </w:tc>
        <w:tc>
          <w:tcPr>
            <w:tcW w:type="dxa" w:w="1020"/>
          </w:tcPr>
          <w:p>
            <w:pPr>
              <w:keepNext/>
              <w:spacing w:after="0"/>
              <w:jc w:val="center"/>
            </w:pPr>
            <w:r/>
            <w:r>
              <w:rPr>
                <w:sz w:val="16"/>
              </w:rPr>
              <w:t>1.00</w:t>
            </w:r>
          </w:p>
        </w:tc>
        <w:tc>
          <w:tcPr>
            <w:tcW w:type="dxa" w:w="1134"/>
          </w:tcPr>
          <w:p>
            <w:pPr>
              <w:keepNext/>
              <w:spacing w:after="0"/>
              <w:jc w:val="center"/>
            </w:pPr>
            <w:r/>
            <w:r>
              <w:rPr>
                <w:sz w:val="16"/>
              </w:rPr>
              <w:t>81.4</w:t>
            </w:r>
          </w:p>
        </w:tc>
        <w:tc>
          <w:tcPr>
            <w:tcW w:type="dxa" w:w="1474"/>
          </w:tcPr>
          <w:p>
            <w:pPr>
              <w:keepNext/>
              <w:spacing w:after="0"/>
              <w:jc w:val="center"/>
            </w:pPr>
            <w:r/>
            <w:r>
              <w:rPr>
                <w:sz w:val="16"/>
              </w:rPr>
              <w:t>–</w:t>
            </w:r>
          </w:p>
        </w:tc>
        <w:tc>
          <w:tcPr>
            <w:tcW w:type="dxa" w:w="1474"/>
          </w:tcPr>
          <w:p>
            <w:pPr>
              <w:keepNext/>
              <w:spacing w:after="0"/>
              <w:jc w:val="center"/>
            </w:pPr>
            <w:r/>
            <w:r>
              <w:rPr>
                <w:sz w:val="16"/>
              </w:rPr>
              <w:t>–</w:t>
            </w:r>
          </w:p>
        </w:tc>
      </w:tr>
      <w:tr>
        <w:tc>
          <w:tcPr>
            <w:tcW w:type="dxa" w:w="680"/>
            <w:shd w:val="clear" w:color="auto" w:fill="EEF4FC"/>
          </w:tcPr>
          <w:p>
            <w:pPr>
              <w:keepNext/>
              <w:spacing w:after="0"/>
              <w:jc w:val="left"/>
            </w:pPr>
            <w:r/>
            <w:r>
              <w:rPr>
                <w:b/>
                <w:sz w:val="16"/>
              </w:rPr>
              <w:t>Oct</w:t>
            </w:r>
          </w:p>
        </w:tc>
        <w:tc>
          <w:tcPr>
            <w:tcW w:type="dxa" w:w="1134"/>
            <w:shd w:val="clear" w:color="auto" w:fill="EEF4FC"/>
          </w:tcPr>
          <w:p>
            <w:pPr>
              <w:keepNext/>
              <w:spacing w:after="0"/>
              <w:jc w:val="center"/>
            </w:pPr>
            <w:r/>
            <w:r>
              <w:rPr>
                <w:sz w:val="16"/>
              </w:rPr>
              <w:t>5,645</w:t>
            </w:r>
          </w:p>
        </w:tc>
        <w:tc>
          <w:tcPr>
            <w:tcW w:type="dxa" w:w="1644"/>
            <w:shd w:val="clear" w:color="auto" w:fill="EEF4FC"/>
          </w:tcPr>
          <w:p>
            <w:pPr>
              <w:keepNext/>
              <w:spacing w:after="0"/>
              <w:jc w:val="center"/>
            </w:pPr>
            <w:r/>
            <w:r>
              <w:rPr>
                <w:sz w:val="16"/>
              </w:rPr>
              <w:t>5,482–5,809</w:t>
            </w:r>
          </w:p>
        </w:tc>
        <w:tc>
          <w:tcPr>
            <w:tcW w:type="dxa" w:w="1020"/>
            <w:shd w:val="clear" w:color="auto" w:fill="EEF4FC"/>
          </w:tcPr>
          <w:p>
            <w:pPr>
              <w:keepNext/>
              <w:spacing w:after="0"/>
              <w:jc w:val="center"/>
            </w:pPr>
            <w:r/>
            <w:r>
              <w:rPr>
                <w:sz w:val="16"/>
              </w:rPr>
              <w:t>182</w:t>
            </w:r>
          </w:p>
        </w:tc>
        <w:tc>
          <w:tcPr>
            <w:tcW w:type="dxa" w:w="1020"/>
            <w:shd w:val="clear" w:color="auto" w:fill="EEF4FC"/>
          </w:tcPr>
          <w:p>
            <w:pPr>
              <w:keepNext/>
              <w:spacing w:after="0"/>
              <w:jc w:val="center"/>
            </w:pPr>
            <w:r/>
            <w:r>
              <w:rPr>
                <w:sz w:val="16"/>
              </w:rPr>
              <w:t>1.09</w:t>
            </w:r>
          </w:p>
        </w:tc>
        <w:tc>
          <w:tcPr>
            <w:tcW w:type="dxa" w:w="1134"/>
            <w:shd w:val="clear" w:color="auto" w:fill="EEF4FC"/>
          </w:tcPr>
          <w:p>
            <w:pPr>
              <w:keepNext/>
              <w:spacing w:after="0"/>
              <w:jc w:val="center"/>
            </w:pPr>
            <w:r/>
            <w:r>
              <w:rPr>
                <w:sz w:val="16"/>
              </w:rPr>
              <w:t>87.1</w:t>
            </w:r>
          </w:p>
        </w:tc>
        <w:tc>
          <w:tcPr>
            <w:tcW w:type="dxa" w:w="1474"/>
            <w:shd w:val="clear" w:color="auto" w:fill="EEF4FC"/>
          </w:tcPr>
          <w:p>
            <w:pPr>
              <w:keepNext/>
              <w:spacing w:after="0"/>
              <w:jc w:val="center"/>
            </w:pPr>
            <w:r/>
            <w:r>
              <w:rPr>
                <w:sz w:val="16"/>
              </w:rPr>
              <w:t>+2.5%</w:t>
            </w:r>
          </w:p>
        </w:tc>
        <w:tc>
          <w:tcPr>
            <w:tcW w:type="dxa" w:w="1474"/>
            <w:shd w:val="clear" w:color="auto" w:fill="EEF4FC"/>
          </w:tcPr>
          <w:p>
            <w:pPr>
              <w:keepNext/>
              <w:spacing w:after="0"/>
              <w:jc w:val="center"/>
            </w:pPr>
            <w:r/>
            <w:r>
              <w:rPr>
                <w:sz w:val="16"/>
              </w:rPr>
              <w:t>36</w:t>
            </w:r>
          </w:p>
        </w:tc>
      </w:tr>
      <w:tr>
        <w:tc>
          <w:tcPr>
            <w:tcW w:type="dxa" w:w="680"/>
          </w:tcPr>
          <w:p>
            <w:pPr>
              <w:keepNext/>
              <w:spacing w:after="0"/>
              <w:jc w:val="left"/>
            </w:pPr>
            <w:r/>
            <w:r>
              <w:rPr>
                <w:b/>
                <w:sz w:val="16"/>
              </w:rPr>
              <w:t>Nov</w:t>
            </w:r>
          </w:p>
        </w:tc>
        <w:tc>
          <w:tcPr>
            <w:tcW w:type="dxa" w:w="1134"/>
          </w:tcPr>
          <w:p>
            <w:pPr>
              <w:keepNext/>
              <w:spacing w:after="0"/>
              <w:jc w:val="center"/>
            </w:pPr>
            <w:r/>
            <w:r>
              <w:rPr>
                <w:sz w:val="16"/>
              </w:rPr>
              <w:t>6,175</w:t>
            </w:r>
          </w:p>
        </w:tc>
        <w:tc>
          <w:tcPr>
            <w:tcW w:type="dxa" w:w="1644"/>
          </w:tcPr>
          <w:p>
            <w:pPr>
              <w:keepNext/>
              <w:spacing w:after="0"/>
              <w:jc w:val="center"/>
            </w:pPr>
            <w:r/>
            <w:r>
              <w:rPr>
                <w:sz w:val="16"/>
              </w:rPr>
              <w:t>5,971–6,380</w:t>
            </w:r>
          </w:p>
        </w:tc>
        <w:tc>
          <w:tcPr>
            <w:tcW w:type="dxa" w:w="1020"/>
          </w:tcPr>
          <w:p>
            <w:pPr>
              <w:keepNext/>
              <w:spacing w:after="0"/>
              <w:jc w:val="center"/>
            </w:pPr>
            <w:r/>
            <w:r>
              <w:rPr>
                <w:sz w:val="16"/>
              </w:rPr>
              <w:t>206</w:t>
            </w:r>
          </w:p>
        </w:tc>
        <w:tc>
          <w:tcPr>
            <w:tcW w:type="dxa" w:w="1020"/>
          </w:tcPr>
          <w:p>
            <w:pPr>
              <w:keepNext/>
              <w:spacing w:after="0"/>
              <w:jc w:val="center"/>
            </w:pPr>
            <w:r/>
            <w:r>
              <w:rPr>
                <w:sz w:val="16"/>
              </w:rPr>
              <w:t>1.19</w:t>
            </w:r>
          </w:p>
        </w:tc>
        <w:tc>
          <w:tcPr>
            <w:tcW w:type="dxa" w:w="1134"/>
          </w:tcPr>
          <w:p>
            <w:pPr>
              <w:keepNext/>
              <w:spacing w:after="0"/>
              <w:jc w:val="center"/>
            </w:pPr>
            <w:r/>
            <w:r>
              <w:rPr>
                <w:sz w:val="16"/>
              </w:rPr>
              <w:t>94.7</w:t>
            </w:r>
          </w:p>
        </w:tc>
        <w:tc>
          <w:tcPr>
            <w:tcW w:type="dxa" w:w="1474"/>
          </w:tcPr>
          <w:p>
            <w:pPr>
              <w:keepNext/>
              <w:spacing w:after="0"/>
              <w:jc w:val="center"/>
            </w:pPr>
            <w:r/>
            <w:r>
              <w:rPr>
                <w:sz w:val="16"/>
              </w:rPr>
              <w:t>+11.4%</w:t>
            </w:r>
          </w:p>
        </w:tc>
        <w:tc>
          <w:tcPr>
            <w:tcW w:type="dxa" w:w="1474"/>
          </w:tcPr>
          <w:p>
            <w:pPr>
              <w:keepNext/>
              <w:spacing w:after="0"/>
              <w:jc w:val="center"/>
            </w:pPr>
            <w:r/>
            <w:r>
              <w:rPr>
                <w:sz w:val="16"/>
              </w:rPr>
              <w:t>142</w:t>
            </w:r>
          </w:p>
        </w:tc>
      </w:tr>
      <w:tr>
        <w:tc>
          <w:tcPr>
            <w:tcW w:type="dxa" w:w="680"/>
            <w:shd w:val="clear" w:color="auto" w:fill="EEF4FC"/>
          </w:tcPr>
          <w:p>
            <w:pPr>
              <w:keepNext/>
              <w:spacing w:after="0"/>
              <w:jc w:val="left"/>
            </w:pPr>
            <w:r/>
            <w:r>
              <w:rPr>
                <w:b/>
                <w:sz w:val="16"/>
              </w:rPr>
              <w:t>Dec</w:t>
            </w:r>
          </w:p>
        </w:tc>
        <w:tc>
          <w:tcPr>
            <w:tcW w:type="dxa" w:w="1134"/>
            <w:shd w:val="clear" w:color="auto" w:fill="EEF4FC"/>
          </w:tcPr>
          <w:p>
            <w:pPr>
              <w:keepNext/>
              <w:spacing w:after="0"/>
              <w:jc w:val="center"/>
            </w:pPr>
            <w:r/>
            <w:r>
              <w:rPr>
                <w:sz w:val="16"/>
              </w:rPr>
              <w:t>6,699</w:t>
            </w:r>
          </w:p>
        </w:tc>
        <w:tc>
          <w:tcPr>
            <w:tcW w:type="dxa" w:w="1644"/>
            <w:shd w:val="clear" w:color="auto" w:fill="EEF4FC"/>
          </w:tcPr>
          <w:p>
            <w:pPr>
              <w:keepNext/>
              <w:spacing w:after="0"/>
              <w:jc w:val="center"/>
            </w:pPr>
            <w:r/>
            <w:r>
              <w:rPr>
                <w:sz w:val="16"/>
              </w:rPr>
              <w:t>6,450–6,948</w:t>
            </w:r>
          </w:p>
        </w:tc>
        <w:tc>
          <w:tcPr>
            <w:tcW w:type="dxa" w:w="1020"/>
            <w:shd w:val="clear" w:color="auto" w:fill="EEF4FC"/>
          </w:tcPr>
          <w:p>
            <w:pPr>
              <w:keepNext/>
              <w:spacing w:after="0"/>
              <w:jc w:val="center"/>
            </w:pPr>
            <w:r/>
            <w:r>
              <w:rPr>
                <w:sz w:val="16"/>
              </w:rPr>
              <w:t>216</w:t>
            </w:r>
          </w:p>
        </w:tc>
        <w:tc>
          <w:tcPr>
            <w:tcW w:type="dxa" w:w="1020"/>
            <w:shd w:val="clear" w:color="auto" w:fill="EEF4FC"/>
          </w:tcPr>
          <w:p>
            <w:pPr>
              <w:keepNext/>
              <w:spacing w:after="0"/>
              <w:jc w:val="center"/>
            </w:pPr>
            <w:r/>
            <w:r>
              <w:rPr>
                <w:sz w:val="16"/>
              </w:rPr>
              <w:t>1.29</w:t>
            </w:r>
          </w:p>
        </w:tc>
        <w:tc>
          <w:tcPr>
            <w:tcW w:type="dxa" w:w="1134"/>
            <w:shd w:val="clear" w:color="auto" w:fill="EEF4FC"/>
          </w:tcPr>
          <w:p>
            <w:pPr>
              <w:keepNext/>
              <w:spacing w:after="0"/>
              <w:jc w:val="center"/>
            </w:pPr>
            <w:r/>
            <w:r>
              <w:rPr>
                <w:sz w:val="16"/>
              </w:rPr>
              <w:t>102.3</w:t>
            </w:r>
          </w:p>
        </w:tc>
        <w:tc>
          <w:tcPr>
            <w:tcW w:type="dxa" w:w="1474"/>
            <w:shd w:val="clear" w:color="auto" w:fill="EEF4FC"/>
          </w:tcPr>
          <w:p>
            <w:pPr>
              <w:keepNext/>
              <w:spacing w:after="0"/>
              <w:jc w:val="center"/>
            </w:pPr>
            <w:r/>
            <w:r>
              <w:rPr>
                <w:sz w:val="16"/>
              </w:rPr>
              <w:t>+20.3%</w:t>
            </w:r>
          </w:p>
        </w:tc>
        <w:tc>
          <w:tcPr>
            <w:tcW w:type="dxa" w:w="1474"/>
            <w:shd w:val="clear" w:color="auto" w:fill="EEF4FC"/>
          </w:tcPr>
          <w:p>
            <w:pPr>
              <w:keepNext/>
              <w:spacing w:after="0"/>
              <w:jc w:val="center"/>
            </w:pPr>
            <w:r/>
            <w:r>
              <w:rPr>
                <w:sz w:val="16"/>
              </w:rPr>
              <w:t>247</w:t>
            </w:r>
          </w:p>
        </w:tc>
      </w:tr>
      <w:tr>
        <w:tc>
          <w:tcPr>
            <w:tcW w:type="dxa" w:w="680"/>
          </w:tcPr>
          <w:p>
            <w:pPr>
              <w:keepNext w:val="0"/>
              <w:spacing w:after="0"/>
              <w:jc w:val="left"/>
            </w:pPr>
            <w:r/>
            <w:r>
              <w:rPr>
                <w:b/>
                <w:sz w:val="16"/>
              </w:rPr>
              <w:t>Total</w:t>
            </w:r>
          </w:p>
        </w:tc>
        <w:tc>
          <w:tcPr>
            <w:tcW w:type="dxa" w:w="1134"/>
          </w:tcPr>
          <w:p>
            <w:pPr>
              <w:keepNext w:val="0"/>
              <w:spacing w:after="0"/>
              <w:jc w:val="center"/>
            </w:pPr>
            <w:r/>
            <w:r>
              <w:rPr>
                <w:sz w:val="16"/>
              </w:rPr>
              <w:t>65,574</w:t>
            </w:r>
          </w:p>
        </w:tc>
        <w:tc>
          <w:tcPr>
            <w:tcW w:type="dxa" w:w="1644"/>
          </w:tcPr>
          <w:p>
            <w:pPr>
              <w:keepNext w:val="0"/>
              <w:spacing w:after="0"/>
              <w:jc w:val="center"/>
            </w:pPr>
            <w:r/>
            <w:r>
              <w:rPr>
                <w:sz w:val="16"/>
              </w:rPr>
            </w:r>
          </w:p>
        </w:tc>
        <w:tc>
          <w:tcPr>
            <w:tcW w:type="dxa" w:w="1020"/>
          </w:tcPr>
          <w:p>
            <w:pPr>
              <w:keepNext w:val="0"/>
              <w:spacing w:after="0"/>
              <w:jc w:val="center"/>
            </w:pPr>
            <w:r/>
            <w:r>
              <w:rPr>
                <w:sz w:val="16"/>
              </w:rPr>
            </w:r>
          </w:p>
        </w:tc>
        <w:tc>
          <w:tcPr>
            <w:tcW w:type="dxa" w:w="1020"/>
          </w:tcPr>
          <w:p>
            <w:pPr>
              <w:keepNext w:val="0"/>
              <w:spacing w:after="0"/>
              <w:jc w:val="center"/>
            </w:pPr>
            <w:r/>
            <w:r>
              <w:rPr>
                <w:sz w:val="16"/>
              </w:rPr>
            </w:r>
          </w:p>
        </w:tc>
        <w:tc>
          <w:tcPr>
            <w:tcW w:type="dxa" w:w="1134"/>
          </w:tcPr>
          <w:p>
            <w:pPr>
              <w:keepNext w:val="0"/>
              <w:spacing w:after="0"/>
              <w:jc w:val="center"/>
            </w:pPr>
            <w:r/>
            <w:r>
              <w:rPr>
                <w:sz w:val="16"/>
              </w:rPr>
            </w:r>
          </w:p>
        </w:tc>
        <w:tc>
          <w:tcPr>
            <w:tcW w:type="dxa" w:w="1474"/>
          </w:tcPr>
          <w:p>
            <w:pPr>
              <w:keepNext w:val="0"/>
              <w:spacing w:after="0"/>
              <w:jc w:val="center"/>
            </w:pPr>
            <w:r/>
            <w:r>
              <w:rPr>
                <w:sz w:val="16"/>
              </w:rPr>
            </w:r>
          </w:p>
        </w:tc>
        <w:tc>
          <w:tcPr>
            <w:tcW w:type="dxa" w:w="1474"/>
          </w:tcPr>
          <w:p>
            <w:pPr>
              <w:keepNext w:val="0"/>
              <w:spacing w:after="0"/>
              <w:jc w:val="center"/>
            </w:pPr>
            <w:r/>
            <w:r>
              <w:rPr>
                <w:sz w:val="16"/>
              </w:rPr>
              <w:t>793</w:t>
            </w:r>
          </w:p>
        </w:tc>
      </w:tr>
    </w:tbl>
    <w:p>
      <w:pPr>
        <w:spacing w:after="40"/>
      </w:pPr>
    </w:p>
    <w:p>
      <w:pPr>
        <w:jc w:val="center"/>
      </w:pPr>
      <w:r>
        <w:drawing>
          <wp:inline xmlns:a="http://schemas.openxmlformats.org/drawingml/2006/main" xmlns:pic="http://schemas.openxmlformats.org/drawingml/2006/picture">
            <wp:extent cx="5832000" cy="3694758"/>
            <wp:docPr id="10" name="Picture 10"/>
            <wp:cNvGraphicFramePr>
              <a:graphicFrameLocks noChangeAspect="1"/>
            </wp:cNvGraphicFramePr>
            <a:graphic>
              <a:graphicData uri="http://schemas.openxmlformats.org/drawingml/2006/picture">
                <pic:pic>
                  <pic:nvPicPr>
                    <pic:cNvPr id="0" name="fig11_forecast_2025.png"/>
                    <pic:cNvPicPr/>
                  </pic:nvPicPr>
                  <pic:blipFill>
                    <a:blip r:embed="rId18"/>
                    <a:stretch>
                      <a:fillRect/>
                    </a:stretch>
                  </pic:blipFill>
                  <pic:spPr>
                    <a:xfrm>
                      <a:off x="0" y="0"/>
                      <a:ext cx="5832000" cy="3694758"/>
                    </a:xfrm>
                    <a:prstGeom prst="rect"/>
                  </pic:spPr>
                </pic:pic>
              </a:graphicData>
            </a:graphic>
          </wp:inline>
        </w:drawing>
      </w:r>
    </w:p>
    <w:p>
      <w:pPr>
        <w:jc w:val="center"/>
      </w:pPr>
      <w:r>
        <w:rPr>
          <w:i/>
          <w:color w:val="52514E"/>
          <w:sz w:val="17"/>
        </w:rPr>
        <w:t>Figure 11. 2025 forecasts with prediction intervals: ER visits (top) and ICU utilisation (bottom).</w:t>
      </w:r>
    </w:p>
    <w:p>
      <w:r>
        <w:rPr>
          <w:i w:val="0"/>
        </w:rPr>
        <w:t xml:space="preserve">Refitted on all 48 months, the model projects </w:t>
      </w:r>
      <w:r>
        <w:rPr>
          <w:b/>
          <w:i w:val="0"/>
        </w:rPr>
        <w:t>65,574 ER visits in 2025 (+5.6%)</w:t>
      </w:r>
      <w:r>
        <w:rPr>
          <w:i w:val="0"/>
        </w:rPr>
        <w:t xml:space="preserve"> (Table 7, Figure 11). The year has twin winter peaks, January (6,655) and December (6,699), and a June trough (4,539). The peak-to-trough staffing ratio is 1.48. The prediction intervals come from rolling-origin cross-validation (Hyndman and Athanasopoulos, 2021): the model was refitted at 24 forecast origins. The 95% interval widens from ±0.6% in January to ±3.7% in December. Applying the same method to ICU utilisation gives readings above 85% from October to March, and above 100% of current staffed beds in January (101.4%) and December (102.3%). Values above 100% do not mean patients will occupy beds that do not exist. They mean demand will exceed staffed capacity, causing boarding in the ER, transfers or cancelled elective admissions unless capacity is added. February has the highest *daily* ER load (218 a day, because it has only 28 days), and July the lowest (149 a day).</w:t>
      </w:r>
    </w:p>
    <w:p>
      <w:pPr>
        <w:pStyle w:val="Heading1"/>
      </w:pPr>
      <w:r>
        <w:t>Section 4 — Strategic Recommendations &amp; Action Plan</w:t>
      </w:r>
    </w:p>
    <w:p>
      <w:r>
        <w:rPr>
          <w:i w:val="0"/>
        </w:rPr>
        <w:t>The recommendations below link each action to a specific model output.</w:t>
      </w:r>
    </w:p>
    <w:p>
      <w:pPr>
        <w:pStyle w:val="ListBullet"/>
      </w:pPr>
      <w:r>
        <w:rPr>
          <w:i w:val="0"/>
        </w:rPr>
      </w:r>
      <w:r>
        <w:rPr>
          <w:b/>
          <w:i w:val="0"/>
        </w:rPr>
        <w:t>R1. Flexible seasonal workforce.</w:t>
      </w:r>
      <w:r>
        <w:rPr>
          <w:i w:val="0"/>
        </w:rPr>
        <w:t xml:space="preserve"> Size permanent ER rosters to the summer base (staffing index 0.88–0.93, about 150 visits a day). Then build a bank/agency and overtime pool covering a 29% uplift in December–January, 18–19% in November and February, and 9% in October. Approve annual leave mainly in May–August. Begin winter recruitment by August, before the September ramp-up (index 1.00 rising to 1.09).</w:t>
      </w:r>
    </w:p>
    <w:p>
      <w:pPr>
        <w:pStyle w:val="ListBullet"/>
      </w:pPr>
      <w:r>
        <w:rPr>
          <w:i w:val="0"/>
        </w:rPr>
      </w:r>
      <w:r>
        <w:rPr>
          <w:b/>
          <w:i w:val="0"/>
        </w:rPr>
        <w:t>R2. ICU surge capacity.</w:t>
      </w:r>
      <w:r>
        <w:rPr>
          <w:i w:val="0"/>
        </w:rPr>
        <w:t xml:space="preserve"> Hold ICU occupancy at the 85% target by commissioning about 20% more staffed ICU capacity for December–January and 10–11% for November and February. Do this by converting step-down/HDU beds, cross-training theatre recovery nurses and agreeing mutual-aid transfers with neighbouring hospitals. Schedule elective surgery that needs ICU into April–September, when utilisation is forecast at 71–81%.</w:t>
      </w:r>
    </w:p>
    <w:p>
      <w:pPr>
        <w:pStyle w:val="ListBullet"/>
      </w:pPr>
      <w:r>
        <w:rPr>
          <w:i w:val="0"/>
        </w:rPr>
      </w:r>
      <w:r>
        <w:rPr>
          <w:b/>
          <w:i w:val="0"/>
        </w:rPr>
        <w:t>R3. Flu-indexed early warning.</w:t>
      </w:r>
      <w:r>
        <w:rPr>
          <w:i w:val="0"/>
        </w:rPr>
        <w:t xml:space="preserve"> Use the regression coefficient (1.64 visits per case) as a trigger. When monthly respiratory cases exceed the forecast by 10% (about 230 cases in a winter month), activate surge level 1, which means about 380 extra visits that month. At 15%, activate level 2. A 2022-style severe season (+15% flu) would add about 4,580 visits over the year, raise peak-month ER demand to about 7,270 and push ICU utilisation to about 111%.</w:t>
      </w:r>
    </w:p>
    <w:p>
      <w:pPr>
        <w:pStyle w:val="ListBullet"/>
      </w:pPr>
      <w:r>
        <w:rPr>
          <w:i w:val="0"/>
        </w:rPr>
      </w:r>
      <w:r>
        <w:rPr>
          <w:b/>
          <w:i w:val="0"/>
        </w:rPr>
        <w:t>R4. Budget and emergency reserves.</w:t>
      </w:r>
      <w:r>
        <w:rPr>
          <w:i w:val="0"/>
        </w:rPr>
        <w:t xml:space="preserve"> The 2025 expenditure forecast is $16.72m (+3.7%). Because of seasonality, a flat monthly allocation of $1.39m would be overspent from October to February, so ring-fence a </w:t>
      </w:r>
      <w:r>
        <w:rPr>
          <w:b/>
          <w:i w:val="0"/>
        </w:rPr>
        <w:t>$0.79m winter-surge reserve</w:t>
      </w:r>
      <w:r>
        <w:rPr>
          <w:i w:val="0"/>
        </w:rPr>
        <w:t xml:space="preserve">. Add a </w:t>
      </w:r>
      <w:r>
        <w:rPr>
          <w:b/>
          <w:i w:val="0"/>
        </w:rPr>
        <w:t>$0.92m severe-season contingency</w:t>
      </w:r>
      <w:r>
        <w:rPr>
          <w:i w:val="0"/>
        </w:rPr>
        <w:t xml:space="preserve"> sized on the +15% flu scenario. The combined $1.71m (about 10% of budget) should be released in stages linked to the R3 triggers.</w:t>
      </w:r>
    </w:p>
    <w:p>
      <w:pPr>
        <w:pStyle w:val="ListBullet"/>
      </w:pPr>
      <w:r>
        <w:rPr>
          <w:i w:val="0"/>
        </w:rPr>
      </w:r>
      <w:r>
        <w:rPr>
          <w:b/>
          <w:i w:val="0"/>
        </w:rPr>
        <w:t>R5. Prevention.</w:t>
      </w:r>
      <w:r>
        <w:rPr>
          <w:i w:val="0"/>
        </w:rPr>
        <w:t xml:space="preserve"> Run vaccination outreach in September–October, before the October rise in infections, and target 92% coverage. ER visits per infection have fallen 10% since 2021, and each avoided ER visit is worth about $200. Collect data on age-specific coverage and severity to test the effect formally.</w:t>
      </w:r>
    </w:p>
    <w:p>
      <w:pPr>
        <w:pStyle w:val="ListBullet"/>
      </w:pPr>
      <w:r>
        <w:rPr>
          <w:i w:val="0"/>
        </w:rPr>
      </w:r>
      <w:r>
        <w:rPr>
          <w:b/>
          <w:i w:val="0"/>
        </w:rPr>
        <w:t>R6. Structural growth and model governance.</w:t>
      </w:r>
      <w:r>
        <w:rPr>
          <w:i w:val="0"/>
        </w:rPr>
        <w:t xml:space="preserve"> Add about 2% a year to recurrent ER capacity to absorb population-driven growth (about 96 visits a month each year). Re-run the Holt-Winters model monthly, track a rolling MAPE, and re-estimate if it exceeds 2% for two consecutive months. Record staffed bed counts so that utilisation can be converted into absolute numbers of beds.</w:t>
      </w:r>
    </w:p>
    <w:p>
      <w:pPr>
        <w:keepNext/>
        <w:spacing w:after="40"/>
      </w:pPr>
      <w:r>
        <w:rPr>
          <w:b/>
          <w:color w:val="0D366B"/>
          <w:sz w:val="18"/>
        </w:rPr>
        <w:t>Table 8. Implementation action plan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474"/>
            <w:shd w:val="clear" w:color="auto" w:fill="1C5CAB"/>
          </w:tcPr>
          <w:p>
            <w:pPr>
              <w:keepNext/>
              <w:spacing w:after="0"/>
              <w:jc w:val="left"/>
            </w:pPr>
            <w:r/>
            <w:r>
              <w:rPr>
                <w:b/>
                <w:color w:val="FFFFFF"/>
                <w:sz w:val="16"/>
              </w:rPr>
              <w:t>Timing</w:t>
            </w:r>
          </w:p>
        </w:tc>
        <w:tc>
          <w:tcPr>
            <w:tcW w:type="dxa" w:w="3742"/>
            <w:shd w:val="clear" w:color="auto" w:fill="1C5CAB"/>
          </w:tcPr>
          <w:p>
            <w:pPr>
              <w:keepNext/>
              <w:spacing w:after="0"/>
              <w:jc w:val="center"/>
            </w:pPr>
            <w:r/>
            <w:r>
              <w:rPr>
                <w:b/>
                <w:color w:val="FFFFFF"/>
                <w:sz w:val="16"/>
              </w:rPr>
              <w:t>Action</w:t>
            </w:r>
          </w:p>
        </w:tc>
        <w:tc>
          <w:tcPr>
            <w:tcW w:type="dxa" w:w="2041"/>
            <w:shd w:val="clear" w:color="auto" w:fill="1C5CAB"/>
          </w:tcPr>
          <w:p>
            <w:pPr>
              <w:keepNext/>
              <w:spacing w:after="0"/>
              <w:jc w:val="center"/>
            </w:pPr>
            <w:r/>
            <w:r>
              <w:rPr>
                <w:b/>
                <w:color w:val="FFFFFF"/>
                <w:sz w:val="16"/>
              </w:rPr>
              <w:t>Owner</w:t>
            </w:r>
          </w:p>
        </w:tc>
        <w:tc>
          <w:tcPr>
            <w:tcW w:type="dxa" w:w="2268"/>
            <w:shd w:val="clear" w:color="auto" w:fill="1C5CAB"/>
          </w:tcPr>
          <w:p>
            <w:pPr>
              <w:keepNext/>
              <w:spacing w:after="0"/>
              <w:jc w:val="center"/>
            </w:pPr>
            <w:r/>
            <w:r>
              <w:rPr>
                <w:b/>
                <w:color w:val="FFFFFF"/>
                <w:sz w:val="16"/>
              </w:rPr>
              <w:t>KPI / target</w:t>
            </w:r>
          </w:p>
        </w:tc>
      </w:tr>
      <w:tr>
        <w:tc>
          <w:tcPr>
            <w:tcW w:type="dxa" w:w="1474"/>
          </w:tcPr>
          <w:p>
            <w:pPr>
              <w:keepNext/>
              <w:spacing w:after="0"/>
              <w:jc w:val="left"/>
            </w:pPr>
            <w:r/>
            <w:r>
              <w:rPr>
                <w:b/>
                <w:sz w:val="16"/>
              </w:rPr>
              <w:t>Immediately (Jan–Feb 2025)</w:t>
            </w:r>
          </w:p>
        </w:tc>
        <w:tc>
          <w:tcPr>
            <w:tcW w:type="dxa" w:w="3742"/>
          </w:tcPr>
          <w:p>
            <w:pPr>
              <w:keepNext/>
              <w:spacing w:after="0"/>
              <w:jc w:val="center"/>
            </w:pPr>
            <w:r/>
            <w:r>
              <w:rPr>
                <w:sz w:val="16"/>
              </w:rPr>
              <w:t>Winter roster at 1.29× (Jan) and 1.18× (Feb); ICU +20% / +11% staffed capacity; ring-fence the reserves</w:t>
            </w:r>
          </w:p>
        </w:tc>
        <w:tc>
          <w:tcPr>
            <w:tcW w:type="dxa" w:w="2041"/>
          </w:tcPr>
          <w:p>
            <w:pPr>
              <w:keepNext/>
              <w:spacing w:after="0"/>
              <w:jc w:val="center"/>
            </w:pPr>
            <w:r/>
            <w:r>
              <w:rPr>
                <w:sz w:val="16"/>
              </w:rPr>
              <w:t>Chief operating officer / CFO</w:t>
            </w:r>
          </w:p>
        </w:tc>
        <w:tc>
          <w:tcPr>
            <w:tcW w:type="dxa" w:w="2268"/>
          </w:tcPr>
          <w:p>
            <w:pPr>
              <w:keepNext/>
              <w:spacing w:after="0"/>
              <w:jc w:val="center"/>
            </w:pPr>
            <w:r/>
            <w:r>
              <w:rPr>
                <w:sz w:val="16"/>
              </w:rPr>
              <w:t>ICU ≤ 85%; no unplanned elective cancellations</w:t>
            </w:r>
          </w:p>
        </w:tc>
      </w:tr>
      <w:tr>
        <w:tc>
          <w:tcPr>
            <w:tcW w:type="dxa" w:w="1474"/>
            <w:shd w:val="clear" w:color="auto" w:fill="EEF4FC"/>
          </w:tcPr>
          <w:p>
            <w:pPr>
              <w:keepNext/>
              <w:spacing w:after="0"/>
              <w:jc w:val="left"/>
            </w:pPr>
            <w:r/>
            <w:r>
              <w:rPr>
                <w:b/>
                <w:sz w:val="16"/>
              </w:rPr>
              <w:t>Apr–Sep 2025</w:t>
            </w:r>
          </w:p>
        </w:tc>
        <w:tc>
          <w:tcPr>
            <w:tcW w:type="dxa" w:w="3742"/>
            <w:shd w:val="clear" w:color="auto" w:fill="EEF4FC"/>
          </w:tcPr>
          <w:p>
            <w:pPr>
              <w:keepNext/>
              <w:spacing w:after="0"/>
              <w:jc w:val="center"/>
            </w:pPr>
            <w:r/>
            <w:r>
              <w:rPr>
                <w:sz w:val="16"/>
              </w:rPr>
              <w:t>Concentrate elective ICU work, annual leave and training in the trough</w:t>
            </w:r>
          </w:p>
        </w:tc>
        <w:tc>
          <w:tcPr>
            <w:tcW w:type="dxa" w:w="2041"/>
            <w:shd w:val="clear" w:color="auto" w:fill="EEF4FC"/>
          </w:tcPr>
          <w:p>
            <w:pPr>
              <w:keepNext/>
              <w:spacing w:after="0"/>
              <w:jc w:val="center"/>
            </w:pPr>
            <w:r/>
            <w:r>
              <w:rPr>
                <w:sz w:val="16"/>
              </w:rPr>
              <w:t>Clinical directors</w:t>
            </w:r>
          </w:p>
        </w:tc>
        <w:tc>
          <w:tcPr>
            <w:tcW w:type="dxa" w:w="2268"/>
            <w:shd w:val="clear" w:color="auto" w:fill="EEF4FC"/>
          </w:tcPr>
          <w:p>
            <w:pPr>
              <w:keepNext/>
              <w:spacing w:after="0"/>
              <w:jc w:val="center"/>
            </w:pPr>
            <w:r/>
            <w:r>
              <w:rPr>
                <w:sz w:val="16"/>
              </w:rPr>
              <w:t>ICU 71–81%; leave uptake ≥ 70% in May–Aug</w:t>
            </w:r>
          </w:p>
        </w:tc>
      </w:tr>
      <w:tr>
        <w:tc>
          <w:tcPr>
            <w:tcW w:type="dxa" w:w="1474"/>
          </w:tcPr>
          <w:p>
            <w:pPr>
              <w:keepNext/>
              <w:spacing w:after="0"/>
              <w:jc w:val="left"/>
            </w:pPr>
            <w:r/>
            <w:r>
              <w:rPr>
                <w:b/>
                <w:sz w:val="16"/>
              </w:rPr>
              <w:t>Aug–Sep 2025</w:t>
            </w:r>
          </w:p>
        </w:tc>
        <w:tc>
          <w:tcPr>
            <w:tcW w:type="dxa" w:w="3742"/>
          </w:tcPr>
          <w:p>
            <w:pPr>
              <w:keepNext/>
              <w:spacing w:after="0"/>
              <w:jc w:val="center"/>
            </w:pPr>
            <w:r/>
            <w:r>
              <w:rPr>
                <w:sz w:val="16"/>
              </w:rPr>
              <w:t>Recruit bank/agency pool; launch vaccination campaign; agree ICU mutual-aid protocol</w:t>
            </w:r>
          </w:p>
        </w:tc>
        <w:tc>
          <w:tcPr>
            <w:tcW w:type="dxa" w:w="2041"/>
          </w:tcPr>
          <w:p>
            <w:pPr>
              <w:keepNext/>
              <w:spacing w:after="0"/>
              <w:jc w:val="center"/>
            </w:pPr>
            <w:r/>
            <w:r>
              <w:rPr>
                <w:sz w:val="16"/>
              </w:rPr>
              <w:t>Workforce &amp; public-health leads</w:t>
            </w:r>
          </w:p>
        </w:tc>
        <w:tc>
          <w:tcPr>
            <w:tcW w:type="dxa" w:w="2268"/>
          </w:tcPr>
          <w:p>
            <w:pPr>
              <w:keepNext/>
              <w:spacing w:after="0"/>
              <w:jc w:val="center"/>
            </w:pPr>
            <w:r/>
            <w:r>
              <w:rPr>
                <w:sz w:val="16"/>
              </w:rPr>
              <w:t>Pool covers +29% hours; coverage ≥ 92%</w:t>
            </w:r>
          </w:p>
        </w:tc>
      </w:tr>
      <w:tr>
        <w:tc>
          <w:tcPr>
            <w:tcW w:type="dxa" w:w="1474"/>
            <w:shd w:val="clear" w:color="auto" w:fill="EEF4FC"/>
          </w:tcPr>
          <w:p>
            <w:pPr>
              <w:keepNext/>
              <w:spacing w:after="0"/>
              <w:jc w:val="left"/>
            </w:pPr>
            <w:r/>
            <w:r>
              <w:rPr>
                <w:b/>
                <w:sz w:val="16"/>
              </w:rPr>
              <w:t>Oct 2025</w:t>
            </w:r>
          </w:p>
        </w:tc>
        <w:tc>
          <w:tcPr>
            <w:tcW w:type="dxa" w:w="3742"/>
            <w:shd w:val="clear" w:color="auto" w:fill="EEF4FC"/>
          </w:tcPr>
          <w:p>
            <w:pPr>
              <w:keepNext/>
              <w:spacing w:after="0"/>
              <w:jc w:val="center"/>
            </w:pPr>
            <w:r/>
            <w:r>
              <w:rPr>
                <w:sz w:val="16"/>
              </w:rPr>
              <w:t>Activate surge level 0; open first ICU flex beds (+2.5%); start flu-trigger monitoring</w:t>
            </w:r>
          </w:p>
        </w:tc>
        <w:tc>
          <w:tcPr>
            <w:tcW w:type="dxa" w:w="2041"/>
            <w:shd w:val="clear" w:color="auto" w:fill="EEF4FC"/>
          </w:tcPr>
          <w:p>
            <w:pPr>
              <w:keepNext/>
              <w:spacing w:after="0"/>
              <w:jc w:val="center"/>
            </w:pPr>
            <w:r/>
            <w:r>
              <w:rPr>
                <w:sz w:val="16"/>
              </w:rPr>
              <w:t>Operations director</w:t>
            </w:r>
          </w:p>
        </w:tc>
        <w:tc>
          <w:tcPr>
            <w:tcW w:type="dxa" w:w="2268"/>
            <w:shd w:val="clear" w:color="auto" w:fill="EEF4FC"/>
          </w:tcPr>
          <w:p>
            <w:pPr>
              <w:keepNext/>
              <w:spacing w:after="0"/>
              <w:jc w:val="center"/>
            </w:pPr>
            <w:r/>
            <w:r>
              <w:rPr>
                <w:sz w:val="16"/>
              </w:rPr>
              <w:t>ICU ≤ 85%; forecast MAPE &lt; 2%</w:t>
            </w:r>
          </w:p>
        </w:tc>
      </w:tr>
      <w:tr>
        <w:tc>
          <w:tcPr>
            <w:tcW w:type="dxa" w:w="1474"/>
          </w:tcPr>
          <w:p>
            <w:pPr>
              <w:keepNext/>
              <w:spacing w:after="0"/>
              <w:jc w:val="left"/>
            </w:pPr>
            <w:r/>
            <w:r>
              <w:rPr>
                <w:b/>
                <w:sz w:val="16"/>
              </w:rPr>
              <w:t>Nov–Dec 2025</w:t>
            </w:r>
          </w:p>
        </w:tc>
        <w:tc>
          <w:tcPr>
            <w:tcW w:type="dxa" w:w="3742"/>
          </w:tcPr>
          <w:p>
            <w:pPr>
              <w:keepNext/>
              <w:spacing w:after="0"/>
              <w:jc w:val="center"/>
            </w:pPr>
            <w:r/>
            <w:r>
              <w:rPr>
                <w:sz w:val="16"/>
              </w:rPr>
              <w:t>Full winter roster (1.19–1.29×); ICU +11% to +20%; release reserve against R3 triggers</w:t>
            </w:r>
          </w:p>
        </w:tc>
        <w:tc>
          <w:tcPr>
            <w:tcW w:type="dxa" w:w="2041"/>
          </w:tcPr>
          <w:p>
            <w:pPr>
              <w:keepNext/>
              <w:spacing w:after="0"/>
              <w:jc w:val="center"/>
            </w:pPr>
            <w:r/>
            <w:r>
              <w:rPr>
                <w:sz w:val="16"/>
              </w:rPr>
              <w:t>Chief operating officer / CFO</w:t>
            </w:r>
          </w:p>
        </w:tc>
        <w:tc>
          <w:tcPr>
            <w:tcW w:type="dxa" w:w="2268"/>
          </w:tcPr>
          <w:p>
            <w:pPr>
              <w:keepNext/>
              <w:spacing w:after="0"/>
              <w:jc w:val="center"/>
            </w:pPr>
            <w:r/>
            <w:r>
              <w:rPr>
                <w:sz w:val="16"/>
              </w:rPr>
              <w:t>ER wait targets met; reserve variance within plan</w:t>
            </w:r>
          </w:p>
        </w:tc>
      </w:tr>
      <w:tr>
        <w:tc>
          <w:tcPr>
            <w:tcW w:type="dxa" w:w="1474"/>
            <w:shd w:val="clear" w:color="auto" w:fill="EEF4FC"/>
          </w:tcPr>
          <w:p>
            <w:pPr>
              <w:keepNext w:val="0"/>
              <w:spacing w:after="0"/>
              <w:jc w:val="left"/>
            </w:pPr>
            <w:r/>
            <w:r>
              <w:rPr>
                <w:b/>
                <w:sz w:val="16"/>
              </w:rPr>
              <w:t>Quarterly</w:t>
            </w:r>
          </w:p>
        </w:tc>
        <w:tc>
          <w:tcPr>
            <w:tcW w:type="dxa" w:w="3742"/>
            <w:shd w:val="clear" w:color="auto" w:fill="EEF4FC"/>
          </w:tcPr>
          <w:p>
            <w:pPr>
              <w:keepNext w:val="0"/>
              <w:spacing w:after="0"/>
              <w:jc w:val="center"/>
            </w:pPr>
            <w:r/>
            <w:r>
              <w:rPr>
                <w:sz w:val="16"/>
              </w:rPr>
              <w:t>Refresh forecasts; review the budget variance against the $200 per-visit marginal cost</w:t>
            </w:r>
          </w:p>
        </w:tc>
        <w:tc>
          <w:tcPr>
            <w:tcW w:type="dxa" w:w="2041"/>
            <w:shd w:val="clear" w:color="auto" w:fill="EEF4FC"/>
          </w:tcPr>
          <w:p>
            <w:pPr>
              <w:keepNext w:val="0"/>
              <w:spacing w:after="0"/>
              <w:jc w:val="center"/>
            </w:pPr>
            <w:r/>
            <w:r>
              <w:rPr>
                <w:sz w:val="16"/>
              </w:rPr>
              <w:t>Analytics &amp; finance</w:t>
            </w:r>
          </w:p>
        </w:tc>
        <w:tc>
          <w:tcPr>
            <w:tcW w:type="dxa" w:w="2268"/>
            <w:shd w:val="clear" w:color="auto" w:fill="EEF4FC"/>
          </w:tcPr>
          <w:p>
            <w:pPr>
              <w:keepNext w:val="0"/>
              <w:spacing w:after="0"/>
              <w:jc w:val="center"/>
            </w:pPr>
            <w:r/>
            <w:r>
              <w:rPr>
                <w:sz w:val="16"/>
              </w:rPr>
              <w:t>Variance within ±5%</w:t>
            </w:r>
          </w:p>
        </w:tc>
      </w:tr>
    </w:tbl>
    <w:p>
      <w:pPr>
        <w:spacing w:after="40"/>
      </w:pPr>
    </w:p>
    <w:p>
      <w:pPr>
        <w:pStyle w:val="Heading2"/>
      </w:pPr>
      <w:r>
        <w:t>Limitations</w:t>
      </w:r>
    </w:p>
    <w:p>
      <w:r>
        <w:rPr>
          <w:i w:val="0"/>
        </w:rPr>
        <w:t>The series has only 48 observations and is very smooth, so prediction intervals may understate real-world shocks such as a pandemic wave or industrial action; the stress test partly compensates for this. The ICU data are rates without bed counts, so recommendations are expressed in relative terms. Regression results are associations, not proven causal effects, and the effect of vaccination cannot be isolated from population growth with these data.</w:t>
      </w:r>
    </w:p>
    <w:p>
      <w:pPr>
        <w:pStyle w:val="Heading2"/>
      </w:pPr>
      <w:r>
        <w:t>Conclusion</w:t>
      </w:r>
    </w:p>
    <w:p>
      <w:r>
        <w:rPr>
          <w:i w:val="0"/>
        </w:rPr>
        <w:t>Demand for emergency and critical care is growing by about 5–6% a year, driven by respiratory infection and population density, with a stable multiplicative seasonal pattern. Holt-Winters forecasts this pattern with sub-1% error. The forecasts show that ICU capacity, not ER volume, will be the binding constraint in winter 2025. A flu-triggered, seasonally flexed workforce, about 20% winter ICU surge capacity and a $1.7m staged reserve address that constraint directly.</w:t>
      </w:r>
    </w:p>
    <w:p>
      <w:r>
        <w:br w:type="page"/>
      </w:r>
    </w:p>
    <w:p>
      <w:pPr>
        <w:pStyle w:val="Heading1"/>
      </w:pPr>
      <w:r>
        <w:t>References</w:t>
      </w:r>
    </w:p>
    <w:p>
      <w:pPr>
        <w:ind w:left="454" w:hanging="454"/>
      </w:pPr>
      <w:r>
        <w:rPr>
          <w:i w:val="0"/>
        </w:rPr>
        <w:t>Bagust, A., Place, M. and Posnett, J.W. (1999) ‘Dynamics of bed use in accommodating emergency admissions: stochastic simulation model’, BMJ, 319(7203), pp. 155–158.</w:t>
      </w:r>
    </w:p>
    <w:p>
      <w:pPr>
        <w:ind w:left="454" w:hanging="454"/>
      </w:pPr>
      <w:r>
        <w:rPr>
          <w:i w:val="0"/>
        </w:rPr>
        <w:t>Breusch, T.S. and Pagan, A.R. (1979) ‘A simple test for heteroscedasticity and random coefficient variation’, Econometrica, 47(5), pp. 1287–1294.</w:t>
      </w:r>
    </w:p>
    <w:p>
      <w:pPr>
        <w:ind w:left="454" w:hanging="454"/>
      </w:pPr>
      <w:r>
        <w:rPr>
          <w:i w:val="0"/>
        </w:rPr>
        <w:t>Durbin, J. and Watson, G.S. (1950) ‘Testing for serial correlation in least squares regression: I’, Biometrika, 37(3/4), pp. 409–428.</w:t>
      </w:r>
    </w:p>
    <w:p>
      <w:pPr>
        <w:ind w:left="454" w:hanging="454"/>
      </w:pPr>
      <w:r>
        <w:rPr>
          <w:i w:val="0"/>
        </w:rPr>
        <w:t>Holt, C.C. (2004) ‘Forecasting seasonals and trends by exponentially weighted moving averages’, International Journal of Forecasting, 20(1), pp. 5–10 (reprint of 1957 ONR memorandum).</w:t>
      </w:r>
    </w:p>
    <w:p>
      <w:pPr>
        <w:ind w:left="454" w:hanging="454"/>
      </w:pPr>
      <w:r>
        <w:rPr>
          <w:i w:val="0"/>
        </w:rPr>
        <w:t>Hyndman, R.J. and Athanasopoulos, G. (2021) Forecasting: Principles and Practice. 3rd edn. Melbourne: OTexts. Available at: https://otexts.com/fpp3/.</w:t>
      </w:r>
    </w:p>
    <w:p>
      <w:pPr>
        <w:ind w:left="454" w:hanging="454"/>
      </w:pPr>
      <w:r>
        <w:rPr>
          <w:i w:val="0"/>
        </w:rPr>
        <w:t>Jarque, C.M. and Bera, A.K. (1980) ‘Efficient tests for normality, homoscedasticity and serial independence of regression residuals’, Economics Letters, 6(3), pp. 255–259.</w:t>
      </w:r>
    </w:p>
    <w:p>
      <w:pPr>
        <w:ind w:left="454" w:hanging="454"/>
      </w:pPr>
      <w:r>
        <w:rPr>
          <w:i w:val="0"/>
        </w:rPr>
        <w:t>Montgomery, D.C., Peck, E.A. and Vining, G.G. (2021) Introduction to Linear Regression Analysis. 6th edn. Hoboken, NJ: Wiley.</w:t>
      </w:r>
    </w:p>
    <w:p>
      <w:pPr>
        <w:ind w:left="454" w:hanging="454"/>
      </w:pPr>
      <w:r>
        <w:rPr>
          <w:i w:val="0"/>
        </w:rPr>
        <w:t>Newey, W.K. and West, K.D. (1987) ‘A simple, positive semi-definite, heteroskedasticity and autocorrelation consistent covariance matrix’, Econometrica, 55(3), pp. 703–708.</w:t>
      </w:r>
    </w:p>
    <w:p>
      <w:pPr>
        <w:ind w:left="454" w:hanging="454"/>
      </w:pPr>
      <w:r>
        <w:rPr>
          <w:i w:val="0"/>
        </w:rPr>
        <w:t>Shapiro, S.S. and Wilk, M.B. (1965) ‘An analysis of variance test for normality (complete samples)’, Biometrika, 52(3/4), pp. 591–611.</w:t>
      </w:r>
    </w:p>
    <w:p>
      <w:pPr>
        <w:ind w:left="454" w:hanging="454"/>
      </w:pPr>
      <w:r>
        <w:rPr>
          <w:i w:val="0"/>
        </w:rPr>
        <w:t>Winters, P.R. (1960) ‘Forecasting sales by exponentially weighted moving averages’, Management Science, 6(3), pp. 324–342.</w:t>
      </w:r>
    </w:p>
    <w:p>
      <w:pPr>
        <w:ind w:left="454" w:hanging="454"/>
      </w:pPr>
      <w:r>
        <w:rPr>
          <w:i w:val="0"/>
        </w:rPr>
        <w:t>Wooldridge, J.M. (2020) Introductory Econometrics: A Modern Approach. 7th edn. Boston, MA: Cengage.</w:t>
      </w:r>
    </w:p>
    <w:p>
      <w:pPr>
        <w:pStyle w:val="Heading1"/>
      </w:pPr>
      <w:r>
        <w:t>Appendix A — Analytical file guide</w:t>
      </w:r>
    </w:p>
    <w:p>
      <w:pPr>
        <w:keepNext/>
        <w:spacing w:after="40"/>
      </w:pPr>
      <w:r>
        <w:rPr>
          <w:b/>
          <w:color w:val="0D366B"/>
          <w:sz w:val="18"/>
        </w:rPr>
        <w:t>Table A1. Where each brief requirement is evidenced</w:t>
      </w:r>
    </w:p>
    <w:tbl>
      <w:tblPr>
        <w:tblStyle w:val="TableGrid"/>
        <w:tblW w:type="auto" w:w="0"/>
        <w:jc w:val="center"/>
        <w:tblLook w:firstColumn="1" w:firstRow="1" w:lastColumn="0" w:lastRow="0" w:noHBand="0" w:noVBand="1" w:val="04A0"/>
      </w:tblPr>
      <w:tblGrid>
        <w:gridCol w:w="3137"/>
        <w:gridCol w:w="3137"/>
        <w:gridCol w:w="3137"/>
      </w:tblGrid>
      <w:tr>
        <w:tc>
          <w:tcPr>
            <w:tcW w:type="dxa" w:w="4252"/>
            <w:shd w:val="clear" w:color="auto" w:fill="1C5CAB"/>
          </w:tcPr>
          <w:p>
            <w:pPr>
              <w:keepNext/>
              <w:spacing w:after="0"/>
              <w:jc w:val="left"/>
            </w:pPr>
            <w:r/>
            <w:r>
              <w:rPr>
                <w:b/>
                <w:color w:val="FFFFFF"/>
                <w:sz w:val="17"/>
              </w:rPr>
              <w:t>Brief requirement</w:t>
            </w:r>
          </w:p>
        </w:tc>
        <w:tc>
          <w:tcPr>
            <w:tcW w:type="dxa" w:w="3288"/>
            <w:shd w:val="clear" w:color="auto" w:fill="1C5CAB"/>
          </w:tcPr>
          <w:p>
            <w:pPr>
              <w:keepNext/>
              <w:spacing w:after="0"/>
              <w:jc w:val="center"/>
            </w:pPr>
            <w:r/>
            <w:r>
              <w:rPr>
                <w:b/>
                <w:color w:val="FFFFFF"/>
                <w:sz w:val="17"/>
              </w:rPr>
              <w:t>Excel workbook sheet</w:t>
            </w:r>
          </w:p>
        </w:tc>
        <w:tc>
          <w:tcPr>
            <w:tcW w:type="dxa" w:w="1814"/>
            <w:shd w:val="clear" w:color="auto" w:fill="1C5CAB"/>
          </w:tcPr>
          <w:p>
            <w:pPr>
              <w:keepNext/>
              <w:spacing w:after="0"/>
              <w:jc w:val="center"/>
            </w:pPr>
            <w:r/>
            <w:r>
              <w:rPr>
                <w:b/>
                <w:color w:val="FFFFFF"/>
                <w:sz w:val="17"/>
              </w:rPr>
              <w:t>Notebook section</w:t>
            </w:r>
          </w:p>
        </w:tc>
      </w:tr>
      <w:tr>
        <w:tc>
          <w:tcPr>
            <w:tcW w:type="dxa" w:w="4252"/>
          </w:tcPr>
          <w:p>
            <w:pPr>
              <w:keepNext/>
              <w:spacing w:after="0"/>
              <w:jc w:val="left"/>
            </w:pPr>
            <w:r/>
            <w:r>
              <w:rPr>
                <w:b/>
                <w:sz w:val="17"/>
              </w:rPr>
              <w:t>Mean, median, SD, IQR, skewness</w:t>
            </w:r>
          </w:p>
        </w:tc>
        <w:tc>
          <w:tcPr>
            <w:tcW w:type="dxa" w:w="3288"/>
          </w:tcPr>
          <w:p>
            <w:pPr>
              <w:keepNext/>
              <w:spacing w:after="0"/>
              <w:jc w:val="center"/>
            </w:pPr>
            <w:r/>
            <w:r>
              <w:rPr>
                <w:sz w:val="17"/>
              </w:rPr>
              <w:t>Descriptive_Stats</w:t>
            </w:r>
          </w:p>
        </w:tc>
        <w:tc>
          <w:tcPr>
            <w:tcW w:type="dxa" w:w="1814"/>
          </w:tcPr>
          <w:p>
            <w:pPr>
              <w:keepNext/>
              <w:spacing w:after="0"/>
              <w:jc w:val="center"/>
            </w:pPr>
            <w:r/>
            <w:r>
              <w:rPr>
                <w:sz w:val="17"/>
              </w:rPr>
              <w:t>1.1</w:t>
            </w:r>
          </w:p>
        </w:tc>
      </w:tr>
      <w:tr>
        <w:tc>
          <w:tcPr>
            <w:tcW w:type="dxa" w:w="4252"/>
            <w:shd w:val="clear" w:color="auto" w:fill="EEF4FC"/>
          </w:tcPr>
          <w:p>
            <w:pPr>
              <w:keepNext/>
              <w:spacing w:after="0"/>
              <w:jc w:val="left"/>
            </w:pPr>
            <w:r/>
            <w:r>
              <w:rPr>
                <w:b/>
                <w:sz w:val="17"/>
              </w:rPr>
              <w:t>Frequency distributions &amp; histograms</w:t>
            </w:r>
          </w:p>
        </w:tc>
        <w:tc>
          <w:tcPr>
            <w:tcW w:type="dxa" w:w="3288"/>
            <w:shd w:val="clear" w:color="auto" w:fill="EEF4FC"/>
          </w:tcPr>
          <w:p>
            <w:pPr>
              <w:keepNext/>
              <w:spacing w:after="0"/>
              <w:jc w:val="center"/>
            </w:pPr>
            <w:r/>
            <w:r>
              <w:rPr>
                <w:sz w:val="17"/>
              </w:rPr>
              <w:t>Frequency</w:t>
            </w:r>
          </w:p>
        </w:tc>
        <w:tc>
          <w:tcPr>
            <w:tcW w:type="dxa" w:w="1814"/>
            <w:shd w:val="clear" w:color="auto" w:fill="EEF4FC"/>
          </w:tcPr>
          <w:p>
            <w:pPr>
              <w:keepNext/>
              <w:spacing w:after="0"/>
              <w:jc w:val="center"/>
            </w:pPr>
            <w:r/>
            <w:r>
              <w:rPr>
                <w:sz w:val="17"/>
              </w:rPr>
              <w:t>1.2</w:t>
            </w:r>
          </w:p>
        </w:tc>
      </w:tr>
      <w:tr>
        <w:tc>
          <w:tcPr>
            <w:tcW w:type="dxa" w:w="4252"/>
          </w:tcPr>
          <w:p>
            <w:pPr>
              <w:keepNext/>
              <w:spacing w:after="0"/>
              <w:jc w:val="left"/>
            </w:pPr>
            <w:r/>
            <w:r>
              <w:rPr>
                <w:b/>
                <w:sz w:val="17"/>
              </w:rPr>
              <w:t>Multi-dimensional pivots, % of column, YoY, calculated fields</w:t>
            </w:r>
          </w:p>
        </w:tc>
        <w:tc>
          <w:tcPr>
            <w:tcW w:type="dxa" w:w="3288"/>
          </w:tcPr>
          <w:p>
            <w:pPr>
              <w:keepNext/>
              <w:spacing w:after="0"/>
              <w:jc w:val="center"/>
            </w:pPr>
            <w:r/>
            <w:r>
              <w:rPr>
                <w:sz w:val="17"/>
              </w:rPr>
              <w:t>Pivot_Tables (native), Pivot_Formulas</w:t>
            </w:r>
          </w:p>
        </w:tc>
        <w:tc>
          <w:tcPr>
            <w:tcW w:type="dxa" w:w="1814"/>
          </w:tcPr>
          <w:p>
            <w:pPr>
              <w:keepNext/>
              <w:spacing w:after="0"/>
              <w:jc w:val="center"/>
            </w:pPr>
            <w:r/>
            <w:r>
              <w:rPr>
                <w:sz w:val="17"/>
              </w:rPr>
              <w:t>1.3</w:t>
            </w:r>
          </w:p>
        </w:tc>
      </w:tr>
      <w:tr>
        <w:tc>
          <w:tcPr>
            <w:tcW w:type="dxa" w:w="4252"/>
            <w:shd w:val="clear" w:color="auto" w:fill="EEF4FC"/>
          </w:tcPr>
          <w:p>
            <w:pPr>
              <w:keepNext/>
              <w:spacing w:after="0"/>
              <w:jc w:val="left"/>
            </w:pPr>
            <w:r/>
            <w:r>
              <w:rPr>
                <w:b/>
                <w:sz w:val="17"/>
              </w:rPr>
              <w:t>Correlation heat map</w:t>
            </w:r>
          </w:p>
        </w:tc>
        <w:tc>
          <w:tcPr>
            <w:tcW w:type="dxa" w:w="3288"/>
            <w:shd w:val="clear" w:color="auto" w:fill="EEF4FC"/>
          </w:tcPr>
          <w:p>
            <w:pPr>
              <w:keepNext/>
              <w:spacing w:after="0"/>
              <w:jc w:val="center"/>
            </w:pPr>
            <w:r/>
            <w:r>
              <w:rPr>
                <w:sz w:val="17"/>
              </w:rPr>
              <w:t>Correlation</w:t>
            </w:r>
          </w:p>
        </w:tc>
        <w:tc>
          <w:tcPr>
            <w:tcW w:type="dxa" w:w="1814"/>
            <w:shd w:val="clear" w:color="auto" w:fill="EEF4FC"/>
          </w:tcPr>
          <w:p>
            <w:pPr>
              <w:keepNext/>
              <w:spacing w:after="0"/>
              <w:jc w:val="center"/>
            </w:pPr>
            <w:r/>
            <w:r>
              <w:rPr>
                <w:sz w:val="17"/>
              </w:rPr>
              <w:t>1.4</w:t>
            </w:r>
          </w:p>
        </w:tc>
      </w:tr>
      <w:tr>
        <w:tc>
          <w:tcPr>
            <w:tcW w:type="dxa" w:w="4252"/>
          </w:tcPr>
          <w:p>
            <w:pPr>
              <w:keepNext/>
              <w:spacing w:after="0"/>
              <w:jc w:val="left"/>
            </w:pPr>
            <w:r/>
            <w:r>
              <w:rPr>
                <w:b/>
                <w:sz w:val="17"/>
              </w:rPr>
              <w:t>Anomaly detection</w:t>
            </w:r>
          </w:p>
        </w:tc>
        <w:tc>
          <w:tcPr>
            <w:tcW w:type="dxa" w:w="3288"/>
          </w:tcPr>
          <w:p>
            <w:pPr>
              <w:keepNext/>
              <w:spacing w:after="0"/>
              <w:jc w:val="center"/>
            </w:pPr>
            <w:r/>
            <w:r>
              <w:rPr>
                <w:sz w:val="17"/>
              </w:rPr>
              <w:t>Anomalies</w:t>
            </w:r>
          </w:p>
        </w:tc>
        <w:tc>
          <w:tcPr>
            <w:tcW w:type="dxa" w:w="1814"/>
          </w:tcPr>
          <w:p>
            <w:pPr>
              <w:keepNext/>
              <w:spacing w:after="0"/>
              <w:jc w:val="center"/>
            </w:pPr>
            <w:r/>
            <w:r>
              <w:rPr>
                <w:sz w:val="17"/>
              </w:rPr>
              <w:t>1.5</w:t>
            </w:r>
          </w:p>
        </w:tc>
      </w:tr>
      <w:tr>
        <w:tc>
          <w:tcPr>
            <w:tcW w:type="dxa" w:w="4252"/>
            <w:shd w:val="clear" w:color="auto" w:fill="EEF4FC"/>
          </w:tcPr>
          <w:p>
            <w:pPr>
              <w:keepNext/>
              <w:spacing w:after="0"/>
              <w:jc w:val="left"/>
            </w:pPr>
            <w:r/>
            <w:r>
              <w:rPr>
                <w:b/>
                <w:sz w:val="17"/>
              </w:rPr>
              <w:t>Simple linear regression &amp; equation</w:t>
            </w:r>
          </w:p>
        </w:tc>
        <w:tc>
          <w:tcPr>
            <w:tcW w:type="dxa" w:w="3288"/>
            <w:shd w:val="clear" w:color="auto" w:fill="EEF4FC"/>
          </w:tcPr>
          <w:p>
            <w:pPr>
              <w:keepNext/>
              <w:spacing w:after="0"/>
              <w:jc w:val="center"/>
            </w:pPr>
            <w:r/>
            <w:r>
              <w:rPr>
                <w:sz w:val="17"/>
              </w:rPr>
              <w:t>SLR</w:t>
            </w:r>
          </w:p>
        </w:tc>
        <w:tc>
          <w:tcPr>
            <w:tcW w:type="dxa" w:w="1814"/>
            <w:shd w:val="clear" w:color="auto" w:fill="EEF4FC"/>
          </w:tcPr>
          <w:p>
            <w:pPr>
              <w:keepNext/>
              <w:spacing w:after="0"/>
              <w:jc w:val="center"/>
            </w:pPr>
            <w:r/>
            <w:r>
              <w:rPr>
                <w:sz w:val="17"/>
              </w:rPr>
              <w:t>2.1</w:t>
            </w:r>
          </w:p>
        </w:tc>
      </w:tr>
      <w:tr>
        <w:tc>
          <w:tcPr>
            <w:tcW w:type="dxa" w:w="4252"/>
          </w:tcPr>
          <w:p>
            <w:pPr>
              <w:keepNext/>
              <w:spacing w:after="0"/>
              <w:jc w:val="left"/>
            </w:pPr>
            <w:r/>
            <w:r>
              <w:rPr>
                <w:b/>
                <w:sz w:val="17"/>
              </w:rPr>
              <w:t>MLR (3 continuous + 1 dummy), VIF, normality, homoscedasticity</w:t>
            </w:r>
          </w:p>
        </w:tc>
        <w:tc>
          <w:tcPr>
            <w:tcW w:type="dxa" w:w="3288"/>
          </w:tcPr>
          <w:p>
            <w:pPr>
              <w:keepNext/>
              <w:spacing w:after="0"/>
              <w:jc w:val="center"/>
            </w:pPr>
            <w:r/>
            <w:r>
              <w:rPr>
                <w:sz w:val="17"/>
              </w:rPr>
              <w:t>MLR_Full, MLR_Refined</w:t>
            </w:r>
          </w:p>
        </w:tc>
        <w:tc>
          <w:tcPr>
            <w:tcW w:type="dxa" w:w="1814"/>
          </w:tcPr>
          <w:p>
            <w:pPr>
              <w:keepNext/>
              <w:spacing w:after="0"/>
              <w:jc w:val="center"/>
            </w:pPr>
            <w:r/>
            <w:r>
              <w:rPr>
                <w:sz w:val="17"/>
              </w:rPr>
              <w:t>2.2–2.3</w:t>
            </w:r>
          </w:p>
        </w:tc>
      </w:tr>
      <w:tr>
        <w:tc>
          <w:tcPr>
            <w:tcW w:type="dxa" w:w="4252"/>
            <w:shd w:val="clear" w:color="auto" w:fill="EEF4FC"/>
          </w:tcPr>
          <w:p>
            <w:pPr>
              <w:keepNext/>
              <w:spacing w:after="0"/>
              <w:jc w:val="left"/>
            </w:pPr>
            <w:r/>
            <w:r>
              <w:rPr>
                <w:b/>
                <w:sz w:val="17"/>
              </w:rPr>
              <w:t>Decomposition, additive vs multiplicative</w:t>
            </w:r>
          </w:p>
        </w:tc>
        <w:tc>
          <w:tcPr>
            <w:tcW w:type="dxa" w:w="3288"/>
            <w:shd w:val="clear" w:color="auto" w:fill="EEF4FC"/>
          </w:tcPr>
          <w:p>
            <w:pPr>
              <w:keepNext/>
              <w:spacing w:after="0"/>
              <w:jc w:val="center"/>
            </w:pPr>
            <w:r/>
            <w:r>
              <w:rPr>
                <w:sz w:val="17"/>
              </w:rPr>
              <w:t>Decomposition</w:t>
            </w:r>
          </w:p>
        </w:tc>
        <w:tc>
          <w:tcPr>
            <w:tcW w:type="dxa" w:w="1814"/>
            <w:shd w:val="clear" w:color="auto" w:fill="EEF4FC"/>
          </w:tcPr>
          <w:p>
            <w:pPr>
              <w:keepNext/>
              <w:spacing w:after="0"/>
              <w:jc w:val="center"/>
            </w:pPr>
            <w:r/>
            <w:r>
              <w:rPr>
                <w:sz w:val="17"/>
              </w:rPr>
              <w:t>3.1</w:t>
            </w:r>
          </w:p>
        </w:tc>
      </w:tr>
      <w:tr>
        <w:tc>
          <w:tcPr>
            <w:tcW w:type="dxa" w:w="4252"/>
          </w:tcPr>
          <w:p>
            <w:pPr>
              <w:keepNext/>
              <w:spacing w:after="0"/>
              <w:jc w:val="left"/>
            </w:pPr>
            <w:r/>
            <w:r>
              <w:rPr>
                <w:b/>
                <w:sz w:val="17"/>
              </w:rPr>
              <w:t>3- and 6-month SMA</w:t>
            </w:r>
          </w:p>
        </w:tc>
        <w:tc>
          <w:tcPr>
            <w:tcW w:type="dxa" w:w="3288"/>
          </w:tcPr>
          <w:p>
            <w:pPr>
              <w:keepNext/>
              <w:spacing w:after="0"/>
              <w:jc w:val="center"/>
            </w:pPr>
            <w:r/>
            <w:r>
              <w:rPr>
                <w:sz w:val="17"/>
              </w:rPr>
              <w:t>SMA</w:t>
            </w:r>
          </w:p>
        </w:tc>
        <w:tc>
          <w:tcPr>
            <w:tcW w:type="dxa" w:w="1814"/>
          </w:tcPr>
          <w:p>
            <w:pPr>
              <w:keepNext/>
              <w:spacing w:after="0"/>
              <w:jc w:val="center"/>
            </w:pPr>
            <w:r/>
            <w:r>
              <w:rPr>
                <w:sz w:val="17"/>
              </w:rPr>
              <w:t>3.2</w:t>
            </w:r>
          </w:p>
        </w:tc>
      </w:tr>
      <w:tr>
        <w:tc>
          <w:tcPr>
            <w:tcW w:type="dxa" w:w="4252"/>
            <w:shd w:val="clear" w:color="auto" w:fill="EEF4FC"/>
          </w:tcPr>
          <w:p>
            <w:pPr>
              <w:keepNext/>
              <w:spacing w:after="0"/>
              <w:jc w:val="left"/>
            </w:pPr>
            <w:r/>
            <w:r>
              <w:rPr>
                <w:b/>
                <w:sz w:val="17"/>
              </w:rPr>
              <w:t>Holt-Winters (level, trend, seasonality)</w:t>
            </w:r>
          </w:p>
        </w:tc>
        <w:tc>
          <w:tcPr>
            <w:tcW w:type="dxa" w:w="3288"/>
            <w:shd w:val="clear" w:color="auto" w:fill="EEF4FC"/>
          </w:tcPr>
          <w:p>
            <w:pPr>
              <w:keepNext/>
              <w:spacing w:after="0"/>
              <w:jc w:val="center"/>
            </w:pPr>
            <w:r/>
            <w:r>
              <w:rPr>
                <w:sz w:val="17"/>
              </w:rPr>
              <w:t>HW_Holdout, HW_Final_2025</w:t>
            </w:r>
          </w:p>
        </w:tc>
        <w:tc>
          <w:tcPr>
            <w:tcW w:type="dxa" w:w="1814"/>
            <w:shd w:val="clear" w:color="auto" w:fill="EEF4FC"/>
          </w:tcPr>
          <w:p>
            <w:pPr>
              <w:keepNext/>
              <w:spacing w:after="0"/>
              <w:jc w:val="center"/>
            </w:pPr>
            <w:r/>
            <w:r>
              <w:rPr>
                <w:sz w:val="17"/>
              </w:rPr>
              <w:t>3.3</w:t>
            </w:r>
          </w:p>
        </w:tc>
      </w:tr>
      <w:tr>
        <w:tc>
          <w:tcPr>
            <w:tcW w:type="dxa" w:w="4252"/>
          </w:tcPr>
          <w:p>
            <w:pPr>
              <w:keepNext/>
              <w:spacing w:after="0"/>
              <w:jc w:val="left"/>
            </w:pPr>
            <w:r/>
            <w:r>
              <w:rPr>
                <w:b/>
                <w:sz w:val="17"/>
              </w:rPr>
              <w:t>MAPE &amp; RMSE comparison</w:t>
            </w:r>
          </w:p>
        </w:tc>
        <w:tc>
          <w:tcPr>
            <w:tcW w:type="dxa" w:w="3288"/>
          </w:tcPr>
          <w:p>
            <w:pPr>
              <w:keepNext/>
              <w:spacing w:after="0"/>
              <w:jc w:val="center"/>
            </w:pPr>
            <w:r/>
            <w:r>
              <w:rPr>
                <w:sz w:val="17"/>
              </w:rPr>
              <w:t>Model_Comparison</w:t>
            </w:r>
          </w:p>
        </w:tc>
        <w:tc>
          <w:tcPr>
            <w:tcW w:type="dxa" w:w="1814"/>
          </w:tcPr>
          <w:p>
            <w:pPr>
              <w:keepNext/>
              <w:spacing w:after="0"/>
              <w:jc w:val="center"/>
            </w:pPr>
            <w:r/>
            <w:r>
              <w:rPr>
                <w:sz w:val="17"/>
              </w:rPr>
              <w:t>3.4</w:t>
            </w:r>
          </w:p>
        </w:tc>
      </w:tr>
      <w:tr>
        <w:tc>
          <w:tcPr>
            <w:tcW w:type="dxa" w:w="4252"/>
            <w:shd w:val="clear" w:color="auto" w:fill="EEF4FC"/>
          </w:tcPr>
          <w:p>
            <w:pPr>
              <w:keepNext w:val="0"/>
              <w:spacing w:after="0"/>
              <w:jc w:val="left"/>
            </w:pPr>
            <w:r/>
            <w:r>
              <w:rPr>
                <w:b/>
                <w:sz w:val="17"/>
              </w:rPr>
              <w:t>12-month 2025 forecast &amp; recommendations</w:t>
            </w:r>
          </w:p>
        </w:tc>
        <w:tc>
          <w:tcPr>
            <w:tcW w:type="dxa" w:w="3288"/>
            <w:shd w:val="clear" w:color="auto" w:fill="EEF4FC"/>
          </w:tcPr>
          <w:p>
            <w:pPr>
              <w:keepNext w:val="0"/>
              <w:spacing w:after="0"/>
              <w:jc w:val="center"/>
            </w:pPr>
            <w:r/>
            <w:r>
              <w:rPr>
                <w:sz w:val="17"/>
              </w:rPr>
              <w:t>Forecast_2025</w:t>
            </w:r>
          </w:p>
        </w:tc>
        <w:tc>
          <w:tcPr>
            <w:tcW w:type="dxa" w:w="1814"/>
            <w:shd w:val="clear" w:color="auto" w:fill="EEF4FC"/>
          </w:tcPr>
          <w:p>
            <w:pPr>
              <w:keepNext w:val="0"/>
              <w:spacing w:after="0"/>
              <w:jc w:val="center"/>
            </w:pPr>
            <w:r/>
            <w:r>
              <w:rPr>
                <w:sz w:val="17"/>
              </w:rPr>
              <w:t>3.5, 4</w:t>
            </w:r>
          </w:p>
        </w:tc>
      </w:tr>
    </w:tbl>
    <w:p>
      <w:pPr>
        <w:spacing w:after="40"/>
      </w:pPr>
    </w:p>
    <w:p>
      <w:pPr>
        <w:jc w:val="center"/>
      </w:pPr>
      <w:r>
        <w:drawing>
          <wp:inline xmlns:a="http://schemas.openxmlformats.org/drawingml/2006/main" xmlns:pic="http://schemas.openxmlformats.org/drawingml/2006/picture">
            <wp:extent cx="5832000" cy="1950866"/>
            <wp:docPr id="11" name="Picture 11"/>
            <wp:cNvGraphicFramePr>
              <a:graphicFrameLocks noChangeAspect="1"/>
            </wp:cNvGraphicFramePr>
            <a:graphic>
              <a:graphicData uri="http://schemas.openxmlformats.org/drawingml/2006/picture">
                <pic:pic>
                  <pic:nvPicPr>
                    <pic:cNvPr id="0" name="fig02_boxplots.png"/>
                    <pic:cNvPicPr/>
                  </pic:nvPicPr>
                  <pic:blipFill>
                    <a:blip r:embed="rId19"/>
                    <a:stretch>
                      <a:fillRect/>
                    </a:stretch>
                  </pic:blipFill>
                  <pic:spPr>
                    <a:xfrm>
                      <a:off x="0" y="0"/>
                      <a:ext cx="5832000" cy="1950866"/>
                    </a:xfrm>
                    <a:prstGeom prst="rect"/>
                  </pic:spPr>
                </pic:pic>
              </a:graphicData>
            </a:graphic>
          </wp:inline>
        </w:drawing>
      </w:r>
    </w:p>
    <w:p>
      <w:pPr>
        <w:jc w:val="center"/>
      </w:pPr>
      <w:r>
        <w:rPr>
          <w:i/>
          <w:color w:val="52514E"/>
          <w:sz w:val="17"/>
        </w:rPr>
        <w:t>Figure 2 (appendix). Standardised box plots: no values breach the 1.5×IQR fences.</w:t>
      </w:r>
    </w:p>
    <w:p>
      <w:r>
        <w:rPr>
          <w:i w:val="0"/>
          <w:sz w:val="18"/>
        </w:rPr>
        <w:t>Holt-Winters equations (multiplicative): Lₜ = α·Yₜ/Sₜ₋₁₂ + (1−α)(Lₜ₋₁+Tₜ₋₁); Tₜ = β(Lₜ−Lₜ₋₁) + (1−β)Tₜ₋₁; Sₜ = γ·Yₜ/Lₜ + (1−γ)Sₜ₋₁₂; Ŷₜ₊ₕ = (Lₜ + h·Tₜ)·Sₜ₊ₕ₋₁₂. Accuracy: MAPE = (100/n)Σ|Aₜ−Fₜ|/Aₜ; RMSE = √[(1/n)Σ(Aₜ−Fₜ)²].</w:t>
      </w:r>
    </w:p>
    <w:sectPr w:rsidR="00FC693F" w:rsidRPr="0006063C" w:rsidSect="00034616">
      <w:footerReference w:type="default" r:id="rId2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6"/>
      </w:rPr>
      <w:t xml:space="preserve">Assignment 1910090826 · Advanced Analytics &amp; Forecasting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0D366B"/>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C5CAB"/>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C5CA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