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137"/>
        </w:rPr>
        <w:t>Redlined Legal Document</w:t>
      </w:r>
    </w:p>
    <w:p>
      <w:r>
        <w:rPr>
          <w:b/>
          <w:i w:val="0"/>
          <w:color w:val="6B7280"/>
          <w:sz w:val="18"/>
          <w:u w:val="none"/>
        </w:rPr>
        <w:t xml:space="preserve">Source document: </w:t>
      </w:r>
      <w:r>
        <w:rPr>
          <w:b w:val="0"/>
          <w:i w:val="0"/>
          <w:color w:val="6B7280"/>
          <w:sz w:val="18"/>
          <w:u w:val="none"/>
        </w:rPr>
        <w:t>Mutual_NDA_Nexus_Apex.pdf</w:t>
      </w:r>
      <w:r>
        <w:br/>
      </w:r>
      <w:r>
        <w:rPr>
          <w:b/>
          <w:i w:val="0"/>
          <w:color w:val="6B7280"/>
          <w:sz w:val="18"/>
          <w:u w:val="none"/>
        </w:rPr>
        <w:t xml:space="preserve">Generated: </w:t>
      </w:r>
      <w:r>
        <w:rPr>
          <w:b w:val="0"/>
          <w:i w:val="0"/>
          <w:color w:val="6B7280"/>
          <w:sz w:val="18"/>
          <w:u w:val="none"/>
        </w:rPr>
        <w:t>28 Jul 2026, 16:36</w:t>
      </w:r>
      <w:r>
        <w:br/>
      </w:r>
      <w:r>
        <w:rPr>
          <w:b/>
          <w:i w:val="0"/>
          <w:color w:val="6B7280"/>
          <w:sz w:val="18"/>
          <w:u w:val="none"/>
        </w:rPr>
        <w:t xml:space="preserve">Risks applied: </w:t>
      </w:r>
      <w:r>
        <w:rPr>
          <w:b w:val="0"/>
          <w:i w:val="0"/>
          <w:color w:val="6B7280"/>
          <w:sz w:val="18"/>
          <w:u w:val="none"/>
        </w:rPr>
        <w:t>13</w:t>
      </w:r>
    </w:p>
    <w:p>
      <w:r>
        <w:rPr>
          <w:b w:val="0"/>
          <w:i w:val="0"/>
          <w:color w:val="991B1B"/>
          <w:sz w:val="18"/>
          <w:u w:val="none"/>
          <w:strike w:val="true"/>
        </w:rPr>
        <w:t xml:space="preserve">  ORIGINAL CLAUSE (deleted)  </w:t>
      </w:r>
      <w:r>
        <w:rPr>
          <w:b w:val="0"/>
          <w:i w:val="0"/>
          <w:sz w:val="18"/>
          <w:u w:val="none"/>
        </w:rPr>
        <w:t xml:space="preserve">   </w:t>
      </w:r>
      <w:r>
        <w:rPr>
          <w:b w:val="0"/>
          <w:i w:val="0"/>
          <w:color w:val="1E3A8A"/>
          <w:sz w:val="18"/>
          <w:u w:val="single"/>
        </w:rPr>
        <w:t xml:space="preserve">  SUGGESTED REPLACEMENT  </w:t>
      </w:r>
    </w:p>
    <w:p>
      <w:r>
        <w:rPr>
          <w:b w:val="0"/>
          <w:i/>
          <w:color w:val="6B7280"/>
          <w:sz w:val="17"/>
          <w:u w:val="none"/>
        </w:rPr>
        <w:t>⚠  This document is AI-generated. All suggested changes should be reviewed by a qualified legal professional before execution.</w:t>
      </w:r>
    </w:p>
    <w:p>
      <w:pPr>
        <w:pBdr>
          <w:bottom w:val="single" w:sz="4" w:space="1" w:color="E5E7EB"/>
        </w:pBdr>
      </w:pPr>
    </w:p>
    <w:p/>
    <w:p>
      <w:pPr>
        <w:pStyle w:val="Heading2"/>
      </w:pPr>
      <w:r>
        <w:rPr>
          <w:color w:val="0F2137"/>
        </w:rPr>
        <w:t>Document (with redlines applied)</w:t>
      </w:r>
    </w:p>
    <w:p>
      <w:r>
        <w:rPr>
          <w:sz w:val="21"/>
        </w:rPr>
        <w:t>MUTUAL NON-DISCLOSURE AGREEMENT</w:t>
      </w:r>
    </w:p>
    <w:p>
      <w:r>
        <w:rPr>
          <w:sz w:val="21"/>
        </w:rPr>
        <w:t>This Mutual Non-Disclosure Agreement ("Agreement") is entered into and made effective as of the date of the last</w:t>
      </w:r>
    </w:p>
    <w:p>
      <w:r>
        <w:rPr>
          <w:sz w:val="21"/>
        </w:rPr>
        <w:t>signature below ("Effective Date"), by and between the parties identified below.</w:t>
      </w:r>
    </w:p>
    <w:p>
      <w:r>
        <w:rPr>
          <w:sz w:val="21"/>
        </w:rPr>
        <w:t>Party A :Nexus IoT Solutions LLC</w:t>
      </w:r>
    </w:p>
    <w:p>
      <w:r>
        <w:rPr>
          <w:sz w:val="21"/>
        </w:rPr>
        <w:t>Address :100 Innovation Way, Suite 400, Austin, TX 78701</w:t>
      </w:r>
    </w:p>
    <w:p>
      <w:r>
        <w:rPr>
          <w:sz w:val="21"/>
        </w:rPr>
        <w:t>Party B :Apex Hardware Manufacturing Corp.</w:t>
      </w:r>
    </w:p>
    <w:p>
      <w:r>
        <w:rPr>
          <w:sz w:val="21"/>
        </w:rPr>
        <w:t>Address :450 Industrial Parkway, Building B, San Jose, CA 95131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95%)  · </w:t>
      </w:r>
      <w:r>
        <w:rPr>
          <w:b w:val="0"/>
          <w:i/>
          <w:color w:val="6B7280"/>
          <w:sz w:val="17"/>
          <w:u w:val="none"/>
        </w:rPr>
        <w:t>The 'Purpose' is broadly and vaguely defined, which could allow the Receiving Party to use Confidential Information for a wider range of activities than originally intended by the Disclosing Party.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WHEREAS , the parties desire to evaluate or pursue a potential business relationship or transaction of mutual  </w:t>
      </w:r>
      <w:r>
        <w:rPr>
          <w:b/>
          <w:i w:val="0"/>
          <w:color w:val="1E3A8A"/>
          <w:sz w:val="21"/>
          <w:u w:val="single"/>
        </w:rPr>
        <w:t>Define the Purpose with specificity, naming the exact project, transaction, or evaluation being contemplated, and add a clause prohibiting use for any purpose beyond that definition.</w:t>
      </w:r>
    </w:p>
    <w:p>
      <w:r>
        <w:rPr>
          <w:sz w:val="21"/>
        </w:rPr>
        <w:t>interest (the "Purpose"); and</w:t>
      </w:r>
    </w:p>
    <w:p>
      <w:r>
        <w:rPr>
          <w:sz w:val="21"/>
        </w:rPr>
        <w:t>WHEREAS , in connection with the Purpose, either party (the "Disclosing Party") may disclose to the other party</w:t>
      </w:r>
    </w:p>
    <w:p>
      <w:r>
        <w:rPr>
          <w:sz w:val="21"/>
        </w:rPr>
        <w:t>(the "Receiving Party") certain proprietary, confidential, or non-public technical, financial, or business information;</w:t>
      </w:r>
    </w:p>
    <w:p>
      <w:r>
        <w:rPr>
          <w:sz w:val="21"/>
        </w:rPr>
        <w:t>NOW, THEREFORE , in consideration of the mutual covenants contained herein, the parties agree as follows:</w:t>
      </w:r>
    </w:p>
    <w:p>
      <w:r>
        <w:rPr>
          <w:sz w:val="21"/>
        </w:rPr>
        <w:t>1. DEFINITION OF CONFIDENTIAL INFORMATION</w:t>
      </w:r>
    </w:p>
    <w:p>
      <w:r>
        <w:rPr>
          <w:sz w:val="21"/>
        </w:rPr>
        <w:t>"Confidential Information" means any and all information disclosed by the Disclosing Party to the Receiving Party,</w:t>
      </w:r>
    </w:p>
    <w:p>
      <w:r>
        <w:rPr>
          <w:sz w:val="21"/>
        </w:rPr>
        <w:t>whether orally, visually, or in tangible form (including documents, software, data, or samples), that is marked or</w:t>
      </w:r>
    </w:p>
    <w:p>
      <w:r>
        <w:rPr>
          <w:sz w:val="21"/>
        </w:rPr>
        <w:t>designated as "Confidential" or "Proprietary," or that reasonably should be understood to be confidential given the</w:t>
      </w:r>
    </w:p>
    <w:p>
      <w:r>
        <w:rPr>
          <w:sz w:val="21"/>
        </w:rPr>
        <w:t>nature of the information and the circumstances of disclosure.</w:t>
      </w:r>
    </w:p>
    <w:p>
      <w:r>
        <w:rPr>
          <w:sz w:val="21"/>
        </w:rPr>
        <w:t>2. EXCLUSIONS FROM CONFIDENTIAL INFORMATION</w:t>
      </w:r>
    </w:p>
    <w:p>
      <w:r>
        <w:rPr>
          <w:sz w:val="21"/>
        </w:rPr>
        <w:t>Confidential Information does not include information that: (a) is or becomes publicly known through no breach of</w:t>
      </w:r>
    </w:p>
    <w:p>
      <w:r>
        <w:rPr>
          <w:sz w:val="21"/>
        </w:rPr>
        <w:t>this Agreement by the Receiving Party; (b) was already in the lawful possession of the Receiving Party prior to</w:t>
      </w:r>
    </w:p>
    <w:p>
      <w:r>
        <w:rPr>
          <w:sz w:val="21"/>
        </w:rPr>
        <w:t>disclosure; (c) is rightfully received from a third party without restriction; or (d) is independently developed by the</w:t>
      </w:r>
    </w:p>
    <w:p>
      <w:r>
        <w:rPr>
          <w:sz w:val="21"/>
        </w:rPr>
        <w:t>Receiving Party without reference to or reliance upon the Disclosing Party's Confidential Information.</w:t>
      </w:r>
    </w:p>
    <w:p>
      <w:r>
        <w:rPr>
          <w:sz w:val="21"/>
        </w:rPr>
        <w:t>3. OBLIGATIONS OF NON-DISCLOSURE AND USE</w:t>
      </w:r>
    </w:p>
    <w:p>
      <w:r>
        <w:rPr>
          <w:sz w:val="21"/>
        </w:rPr>
        <w:t>The Receiving Party agrees to: (a) hold all Confidential Information in strict confidence and exercise at least the</w:t>
      </w:r>
    </w:p>
    <w:p>
      <w:r>
        <w:rPr>
          <w:sz w:val="21"/>
        </w:rPr>
        <w:t>same degree of care to protect it as it uses for its own confidential information of a similar nature, but no less than a</w:t>
      </w:r>
    </w:p>
    <w:p>
      <w:r>
        <w:rPr>
          <w:sz w:val="21"/>
        </w:rPr>
        <w:t>reasonable standard of care; (b) use Confidential Information solely for the defined Purpose; and (c) restrict access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91%)  · </w:t>
      </w:r>
      <w:r>
        <w:rPr>
          <w:b w:val="0"/>
          <w:i/>
          <w:color w:val="6B7280"/>
          <w:sz w:val="17"/>
          <w:u w:val="none"/>
        </w:rPr>
        <w:t>The term 'affiliates' is undefined and could encompass a broad range of related entities, potentially allowing wide dissemination of confidential information beyond what either party intended.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to Confidential Information to its employees, affiliates, advisors, or contractors who need to know such information  </w:t>
      </w:r>
      <w:r>
        <w:rPr>
          <w:b/>
          <w:i w:val="0"/>
          <w:color w:val="1E3A8A"/>
          <w:sz w:val="21"/>
          <w:u w:val="single"/>
        </w:rPr>
        <w:t>Define 'affiliates' with a clear ownership or control threshold (e.g., entities with at least 50% common ownership) and add a requirement that all affiliates sign a separate confidentiality undertaking.</w:t>
      </w:r>
    </w:p>
    <w:p>
      <w:r>
        <w:rPr>
          <w:sz w:val="21"/>
        </w:rPr>
        <w:t>for the Purpose and who are bound by confidentiality obligations at least as restrictive as those herein.</w:t>
      </w:r>
    </w:p>
    <w:p>
      <w:r>
        <w:rPr>
          <w:sz w:val="21"/>
        </w:rPr>
        <w:t>4. COMPELLED DISCLOSURE</w:t>
      </w:r>
    </w:p>
    <w:p>
      <w:r>
        <w:rPr>
          <w:sz w:val="21"/>
        </w:rPr>
        <w:t>If the Receiving Party is legally compelled by court order, subpoena, or government regulation to disclose any</w:t>
      </w:r>
    </w:p>
    <w:p>
      <w:r>
        <w:rPr>
          <w:sz w:val="21"/>
        </w:rPr>
        <w:t>Confidential Information, it shall, to the extent legally permitted, provide prompt written notice to the Disclosing Party</w:t>
      </w:r>
    </w:p>
    <w:p>
      <w:r>
        <w:rPr>
          <w:sz w:val="21"/>
        </w:rPr>
        <w:t>Mutual Non-Disclosure Agreement Page 1 of 2</w:t>
      </w:r>
    </w:p>
    <w:p>
      <w:r>
        <w:rPr>
          <w:sz w:val="21"/>
        </w:rPr>
        <w:t>so that the Disclosing Party may seek a protective order or waive compliance. The Receiving Party shall disclose</w:t>
      </w:r>
    </w:p>
    <w:p>
      <w:r>
        <w:rPr>
          <w:sz w:val="21"/>
        </w:rPr>
        <w:t>only that portion of the information legally required.</w:t>
      </w:r>
    </w:p>
    <w:p>
      <w:r>
        <w:rPr>
          <w:sz w:val="21"/>
        </w:rPr>
        <w:t>5. TERM AND TERMINATION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If the business relationship extends beyond two years, new disclosures will not be covered under this agreement, leaving later-stage sensitive information unprotected without a new agreement in place.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This Agreement governs disclosures made within two (2) years from the Effective Date. The Receiving Party’s  </w:t>
      </w:r>
      <w:r>
        <w:rPr>
          <w:b/>
          <w:i w:val="0"/>
          <w:color w:val="1E3A8A"/>
          <w:sz w:val="21"/>
          <w:u w:val="single"/>
        </w:rPr>
        <w:t>Include an automatic extension provision or a mutual written amendment process to extend the disclosure period if the business relationship continues beyond the initial two-year window.</w:t>
      </w:r>
    </w:p>
    <w:p>
      <w:r>
        <w:rPr>
          <w:sz w:val="21"/>
        </w:rPr>
        <w:t>obligations with respect to Confidential Information received under this Agreement shall survive for a period of three</w:t>
      </w:r>
    </w:p>
    <w:p>
      <w:r>
        <w:rPr>
          <w:sz w:val="21"/>
        </w:rPr>
        <w:t>(3) years from the date of initial disclosure, except for trade secrets, which shall remain protected for as long as they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99%)  · </w:t>
      </w:r>
      <w:r>
        <w:rPr>
          <w:b w:val="0"/>
          <w:i/>
          <w:color w:val="6B7280"/>
          <w:sz w:val="17"/>
          <w:u w:val="none"/>
        </w:rPr>
        <w:t>The definition of when something 'qualifies as a trade secret' is inherently uncertain and can be disputed, creating a loophole where a receiving party argues the trade secret status has lapsed to escape obligations.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qualify as trade secrets under applicable law.  </w:t>
      </w:r>
      <w:r>
        <w:rPr>
          <w:b/>
          <w:i w:val="0"/>
          <w:color w:val="1E3A8A"/>
          <w:sz w:val="21"/>
          <w:u w:val="single"/>
        </w:rPr>
        <w:t>Add a clause specifying that the Disclosing Party's determination of trade secret status is presumed valid unless successfully challenged in a court of competent jurisdiction, placing the burden of proof on the Receiving Party.</w:t>
      </w:r>
    </w:p>
    <w:p>
      <w:r>
        <w:rPr>
          <w:sz w:val="21"/>
        </w:rPr>
        <w:t>6. RETURN OR DESTRUCTION OF INFORMATION</w:t>
      </w:r>
    </w:p>
    <w:p>
      <w:r>
        <w:rPr>
          <w:sz w:val="21"/>
        </w:rPr>
        <w:t>Upon written request by the Disclosing Party or upon termination of this Agreement, the Receiving Party shall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77%)  · </w:t>
      </w:r>
      <w:r>
        <w:rPr>
          <w:b w:val="0"/>
          <w:i/>
          <w:color w:val="6B7280"/>
          <w:sz w:val="17"/>
          <w:u w:val="none"/>
        </w:rPr>
        <w:t>The agreement does not specify a timeframe within which the return or destruction must occur, allowing indefinite delay after a written request is made.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promptly return or, at the Disclosing Party's option, securely destroy all copies of Confidential Information and  </w:t>
      </w:r>
      <w:r>
        <w:rPr>
          <w:b/>
          <w:i w:val="0"/>
          <w:color w:val="1E3A8A"/>
          <w:sz w:val="21"/>
          <w:u w:val="single"/>
        </w:rPr>
        <w:t>Specify a defined deadline for return or destruction (e.g., within fifteen (15) business days of written request) and clarify that the obligation covers both physical and electronic copies.</w:t>
      </w:r>
    </w:p>
    <w:p>
      <w:r>
        <w:rPr>
          <w:sz w:val="21"/>
        </w:rPr>
        <w:t>certify such destruction in writing to the Disclosing Party.</w:t>
      </w:r>
    </w:p>
    <w:p>
      <w:r>
        <w:rPr>
          <w:sz w:val="21"/>
        </w:rPr>
        <w:t>7. NO OWNERSHIP OR LICENSE</w:t>
      </w:r>
    </w:p>
    <w:p>
      <w:r>
        <w:rPr>
          <w:sz w:val="21"/>
        </w:rPr>
        <w:t>All Confidential Information remains the exclusive property of the Disclosing Party. Nothing in this Agreement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While this protects the Disclosing Party, it does not address ownership of any jointly developed IP or derivative works that may arise during the evaluation or collaboration process.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grants, explicitly or implicitly, any license or ownership rights under any patent, copyright, trademark, or trade secret  </w:t>
      </w:r>
      <w:r>
        <w:rPr>
          <w:b/>
          <w:i w:val="0"/>
          <w:color w:val="1E3A8A"/>
          <w:sz w:val="21"/>
          <w:u w:val="single"/>
        </w:rPr>
        <w:t>Add a clause explicitly addressing ownership of any jointly created or derivative works or inventions developed during the Purpose, or reference a separate IP agreement to govern such scenarios.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92%)  · </w:t>
      </w:r>
      <w:r>
        <w:rPr>
          <w:b w:val="0"/>
          <w:i/>
          <w:color w:val="6B7280"/>
          <w:sz w:val="17"/>
          <w:u w:val="none"/>
        </w:rPr>
        <w:t>The term 'prompt' is undefined, meaning in a fast-moving legal proceeding the Receiving Party could delay notice until it is practically impossible for the Disclosing Party to seek a protective order.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of the Disclosing Party.  </w:t>
      </w:r>
      <w:r>
        <w:rPr>
          <w:b/>
          <w:i w:val="0"/>
          <w:color w:val="1E3A8A"/>
          <w:sz w:val="21"/>
          <w:u w:val="single"/>
        </w:rPr>
        <w:t>Replace 'prompt' with a specific timeframe (e.g., at least five (5) business days before disclosure, or as soon as practicable) to give the Disclosing Party a meaningful opportunity to respond.</w:t>
      </w:r>
    </w:p>
    <w:p>
      <w:r>
        <w:rPr>
          <w:sz w:val="21"/>
        </w:rPr>
        <w:t>8. GOVERNING LAW AND JURISDICTION</w:t>
      </w:r>
    </w:p>
    <w:p>
      <w:r>
        <w:rPr>
          <w:sz w:val="21"/>
        </w:rPr>
        <w:t>This Agreement shall be governed by, construed, and enforced in accordance with the laws of the State of Texas,</w:t>
      </w:r>
    </w:p>
    <w:p>
      <w:r>
        <w:rPr>
          <w:sz w:val="21"/>
        </w:rPr>
        <w:t>without regard to its conflict of laws principles. Any legal actions arising hereunder shall be brought exclusively in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99%)  · </w:t>
      </w:r>
      <w:r>
        <w:rPr>
          <w:b w:val="0"/>
          <w:i/>
          <w:color w:val="6B7280"/>
          <w:sz w:val="17"/>
          <w:u w:val="none"/>
        </w:rPr>
        <w:t>Apex Hardware Manufacturing Corp. is based in San Jose, CA, making Austin, TX an inconvenient and costly jurisdiction for Party B to litigate any dispute, creating a one-sided practical advantage for Party A.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the courts located in Austin, Texas.  </w:t>
      </w:r>
      <w:r>
        <w:rPr>
          <w:b/>
          <w:i w:val="0"/>
          <w:color w:val="1E3A8A"/>
          <w:sz w:val="21"/>
          <w:u w:val="single"/>
        </w:rPr>
        <w:t>Party B should negotiate for a neutral jurisdiction, a venue closer to Party B, or a mutual option clause allowing either party to file in their home jurisdiction.</w:t>
      </w:r>
    </w:p>
    <w:p>
      <w:r>
        <w:rPr>
          <w:sz w:val="21"/>
        </w:rPr>
        <w:t>9. MISCELLANEOUS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94%)  · </w:t>
      </w:r>
      <w:r>
        <w:rPr>
          <w:b w:val="0"/>
          <w:i/>
          <w:color w:val="6B7280"/>
          <w:sz w:val="17"/>
          <w:u w:val="none"/>
        </w:rPr>
        <w:t>There is no dispute resolution mechanism (e.g., mediation or arbitration) specified before litigation, meaning any disagreement immediately escalates to costly court proceedings in Austin, TX.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This  Agreement  constitutes  the  entire  understanding  between  the  parties  regarding  this  subject  matter  and  </w:t>
      </w:r>
      <w:r>
        <w:rPr>
          <w:b/>
          <w:i w:val="0"/>
          <w:color w:val="1E3A8A"/>
          <w:sz w:val="21"/>
          <w:u w:val="single"/>
        </w:rPr>
        <w:t>Add a tiered dispute resolution clause requiring good-faith negotiation, then mediation, before either party may initiate litigation, to reduce cost and preserve the business relationship.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74%)  · </w:t>
      </w:r>
      <w:r>
        <w:rPr>
          <w:b w:val="0"/>
          <w:i/>
          <w:color w:val="6B7280"/>
          <w:sz w:val="17"/>
          <w:u w:val="none"/>
        </w:rPr>
        <w:t>While this mutual amendment requirement is protective, the agreement lacks a definition of 'authorized representative,' which could lead to disputes over whether a signatory had actual authority to bind their organization.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supersedes all prior discussions or agreements. It may only be amended or modified by a written agreement signed  </w:t>
      </w:r>
      <w:r>
        <w:rPr>
          <w:b/>
          <w:i w:val="0"/>
          <w:color w:val="1E3A8A"/>
          <w:sz w:val="21"/>
          <w:u w:val="single"/>
        </w:rPr>
        <w:t>Define 'authorized representative' (e.g., an officer or director with binding authority) and consider adding a representation by each party that their signatory has full authority to execute the agreement.</w:t>
      </w:r>
    </w:p>
    <w:p>
      <w:r>
        <w:rPr>
          <w:sz w:val="21"/>
        </w:rPr>
        <w:t>by authorized representatives of both parties. If any provision is found unenforceable, the remaining provisions shall</w:t>
      </w:r>
    </w:p>
    <w:p>
      <w:r>
        <w:rPr>
          <w:sz w:val="21"/>
        </w:rPr>
        <w:t>remain in full force and effect.</w:t>
      </w:r>
    </w:p>
    <w:p>
      <w:r>
        <w:rPr>
          <w:sz w:val="21"/>
        </w:rPr>
        <w:t>PARTY A:</w:t>
      </w:r>
    </w:p>
    <w:p>
      <w:r>
        <w:rPr>
          <w:sz w:val="21"/>
        </w:rPr>
        <w:t>Nexus IoT Solutions LLC</w:t>
      </w:r>
    </w:p>
    <w:p>
      <w:r>
        <w:rPr>
          <w:sz w:val="21"/>
        </w:rPr>
        <w:t>Company / Individual Name</w:t>
      </w:r>
    </w:p>
    <w:p>
      <w:r>
        <w:rPr>
          <w:sz w:val="21"/>
        </w:rPr>
        <w:t>By (Authorized Signature)</w:t>
      </w:r>
    </w:p>
    <w:p>
      <w:r>
        <w:rPr>
          <w:sz w:val="21"/>
        </w:rPr>
        <w:t>Name &amp; Title</w:t>
      </w:r>
    </w:p>
    <w:p>
      <w:r>
        <w:rPr>
          <w:sz w:val="21"/>
        </w:rPr>
        <w:t>DatePARTY B:</w:t>
      </w:r>
    </w:p>
    <w:p>
      <w:r>
        <w:rPr>
          <w:sz w:val="21"/>
        </w:rPr>
        <w:t>Apex Hardware Manufacturing Corp.</w:t>
      </w:r>
    </w:p>
    <w:p>
      <w:r>
        <w:rPr>
          <w:sz w:val="21"/>
        </w:rPr>
        <w:t>Company / Individual Name</w:t>
      </w:r>
    </w:p>
    <w:p>
      <w:r>
        <w:rPr>
          <w:sz w:val="21"/>
        </w:rPr>
        <w:t>By (Authorized Signature)</w:t>
      </w:r>
    </w:p>
    <w:p>
      <w:r>
        <w:rPr>
          <w:sz w:val="21"/>
        </w:rPr>
        <w:t>Name &amp; Title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75%)  · </w:t>
      </w:r>
      <w:r>
        <w:rPr>
          <w:b w:val="0"/>
          <w:i/>
          <w:color w:val="6B7280"/>
          <w:sz w:val="17"/>
          <w:u w:val="none"/>
        </w:rPr>
        <w:t>The 3-year survival period may be insufficient to protect highly sensitive technical or financial information disclosed early in the relationship, leaving critical data unprotected after expiration.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Date  </w:t>
      </w:r>
      <w:r>
        <w:rPr>
          <w:b/>
          <w:i w:val="0"/>
          <w:color w:val="1E3A8A"/>
          <w:sz w:val="21"/>
          <w:u w:val="single"/>
        </w:rPr>
        <w:t>Negotiate a longer survival period (e.g., 5–7 years) for sensitive categories of information, or tie the obligation to the sensitivity level of the disclosed information rather than a fixed date.</w:t>
      </w:r>
    </w:p>
    <w:p>
      <w:r>
        <w:rPr>
          <w:sz w:val="21"/>
        </w:rPr>
        <w:t>Mutual Non-Disclosure Agreement Page 2 of 2</w:t>
      </w:r>
    </w:p>
    <w:p>
      <w:r>
        <w:br w:type="page"/>
      </w:r>
    </w:p>
    <w:p>
      <w:pPr>
        <w:pStyle w:val="Heading2"/>
      </w:pPr>
      <w:r>
        <w:rPr>
          <w:color w:val="92400E"/>
        </w:rPr>
        <w:t>Appendix — Suggestions Not Auto-Located</w:t>
      </w:r>
    </w:p>
    <w:p>
      <w:r>
        <w:rPr>
          <w:b w:val="0"/>
          <w:i/>
          <w:color w:val="6B7280"/>
          <w:sz w:val="18"/>
          <w:u w:val="none"/>
        </w:rPr>
        <w:t>The following risks were identified by the AI but could not be matched to a specific clause in the extracted text with sufficient confidence. Please review and apply these manually.</w:t>
      </w:r>
    </w:p>
    <w:p/>
    <w:p>
      <w:r>
        <w:rPr>
          <w:b/>
          <w:i w:val="0"/>
          <w:color w:val="92400E"/>
          <w:sz w:val="21"/>
          <w:u w:val="none"/>
        </w:rPr>
        <w:t xml:space="preserve">1.  [MEDIUM]  </w:t>
      </w:r>
      <w:r>
        <w:rPr>
          <w:b w:val="0"/>
          <w:i/>
          <w:color w:val="6B7280"/>
          <w:sz w:val="21"/>
          <w:u w:val="none"/>
        </w:rPr>
        <w:t>any and all information disclosed...whether orally, visually, or in tangible form...that reasonably should be understood to be confidential</w:t>
      </w:r>
    </w:p>
    <w:p>
      <w:r>
        <w:rPr>
          <w:b/>
          <w:i w:val="0"/>
          <w:sz w:val="20"/>
          <w:u w:val="none"/>
        </w:rPr>
        <w:t xml:space="preserve">Why it's a risk: </w:t>
      </w:r>
      <w:r>
        <w:rPr>
          <w:b w:val="0"/>
          <w:i w:val="0"/>
          <w:sz w:val="20"/>
          <w:u w:val="none"/>
        </w:rPr>
        <w:t>The 'reasonably should be understood' standard for oral and visual disclosures is vague and subjective, creating disputes about whether specific information was actually covered as Confidential Information.</w:t>
      </w:r>
    </w:p>
    <w:p>
      <w:r>
        <w:rPr>
          <w:b/>
          <w:i w:val="0"/>
          <w:color w:val="1E3A8A"/>
          <w:sz w:val="20"/>
          <w:u w:val="none"/>
        </w:rPr>
        <w:t xml:space="preserve">Suggestion: </w:t>
      </w:r>
      <w:r>
        <w:rPr>
          <w:b w:val="0"/>
          <w:i w:val="0"/>
          <w:color w:val="1E3A8A"/>
          <w:sz w:val="20"/>
          <w:u w:val="single"/>
        </w:rPr>
        <w:t>Add a requirement that oral or visual disclosures be confirmed in writing (e.g., via email summary) within a defined period (e.g., 10–15 business days) to create a clear record of what is protected.</w:t>
      </w:r>
    </w:p>
    <w:p>
      <w:pPr>
        <w:pBdr>
          <w:bottom w:val="single" w:sz="4" w:space="1" w:color="E5E7EB"/>
        </w:pBdr>
      </w:pPr>
    </w:p>
    <w:p>
      <w:r>
        <w:rPr>
          <w:b/>
          <w:i w:val="0"/>
          <w:color w:val="065F46"/>
          <w:sz w:val="21"/>
          <w:u w:val="none"/>
        </w:rPr>
        <w:t xml:space="preserve">2.  [LOW]  </w:t>
      </w:r>
      <w:r>
        <w:rPr>
          <w:b w:val="0"/>
          <w:i/>
          <w:color w:val="6B7280"/>
          <w:sz w:val="21"/>
          <w:u w:val="none"/>
        </w:rPr>
        <w:t>There is no force majeure clause present anywhere in this Agreement</w:t>
      </w:r>
    </w:p>
    <w:p>
      <w:r>
        <w:rPr>
          <w:b/>
          <w:i w:val="0"/>
          <w:sz w:val="20"/>
          <w:u w:val="none"/>
        </w:rPr>
        <w:t xml:space="preserve">Why it's a risk: </w:t>
      </w:r>
      <w:r>
        <w:rPr>
          <w:b w:val="0"/>
          <w:i w:val="0"/>
          <w:sz w:val="20"/>
          <w:u w:val="none"/>
        </w:rPr>
        <w:t>Without a force majeure clause, a party's failure to meet obligations (e.g., timely return of materials) due to events outside their control could constitute a breach with no available defense.</w:t>
      </w:r>
    </w:p>
    <w:p>
      <w:r>
        <w:rPr>
          <w:b/>
          <w:i w:val="0"/>
          <w:color w:val="1E3A8A"/>
          <w:sz w:val="20"/>
          <w:u w:val="none"/>
        </w:rPr>
        <w:t xml:space="preserve">Suggestion: </w:t>
      </w:r>
      <w:r>
        <w:rPr>
          <w:b w:val="0"/>
          <w:i w:val="0"/>
          <w:color w:val="1E3A8A"/>
          <w:sz w:val="20"/>
          <w:u w:val="single"/>
        </w:rPr>
        <w:t>Add a standard force majeure clause excusing non-performance caused by events beyond a party's reasonable control, provided prompt notice is given and reasonable mitigation efforts are made.</w:t>
      </w:r>
    </w:p>
    <w:p>
      <w:pPr>
        <w:pBdr>
          <w:bottom w:val="single" w:sz="4" w:space="1" w:color="E5E7EB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