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2137"/>
        </w:rPr>
        <w:t>Redlined Legal Document</w:t>
      </w:r>
    </w:p>
    <w:p>
      <w:r>
        <w:rPr>
          <w:b/>
          <w:i w:val="0"/>
          <w:color w:val="6B7280"/>
          <w:sz w:val="18"/>
          <w:u w:val="none"/>
        </w:rPr>
        <w:t xml:space="preserve">Source document: </w:t>
      </w:r>
      <w:r>
        <w:rPr>
          <w:b w:val="0"/>
          <w:i w:val="0"/>
          <w:color w:val="6B7280"/>
          <w:sz w:val="18"/>
          <w:u w:val="none"/>
        </w:rPr>
        <w:t>mutual_non_disclosure_agreement.pdf</w:t>
      </w:r>
      <w:r>
        <w:br/>
      </w:r>
      <w:r>
        <w:rPr>
          <w:b/>
          <w:i w:val="0"/>
          <w:color w:val="6B7280"/>
          <w:sz w:val="18"/>
          <w:u w:val="none"/>
        </w:rPr>
        <w:t xml:space="preserve">Generated: </w:t>
      </w:r>
      <w:r>
        <w:rPr>
          <w:b w:val="0"/>
          <w:i w:val="0"/>
          <w:color w:val="6B7280"/>
          <w:sz w:val="18"/>
          <w:u w:val="none"/>
        </w:rPr>
        <w:t>28 Jul 2026, 16:38</w:t>
      </w:r>
      <w:r>
        <w:br/>
      </w:r>
      <w:r>
        <w:rPr>
          <w:b/>
          <w:i w:val="0"/>
          <w:color w:val="6B7280"/>
          <w:sz w:val="18"/>
          <w:u w:val="none"/>
        </w:rPr>
        <w:t xml:space="preserve">Risks applied: </w:t>
      </w:r>
      <w:r>
        <w:rPr>
          <w:b w:val="0"/>
          <w:i w:val="0"/>
          <w:color w:val="6B7280"/>
          <w:sz w:val="18"/>
          <w:u w:val="none"/>
        </w:rPr>
        <w:t>14</w:t>
      </w:r>
    </w:p>
    <w:p>
      <w:r>
        <w:rPr>
          <w:b w:val="0"/>
          <w:i w:val="0"/>
          <w:color w:val="991B1B"/>
          <w:sz w:val="18"/>
          <w:u w:val="none"/>
          <w:strike w:val="true"/>
        </w:rPr>
        <w:t xml:space="preserve">  ORIGINAL CLAUSE (deleted)  </w:t>
      </w:r>
      <w:r>
        <w:rPr>
          <w:b w:val="0"/>
          <w:i w:val="0"/>
          <w:sz w:val="18"/>
          <w:u w:val="none"/>
        </w:rPr>
        <w:t xml:space="preserve">   </w:t>
      </w:r>
      <w:r>
        <w:rPr>
          <w:b w:val="0"/>
          <w:i w:val="0"/>
          <w:color w:val="1E3A8A"/>
          <w:sz w:val="18"/>
          <w:u w:val="single"/>
        </w:rPr>
        <w:t xml:space="preserve">  SUGGESTED REPLACEMENT  </w:t>
      </w:r>
    </w:p>
    <w:p>
      <w:r>
        <w:rPr>
          <w:b w:val="0"/>
          <w:i/>
          <w:color w:val="6B7280"/>
          <w:sz w:val="17"/>
          <w:u w:val="none"/>
        </w:rPr>
        <w:t>⚠  This document is AI-generated. All suggested changes should be reviewed by a qualified legal professional before execution.</w:t>
      </w:r>
    </w:p>
    <w:p>
      <w:pPr>
        <w:pBdr>
          <w:bottom w:val="single" w:sz="4" w:space="1" w:color="E5E7EB"/>
        </w:pBdr>
      </w:pPr>
    </w:p>
    <w:p/>
    <w:p>
      <w:pPr>
        <w:pStyle w:val="Heading2"/>
      </w:pPr>
      <w:r>
        <w:rPr>
          <w:color w:val="0F2137"/>
        </w:rPr>
        <w:t>Document (with redlines applied)</w:t>
      </w:r>
    </w:p>
    <w:p>
      <w:r>
        <w:rPr>
          <w:sz w:val="21"/>
        </w:rPr>
        <w:t>MUTUAL NON-DISCLOSURE AGREEMENT</w:t>
      </w:r>
    </w:p>
    <w:p>
      <w:r>
        <w:rPr>
          <w:sz w:val="21"/>
        </w:rPr>
        <w:t>Standard Commercial Proprietary Information Protections</w:t>
      </w:r>
    </w:p>
    <w:p>
      <w:r>
        <w:rPr>
          <w:sz w:val="21"/>
        </w:rPr>
        <w:t>This Mutual Non-Disclosure Agreement (the "Agreement") is entered into and made effective as of October 14,</w:t>
      </w:r>
    </w:p>
    <w:p>
      <w:r>
        <w:rPr>
          <w:sz w:val="21"/>
        </w:rPr>
        <w:t>2026 (the "Effective Date"), by and between:</w:t>
      </w:r>
    </w:p>
    <w:p>
      <w:r>
        <w:rPr>
          <w:sz w:val="21"/>
        </w:rPr>
        <w:t>Apex Innovate LLC , a corporation organized and existing under the laws of the State of Delaware, with its</w:t>
      </w:r>
    </w:p>
    <w:p>
      <w:r>
        <w:rPr>
          <w:sz w:val="21"/>
        </w:rPr>
        <w:t>principal place of business located at 500 Innovation Way, Suite 400, Wilmington, DE 19801 (hereinafter</w:t>
      </w:r>
    </w:p>
    <w:p>
      <w:r>
        <w:rPr>
          <w:sz w:val="21"/>
        </w:rPr>
        <w:t>referred to as "Apex"); and</w:t>
      </w:r>
    </w:p>
    <w:p>
      <w:r>
        <w:rPr>
          <w:sz w:val="21"/>
        </w:rPr>
        <w:t>Vertex Global Solutions Inc. , a corporation organized and existing under the laws of the State of California,</w:t>
      </w:r>
    </w:p>
    <w:p>
      <w:r>
        <w:rPr>
          <w:sz w:val="21"/>
        </w:rPr>
        <w:t>with its principal place of business located at 100 Enterprise Drive, San Francisco, CA 94105 (hereinafter</w:t>
      </w:r>
    </w:p>
    <w:p>
      <w:r>
        <w:rPr>
          <w:sz w:val="21"/>
        </w:rPr>
        <w:t>referred to as "Vertex").</w:t>
      </w:r>
    </w:p>
    <w:p>
      <w:r>
        <w:rPr>
          <w:sz w:val="21"/>
        </w:rPr>
        <w:t>Apex and Vertex may collectively be referred to as the "Parties," or individually as a "Party." Whichever Party</w:t>
      </w:r>
    </w:p>
    <w:p>
      <w:r>
        <w:rPr>
          <w:sz w:val="21"/>
        </w:rPr>
        <w:t>discloses Confidential Information shall be referred to as the "Disclosing Party," and whichever Party receives</w:t>
      </w:r>
    </w:p>
    <w:p>
      <w:r>
        <w:rPr>
          <w:sz w:val="21"/>
        </w:rPr>
        <w:t>Confidential Information shall be referred to as the "Receiving Party."</w:t>
      </w:r>
    </w:p>
    <w:p>
      <w:r>
        <w:rPr>
          <w:sz w:val="21"/>
        </w:rPr>
        <w:t>RECITALS</w:t>
      </w:r>
    </w:p>
    <w:p>
      <w:r>
        <w:rPr>
          <w:sz w:val="21"/>
        </w:rPr>
        <w:t>WHEREAS, the Parties wish to explore a potential business relationship, transaction, or collaborative project of</w:t>
      </w:r>
    </w:p>
    <w:p>
      <w:r>
        <w:rPr>
          <w:b/>
          <w:i w:val="0"/>
          <w:color w:val="92400E"/>
          <w:sz w:val="17"/>
          <w:u w:val="none"/>
        </w:rPr>
        <w:t xml:space="preserve">⚑  MEDIUM RISK  </w:t>
      </w:r>
      <w:r>
        <w:rPr>
          <w:b w:val="0"/>
          <w:i w:val="0"/>
          <w:color w:val="6B7280"/>
          <w:sz w:val="16"/>
          <w:u w:val="none"/>
        </w:rPr>
        <w:t xml:space="preserve">(match confidence: 85%)  · </w:t>
      </w:r>
      <w:r>
        <w:rPr>
          <w:b w:val="0"/>
          <w:i/>
          <w:color w:val="6B7280"/>
          <w:sz w:val="17"/>
          <w:u w:val="none"/>
        </w:rPr>
        <w:t>The Purpose is broadly and vaguely defined, which could allow a receiving party to justify using confidential information for a wider range of activities than intended.</w:t>
      </w:r>
    </w:p>
    <w:p>
      <w:r>
        <w:rPr>
          <w:b w:val="0"/>
          <w:i w:val="0"/>
          <w:color w:val="991B1B"/>
          <w:sz w:val="21"/>
          <w:u w:val="none"/>
          <w:strike w:val="true"/>
        </w:rPr>
        <w:t xml:space="preserve">mutual interest regarding cloud infrastructure integration (the "Purpose"); and  </w:t>
      </w:r>
      <w:r>
        <w:rPr>
          <w:b/>
          <w:i w:val="0"/>
          <w:color w:val="1E3A8A"/>
          <w:sz w:val="21"/>
          <w:u w:val="single"/>
        </w:rPr>
        <w:t>Narrow the Purpose to a specific, well-defined project or transaction with clear scope boundaries, and include language prohibiting use of information for any activity outside that defined scope.</w:t>
      </w:r>
    </w:p>
    <w:p>
      <w:r>
        <w:rPr>
          <w:sz w:val="21"/>
        </w:rPr>
        <w:t>WHEREAS, in connection with the Purpose, each Party may disclose to the other Party certain proprietary, non-</w:t>
      </w:r>
    </w:p>
    <w:p>
      <w:r>
        <w:rPr>
          <w:sz w:val="21"/>
        </w:rPr>
        <w:t>public, technical, financial, or business information that is confidential in nature;</w:t>
      </w:r>
    </w:p>
    <w:p>
      <w:r>
        <w:rPr>
          <w:sz w:val="21"/>
        </w:rPr>
        <w:t>NOW, THEREFORE, in consideration of the mutual covenants contained herein and other good and valuable</w:t>
      </w:r>
    </w:p>
    <w:p>
      <w:r>
        <w:rPr>
          <w:sz w:val="21"/>
        </w:rPr>
        <w:t>consideration, the receipt and sufficiency of which are hereby acknowledged, the Parties agree as follows:</w:t>
      </w:r>
    </w:p>
    <w:p>
      <w:r>
        <w:rPr>
          <w:sz w:val="21"/>
        </w:rPr>
        <w:t>1. DEFINITION OF CONFIDENTIAL INFORMATION</w:t>
      </w:r>
    </w:p>
    <w:p>
      <w:r>
        <w:rPr>
          <w:sz w:val="21"/>
        </w:rPr>
        <w:t>For purposes of this Agreement, "Confidential Information" shall mean any and all information disclosed by</w:t>
      </w:r>
    </w:p>
    <w:p>
      <w:r>
        <w:rPr>
          <w:b/>
          <w:i w:val="0"/>
          <w:color w:val="92400E"/>
          <w:sz w:val="17"/>
          <w:u w:val="none"/>
        </w:rPr>
        <w:t xml:space="preserve">⚑  MEDIUM RISK  </w:t>
      </w:r>
      <w:r>
        <w:rPr>
          <w:b w:val="0"/>
          <w:i w:val="0"/>
          <w:color w:val="6B7280"/>
          <w:sz w:val="16"/>
          <w:u w:val="none"/>
        </w:rPr>
        <w:t xml:space="preserve">(match confidence: 90%)  · </w:t>
      </w:r>
      <w:r>
        <w:rPr>
          <w:b w:val="0"/>
          <w:i/>
          <w:color w:val="6B7280"/>
          <w:sz w:val="17"/>
          <w:u w:val="none"/>
        </w:rPr>
        <w:t>Including oral disclosures without requiring written confirmation creates ambiguity about what qualifies as Confidential Information, making it difficult to prove or enforce protection of verbally shared information.</w:t>
      </w:r>
    </w:p>
    <w:p>
      <w:r>
        <w:rPr>
          <w:b w:val="0"/>
          <w:i w:val="0"/>
          <w:color w:val="991B1B"/>
          <w:sz w:val="21"/>
          <w:u w:val="none"/>
          <w:strike w:val="true"/>
        </w:rPr>
        <w:t xml:space="preserve">the Disclosing Party to the Receiving Party, whether orally, visually, in writing, or in electronic or other tangible or  </w:t>
      </w:r>
      <w:r>
        <w:rPr>
          <w:b/>
          <w:i w:val="0"/>
          <w:color w:val="1E3A8A"/>
          <w:sz w:val="21"/>
          <w:u w:val="single"/>
        </w:rPr>
        <w:t>Add a requirement that oral disclosures be confirmed in writing (e.g., via email summary) within 10-15 business days of disclosure to provide a clear, auditable record of what is protected.</w:t>
      </w:r>
    </w:p>
    <w:p>
      <w:r>
        <w:rPr>
          <w:sz w:val="21"/>
        </w:rPr>
        <w:t>intangible form, that is marked or designated as "Confidential" or "Proprietary," or that reasonably should be</w:t>
      </w:r>
    </w:p>
    <w:p>
      <w:r>
        <w:rPr>
          <w:b/>
          <w:i w:val="0"/>
          <w:color w:val="065F46"/>
          <w:sz w:val="17"/>
          <w:u w:val="none"/>
        </w:rPr>
        <w:t xml:space="preserve">⚑  LOW RISK  </w:t>
      </w:r>
      <w:r>
        <w:rPr>
          <w:b w:val="0"/>
          <w:i w:val="0"/>
          <w:color w:val="6B7280"/>
          <w:sz w:val="16"/>
          <w:u w:val="none"/>
        </w:rPr>
        <w:t xml:space="preserve">(match confidence: 94%)  · </w:t>
      </w:r>
      <w:r>
        <w:rPr>
          <w:b w:val="0"/>
          <w:i/>
          <w:color w:val="6B7280"/>
          <w:sz w:val="17"/>
          <w:u w:val="none"/>
        </w:rPr>
        <w:t>The 'reasonably should be understood' standard is subjective and could lead to disputes about whether specific information was covered, especially for informal or conversational disclosures.</w:t>
      </w:r>
    </w:p>
    <w:p>
      <w:r>
        <w:rPr>
          <w:b w:val="0"/>
          <w:i w:val="0"/>
          <w:color w:val="991B1B"/>
          <w:sz w:val="21"/>
          <w:u w:val="none"/>
          <w:strike w:val="true"/>
        </w:rPr>
        <w:t xml:space="preserve">understood to be confidential given the nature of the information and the circumstances of disclosure. Confidential  </w:t>
      </w:r>
      <w:r>
        <w:rPr>
          <w:b/>
          <w:i w:val="0"/>
          <w:color w:val="1E3A8A"/>
          <w:sz w:val="21"/>
          <w:u w:val="single"/>
        </w:rPr>
        <w:t>Supplement this standard with a non-exhaustive list of categories of information that are automatically deemed confidential (e.g., source code, financial projections, customer data) to reduce interpretive disputes.</w:t>
      </w:r>
    </w:p>
    <w:p>
      <w:r>
        <w:rPr>
          <w:sz w:val="21"/>
        </w:rPr>
        <w:t>Information includes, without limitation, business plans, customer lists, software code, product maps, technical</w:t>
      </w:r>
    </w:p>
    <w:p>
      <w:r>
        <w:rPr>
          <w:sz w:val="21"/>
        </w:rPr>
        <w:t>designs, financial metrics, and trade secrets.</w:t>
      </w:r>
    </w:p>
    <w:p>
      <w:r>
        <w:rPr>
          <w:sz w:val="21"/>
        </w:rPr>
        <w:t>2. EXCLUSIONS FROM CONFIDENTIALITY OBLIGATIONS</w:t>
      </w:r>
    </w:p>
    <w:p>
      <w:r>
        <w:rPr>
          <w:sz w:val="21"/>
        </w:rPr>
        <w:t>The obligations of confidentiality and non-use set forth in this Agreement shall not apply to any information that</w:t>
      </w:r>
    </w:p>
    <w:p>
      <w:r>
        <w:rPr>
          <w:sz w:val="21"/>
        </w:rPr>
        <w:t>the Receiving Party can document:</w:t>
      </w:r>
    </w:p>
    <w:p>
      <w:r>
        <w:rPr>
          <w:sz w:val="21"/>
        </w:rPr>
        <w:t>is or becomes publicly known through no breach or fault of the Receiving Party;1.</w:t>
      </w:r>
    </w:p>
    <w:p>
      <w:r>
        <w:rPr>
          <w:sz w:val="21"/>
        </w:rPr>
        <w:t>Mutual NDA | Confidential Page 1 of 3</w:t>
      </w:r>
    </w:p>
    <w:p>
      <w:r>
        <w:rPr>
          <w:sz w:val="21"/>
        </w:rPr>
        <w:t>was  rightfully  in  its  possession  prior  to  disclosure  by  the  Disclosing  Party  without  an  obligation  of</w:t>
      </w:r>
    </w:p>
    <w:p>
      <w:r>
        <w:rPr>
          <w:b/>
          <w:i w:val="0"/>
          <w:color w:val="991B1B"/>
          <w:sz w:val="17"/>
          <w:u w:val="none"/>
        </w:rPr>
        <w:t xml:space="preserve">⚑  HIGH RISK  </w:t>
      </w:r>
      <w:r>
        <w:rPr>
          <w:b w:val="0"/>
          <w:i w:val="0"/>
          <w:color w:val="6B7280"/>
          <w:sz w:val="16"/>
          <w:u w:val="none"/>
        </w:rPr>
        <w:t xml:space="preserve">(match confidence: 94%)  · </w:t>
      </w:r>
      <w:r>
        <w:rPr>
          <w:b w:val="0"/>
          <w:i/>
          <w:color w:val="6B7280"/>
          <w:sz w:val="17"/>
          <w:u w:val="none"/>
        </w:rPr>
        <w:t>This creates an indefinite retention loophole where sensitive confidential information persists in backup systems with no defined deletion timeline, creating long-term exposure risk.</w:t>
      </w:r>
    </w:p>
    <w:p>
      <w:r>
        <w:rPr>
          <w:b w:val="0"/>
          <w:i w:val="0"/>
          <w:color w:val="991B1B"/>
          <w:sz w:val="21"/>
          <w:u w:val="none"/>
          <w:strike w:val="true"/>
        </w:rPr>
        <w:t xml:space="preserve">confidentiality;  </w:t>
      </w:r>
      <w:r>
        <w:rPr>
          <w:b/>
          <w:i w:val="0"/>
          <w:color w:val="1E3A8A"/>
          <w:sz w:val="21"/>
          <w:u w:val="single"/>
        </w:rPr>
        <w:t>Add a specific maximum retention period for backup copies (e.g., 12 months after agreement termination) and require written confirmation when backup copies are ultimately overwritten or destroyed.</w:t>
      </w:r>
    </w:p>
    <w:p>
      <w:r>
        <w:rPr>
          <w:sz w:val="21"/>
        </w:rPr>
        <w:t>is rightfully obtained by the Receiving Party from a third party authorized to make such disclosure without</w:t>
      </w:r>
    </w:p>
    <w:p>
      <w:r>
        <w:rPr>
          <w:sz w:val="21"/>
        </w:rPr>
        <w:t>restriction; or</w:t>
      </w:r>
    </w:p>
    <w:p>
      <w:r>
        <w:rPr>
          <w:b/>
          <w:i w:val="0"/>
          <w:color w:val="92400E"/>
          <w:sz w:val="17"/>
          <w:u w:val="none"/>
        </w:rPr>
        <w:t xml:space="preserve">⚑  MEDIUM RISK  </w:t>
      </w:r>
      <w:r>
        <w:rPr>
          <w:b w:val="0"/>
          <w:i w:val="0"/>
          <w:color w:val="6B7280"/>
          <w:sz w:val="16"/>
          <w:u w:val="none"/>
        </w:rPr>
        <w:t xml:space="preserve">(match confidence: 99%)  · </w:t>
      </w:r>
      <w:r>
        <w:rPr>
          <w:b w:val="0"/>
          <w:i/>
          <w:color w:val="6B7280"/>
          <w:sz w:val="17"/>
          <w:u w:val="none"/>
        </w:rPr>
        <w:t>The independent development exclusion is difficult to prove or disprove in practice, and could be exploited by a bad-faith party to claim independently developed competing work based on exposed information.</w:t>
      </w:r>
    </w:p>
    <w:p>
      <w:r>
        <w:rPr>
          <w:b w:val="0"/>
          <w:i w:val="0"/>
          <w:color w:val="991B1B"/>
          <w:sz w:val="21"/>
          <w:u w:val="none"/>
          <w:strike w:val="true"/>
        </w:rPr>
        <w:t xml:space="preserve">is independently developed by employees or agents of the Receiving Party who had no access to or reliance  </w:t>
      </w:r>
      <w:r>
        <w:rPr>
          <w:b/>
          <w:i w:val="0"/>
          <w:color w:val="1E3A8A"/>
          <w:sz w:val="21"/>
          <w:u w:val="single"/>
        </w:rPr>
        <w:t>Add a requirement that independent development be evidenced by contemporaneous written records predating the disclosure, and consider including an audit right to verify such claims if disputed.</w:t>
      </w:r>
    </w:p>
    <w:p>
      <w:r>
        <w:rPr>
          <w:sz w:val="21"/>
        </w:rPr>
        <w:t>upon the Disclosing Party’s Confidential Information.</w:t>
      </w:r>
    </w:p>
    <w:p>
      <w:r>
        <w:rPr>
          <w:sz w:val="21"/>
        </w:rPr>
        <w:t>3. OBLIGATIONS OF THE RECEIVING PARTY</w:t>
      </w:r>
    </w:p>
    <w:p>
      <w:r>
        <w:rPr>
          <w:sz w:val="21"/>
        </w:rPr>
        <w:t>The Receiving Party agrees to protect the Disclosing Party's Confidential Information with the same degree of care</w:t>
      </w:r>
    </w:p>
    <w:p>
      <w:r>
        <w:rPr>
          <w:sz w:val="21"/>
        </w:rPr>
        <w:t>it uses to protect its own confidential information of a similar nature, but in no event less than a reasonable degree</w:t>
      </w:r>
    </w:p>
    <w:p>
      <w:r>
        <w:rPr>
          <w:sz w:val="21"/>
        </w:rPr>
        <w:t>of care. Specifically, the Receiving Party shall:</w:t>
      </w:r>
    </w:p>
    <w:p>
      <w:r>
        <w:rPr>
          <w:sz w:val="21"/>
        </w:rPr>
        <w:t>use the Confidential Information solely for the evaluation, discussion, and execution of the defined Purpose,</w:t>
      </w:r>
    </w:p>
    <w:p>
      <w:r>
        <w:rPr>
          <w:sz w:val="21"/>
        </w:rPr>
        <w:t>and for no other commercial or competitive objective;</w:t>
      </w:r>
    </w:p>
    <w:p>
      <w:r>
        <w:rPr>
          <w:b/>
          <w:i w:val="0"/>
          <w:color w:val="92400E"/>
          <w:sz w:val="17"/>
          <w:u w:val="none"/>
        </w:rPr>
        <w:t xml:space="preserve">⚑  MEDIUM RISK  </w:t>
      </w:r>
      <w:r>
        <w:rPr>
          <w:b w:val="0"/>
          <w:i w:val="0"/>
          <w:color w:val="6B7280"/>
          <w:sz w:val="16"/>
          <w:u w:val="none"/>
        </w:rPr>
        <w:t xml:space="preserve">(match confidence: 78%)  · </w:t>
      </w:r>
      <w:r>
        <w:rPr>
          <w:b w:val="0"/>
          <w:i/>
          <w:color w:val="6B7280"/>
          <w:sz w:val="17"/>
          <w:u w:val="none"/>
        </w:rPr>
        <w:t>The inclusion of 'affiliates' is broad and undefined, potentially allowing disclosure to a wide range of related entities without the Disclosing Party's knowledge or consent.</w:t>
      </w:r>
    </w:p>
    <w:p>
      <w:r>
        <w:rPr>
          <w:b w:val="0"/>
          <w:i w:val="0"/>
          <w:color w:val="991B1B"/>
          <w:sz w:val="21"/>
          <w:u w:val="none"/>
          <w:strike w:val="true"/>
        </w:rPr>
        <w:t xml:space="preserve">restrict access to the Confidential Information to its employees, affiliates, advisors, and legal counsel who have  </w:t>
      </w:r>
      <w:r>
        <w:rPr>
          <w:b/>
          <w:i w:val="0"/>
          <w:color w:val="1E3A8A"/>
          <w:sz w:val="21"/>
          <w:u w:val="single"/>
        </w:rPr>
        <w:t>Define 'affiliates' with a specific ownership threshold (e.g., entities with &gt;50% common ownership) and require that any affiliate receiving confidential information also sign a written confidentiality undertaking.</w:t>
      </w:r>
    </w:p>
    <w:p>
      <w:r>
        <w:rPr>
          <w:sz w:val="21"/>
        </w:rPr>
        <w:t>a strict "need-to-know" the information for the Purpose, and who are bound by confidentiality terms at least as</w:t>
      </w:r>
    </w:p>
    <w:p>
      <w:r>
        <w:rPr>
          <w:sz w:val="21"/>
        </w:rPr>
        <w:t>restrictive as those contained herein; and</w:t>
      </w:r>
    </w:p>
    <w:p>
      <w:r>
        <w:rPr>
          <w:sz w:val="21"/>
        </w:rPr>
        <w:t>promptly  notify  the  Disclosing  Party  in  writing  upon  discovering  any  unauthorized  disclosure,  loss,  or</w:t>
      </w:r>
    </w:p>
    <w:p>
      <w:r>
        <w:rPr>
          <w:sz w:val="21"/>
        </w:rPr>
        <w:t>misappropriation of the Confidential Information.</w:t>
      </w:r>
    </w:p>
    <w:p>
      <w:r>
        <w:rPr>
          <w:sz w:val="21"/>
        </w:rPr>
        <w:t>4. COMPELLED DISCLOSURE</w:t>
      </w:r>
    </w:p>
    <w:p>
      <w:r>
        <w:rPr>
          <w:sz w:val="21"/>
        </w:rPr>
        <w:t>If the Receiving Party is requested or required by law, regulation, court order, or governmental legal process to</w:t>
      </w:r>
    </w:p>
    <w:p>
      <w:r>
        <w:rPr>
          <w:sz w:val="21"/>
        </w:rPr>
        <w:t>disclose any Confidential Information, the Receiving Party shall, to the extent legally permissible, provide the</w:t>
      </w:r>
    </w:p>
    <w:p>
      <w:r>
        <w:rPr>
          <w:b/>
          <w:i w:val="0"/>
          <w:color w:val="065F46"/>
          <w:sz w:val="17"/>
          <w:u w:val="none"/>
        </w:rPr>
        <w:t xml:space="preserve">⚑  LOW RISK  </w:t>
      </w:r>
      <w:r>
        <w:rPr>
          <w:b w:val="0"/>
          <w:i w:val="0"/>
          <w:color w:val="6B7280"/>
          <w:sz w:val="16"/>
          <w:u w:val="none"/>
        </w:rPr>
        <w:t xml:space="preserve">(match confidence: 100%)  · </w:t>
      </w:r>
      <w:r>
        <w:rPr>
          <w:b w:val="0"/>
          <w:i/>
          <w:color w:val="6B7280"/>
          <w:sz w:val="17"/>
          <w:u w:val="none"/>
        </w:rPr>
        <w:t>'Prompt' is undefined and subjective, which could result in the Disclosing Party receiving notice too late to obtain a protective order before disclosure occurs.</w:t>
      </w:r>
    </w:p>
    <w:p>
      <w:r>
        <w:rPr>
          <w:b w:val="0"/>
          <w:i w:val="0"/>
          <w:color w:val="991B1B"/>
          <w:sz w:val="21"/>
          <w:u w:val="none"/>
          <w:strike w:val="true"/>
        </w:rPr>
        <w:t xml:space="preserve">Disclosing Party with prompt written notice of such request so that the Disclosing Party may seek an appropriate  </w:t>
      </w:r>
      <w:r>
        <w:rPr>
          <w:b/>
          <w:i w:val="0"/>
          <w:color w:val="1E3A8A"/>
          <w:sz w:val="21"/>
          <w:u w:val="single"/>
        </w:rPr>
        <w:t>Replace 'prompt' with a specific timeframe (e.g., 'no fewer than five (5) business days before the required disclosure date, where legally permissible') to ensure adequate time to seek legal relief.</w:t>
      </w:r>
    </w:p>
    <w:p>
      <w:r>
        <w:rPr>
          <w:sz w:val="21"/>
        </w:rPr>
        <w:t>protective order or waive compliance with this Agreement. If a protective order is not obtained, the Receiving Party</w:t>
      </w:r>
    </w:p>
    <w:p>
      <w:r>
        <w:rPr>
          <w:sz w:val="21"/>
        </w:rPr>
        <w:t>may disclose only that portion of the Confidential Information it is legally compelled to disclose, and shall exercise</w:t>
      </w:r>
    </w:p>
    <w:p>
      <w:r>
        <w:rPr>
          <w:sz w:val="21"/>
        </w:rPr>
        <w:t>reasonable efforts to ensure that confidential treatment is accorded to the disclosed information.</w:t>
      </w:r>
    </w:p>
    <w:p>
      <w:r>
        <w:rPr>
          <w:sz w:val="21"/>
        </w:rPr>
        <w:t>5. TERM AND TERMINATION</w:t>
      </w:r>
    </w:p>
    <w:p>
      <w:r>
        <w:rPr>
          <w:sz w:val="21"/>
        </w:rPr>
        <w:t>This Agreement shall commence on the Effective Date and shall remain in effect for a period of one (1) year,</w:t>
      </w:r>
    </w:p>
    <w:p>
      <w:r>
        <w:rPr>
          <w:b/>
          <w:i w:val="0"/>
          <w:color w:val="991B1B"/>
          <w:sz w:val="17"/>
          <w:u w:val="none"/>
        </w:rPr>
        <w:t xml:space="preserve">⚑  HIGH RISK  </w:t>
      </w:r>
      <w:r>
        <w:rPr>
          <w:b w:val="0"/>
          <w:i w:val="0"/>
          <w:color w:val="6B7280"/>
          <w:sz w:val="16"/>
          <w:u w:val="none"/>
        </w:rPr>
        <w:t xml:space="preserve">(match confidence: 100%)  · </w:t>
      </w:r>
      <w:r>
        <w:rPr>
          <w:b w:val="0"/>
          <w:i/>
          <w:color w:val="6B7280"/>
          <w:sz w:val="17"/>
          <w:u w:val="none"/>
        </w:rPr>
        <w:t>Either party can terminate the active agreement with only 30 days' notice, potentially during sensitive ongoing disclosures, leaving the disclosing party with reduced contractual protections mid-project.</w:t>
      </w:r>
    </w:p>
    <w:p>
      <w:r>
        <w:rPr>
          <w:b w:val="0"/>
          <w:i w:val="0"/>
          <w:color w:val="991B1B"/>
          <w:sz w:val="21"/>
          <w:u w:val="none"/>
          <w:strike w:val="true"/>
        </w:rPr>
        <w:t xml:space="preserve">unless terminated earlier by either Party upon thirty (30) days' written notice to the other Party. Notwithstanding  </w:t>
      </w:r>
      <w:r>
        <w:rPr>
          <w:b/>
          <w:i w:val="0"/>
          <w:color w:val="1E3A8A"/>
          <w:sz w:val="21"/>
          <w:u w:val="single"/>
        </w:rPr>
        <w:t>Negotiate a longer notice period (e.g., 90 days) and add a clause requiring that termination cannot occur while active disclosures or negotiations are underway without mutual consent.</w:t>
      </w:r>
    </w:p>
    <w:p>
      <w:r>
        <w:rPr>
          <w:sz w:val="21"/>
        </w:rPr>
        <w:t>any termination or expiration of this Agreement, the obligations of confidentiality and non-use with respect to all</w:t>
      </w:r>
    </w:p>
    <w:p>
      <w:r>
        <w:rPr>
          <w:sz w:val="21"/>
        </w:rPr>
        <w:t>Confidential Information disclosed prior to such termination or expiration shall survive for a period of three (3)</w:t>
      </w:r>
    </w:p>
    <w:p>
      <w:r>
        <w:rPr>
          <w:b/>
          <w:i w:val="0"/>
          <w:color w:val="991B1B"/>
          <w:sz w:val="17"/>
          <w:u w:val="none"/>
        </w:rPr>
        <w:t xml:space="preserve">⚑  HIGH RISK  </w:t>
      </w:r>
      <w:r>
        <w:rPr>
          <w:b w:val="0"/>
          <w:i w:val="0"/>
          <w:color w:val="6B7280"/>
          <w:sz w:val="16"/>
          <w:u w:val="none"/>
        </w:rPr>
        <w:t xml:space="preserve">(match confidence: 99%)  · </w:t>
      </w:r>
      <w:r>
        <w:rPr>
          <w:b w:val="0"/>
          <w:i/>
          <w:color w:val="6B7280"/>
          <w:sz w:val="17"/>
          <w:u w:val="none"/>
        </w:rPr>
        <w:t>The 3-year survival period may be insufficient for highly sensitive trade secrets or IP, which could remain competitively valuable far longer and lose protection after this window closes.</w:t>
      </w:r>
    </w:p>
    <w:p>
      <w:r>
        <w:rPr>
          <w:b w:val="0"/>
          <w:i w:val="0"/>
          <w:color w:val="991B1B"/>
          <w:sz w:val="21"/>
          <w:u w:val="none"/>
          <w:strike w:val="true"/>
        </w:rPr>
        <w:t xml:space="preserve">years from the date of initial disclosure.  </w:t>
      </w:r>
      <w:r>
        <w:rPr>
          <w:b/>
          <w:i w:val="0"/>
          <w:color w:val="1E3A8A"/>
          <w:sz w:val="21"/>
          <w:u w:val="single"/>
        </w:rPr>
        <w:t>Negotiate a longer survival period (e.g., 5-7 years) for general confidential information, and consider carving out trade secrets for indefinite protection under applicable trade secret law.</w:t>
      </w:r>
    </w:p>
    <w:p>
      <w:r>
        <w:rPr>
          <w:sz w:val="21"/>
        </w:rPr>
        <w:t>6. RETURN OR DESTRUCTION OF MATERIALS</w:t>
      </w:r>
    </w:p>
    <w:p>
      <w:r>
        <w:rPr>
          <w:b/>
          <w:i w:val="0"/>
          <w:color w:val="065F46"/>
          <w:sz w:val="17"/>
          <w:u w:val="none"/>
        </w:rPr>
        <w:t xml:space="preserve">⚑  LOW RISK  </w:t>
      </w:r>
      <w:r>
        <w:rPr>
          <w:b w:val="0"/>
          <w:i w:val="0"/>
          <w:color w:val="6B7280"/>
          <w:sz w:val="16"/>
          <w:u w:val="none"/>
        </w:rPr>
        <w:t xml:space="preserve">(match confidence: 85%)  · </w:t>
      </w:r>
      <w:r>
        <w:rPr>
          <w:b w:val="0"/>
          <w:i/>
          <w:color w:val="6B7280"/>
          <w:sz w:val="17"/>
          <w:u w:val="none"/>
        </w:rPr>
        <w:t>15 days may be insufficient for large or complex data environments, and failure to meet this deadline — even inadvertently — could constitute a technical breach of the agreement.</w:t>
      </w:r>
    </w:p>
    <w:p>
      <w:r>
        <w:rPr>
          <w:b w:val="0"/>
          <w:i w:val="0"/>
          <w:color w:val="991B1B"/>
          <w:sz w:val="21"/>
          <w:u w:val="none"/>
          <w:strike w:val="true"/>
        </w:rPr>
        <w:t xml:space="preserve">Within fifteen (15) days following the written request of the Disclosing Party, or upon the termination of this  </w:t>
      </w:r>
      <w:r>
        <w:rPr>
          <w:b/>
          <w:i w:val="0"/>
          <w:color w:val="1E3A8A"/>
          <w:sz w:val="21"/>
          <w:u w:val="single"/>
        </w:rPr>
        <w:t>Extend the return/destruction period to 30 days and include a provision allowing the parties to mutually agree on an extended timeline for complex or voluminous data environments.</w:t>
      </w:r>
    </w:p>
    <w:p>
      <w:r>
        <w:rPr>
          <w:sz w:val="21"/>
        </w:rPr>
        <w:t>Agreement, the Receiving Party shall, at the Disclosing Party's option, promptly return or securely destroy all</w:t>
      </w:r>
    </w:p>
    <w:p>
      <w:r>
        <w:rPr>
          <w:sz w:val="21"/>
        </w:rPr>
        <w:t>documents, media, and other tangible materials containing or reflecting any Confidential Information, along with2.</w:t>
      </w:r>
    </w:p>
    <w:p>
      <w:r>
        <w:rPr>
          <w:sz w:val="21"/>
        </w:rPr>
        <w:t>3.</w:t>
      </w:r>
    </w:p>
    <w:p>
      <w:r>
        <w:rPr>
          <w:sz w:val="21"/>
        </w:rPr>
        <w:t>4.</w:t>
      </w:r>
    </w:p>
    <w:p>
      <w:r>
        <w:rPr>
          <w:sz w:val="21"/>
        </w:rPr>
        <w:t>1.</w:t>
      </w:r>
    </w:p>
    <w:p>
      <w:r>
        <w:rPr>
          <w:sz w:val="21"/>
        </w:rPr>
        <w:t>2.</w:t>
      </w:r>
    </w:p>
    <w:p>
      <w:r>
        <w:rPr>
          <w:sz w:val="21"/>
        </w:rPr>
        <w:t>3.</w:t>
      </w:r>
    </w:p>
    <w:p>
      <w:r>
        <w:rPr>
          <w:sz w:val="21"/>
        </w:rPr>
        <w:t>Mutual NDA | Confidential Page 2 of 3</w:t>
      </w:r>
    </w:p>
    <w:p>
      <w:r>
        <w:rPr>
          <w:sz w:val="21"/>
        </w:rPr>
        <w:t>all copies or extracts thereof. The Receiving Party shall provide written certification of compliance with this</w:t>
      </w:r>
    </w:p>
    <w:p>
      <w:r>
        <w:rPr>
          <w:sz w:val="21"/>
        </w:rPr>
        <w:t>provision upon request. Archival backup copies automatically generated by system disaster recovery procedures</w:t>
      </w:r>
    </w:p>
    <w:p>
      <w:r>
        <w:rPr>
          <w:sz w:val="21"/>
        </w:rPr>
        <w:t>may be retained, subject to ongoing adherence to the confidentiality terms herein until overwritten.</w:t>
      </w:r>
    </w:p>
    <w:p>
      <w:r>
        <w:rPr>
          <w:b/>
          <w:i w:val="0"/>
          <w:color w:val="991B1B"/>
          <w:sz w:val="17"/>
          <w:u w:val="none"/>
        </w:rPr>
        <w:t xml:space="preserve">⚑  HIGH RISK  </w:t>
      </w:r>
      <w:r>
        <w:rPr>
          <w:b w:val="0"/>
          <w:i w:val="0"/>
          <w:color w:val="6B7280"/>
          <w:sz w:val="16"/>
          <w:u w:val="none"/>
        </w:rPr>
        <w:t xml:space="preserve">(match confidence: 98%)  · </w:t>
      </w:r>
      <w:r>
        <w:rPr>
          <w:b w:val="0"/>
          <w:i/>
          <w:color w:val="6B7280"/>
          <w:sz w:val="17"/>
          <w:u w:val="none"/>
        </w:rPr>
        <w:t>The IP ownership and warranty disclaimer clause is truncated, meaning critical protections — such as clarifying that no IP license is granted — are missing or unenforceable as written.</w:t>
      </w:r>
    </w:p>
    <w:p>
      <w:r>
        <w:rPr>
          <w:b w:val="0"/>
          <w:i w:val="0"/>
          <w:color w:val="991B1B"/>
          <w:sz w:val="21"/>
          <w:u w:val="none"/>
          <w:strike w:val="true"/>
        </w:rPr>
        <w:t xml:space="preserve">7. NO WARRANTY OR INTELLECTUAL PROPERTY RIGHTS  </w:t>
      </w:r>
      <w:r>
        <w:rPr>
          <w:b/>
          <w:i w:val="0"/>
          <w:color w:val="1E3A8A"/>
          <w:sz w:val="21"/>
          <w:u w:val="single"/>
        </w:rPr>
        <w:t>Obtain and review the complete document immediately; ensure the IP clause explicitly states that no license, ownership rights, or IP transfer is granted by virtue of any disclosure under this agreement.</w:t>
      </w:r>
    </w:p>
    <w:p>
      <w:r>
        <w:rPr>
          <w:sz w:val="21"/>
        </w:rPr>
        <w:t>All Confidential Information is provided by the Disclosing Party on an "AS IS" basis, without any warranties</w:t>
      </w:r>
    </w:p>
    <w:p>
      <w:r>
        <w:rPr>
          <w:sz w:val="21"/>
        </w:rPr>
        <w:t>of accuracy, completeness, or fitness for a particular purpose. Nothing contained in this Agreement shall be</w:t>
      </w:r>
    </w:p>
    <w:p>
      <w:r>
        <w:rPr>
          <w:sz w:val="21"/>
        </w:rPr>
        <w:t>construed as granting or conferring any license, transfer, or implied rights under any patent, copyright, trademark,</w:t>
      </w:r>
    </w:p>
    <w:p>
      <w:r>
        <w:rPr>
          <w:sz w:val="21"/>
        </w:rPr>
        <w:t>or trade secret of either Party.</w:t>
      </w:r>
    </w:p>
    <w:p>
      <w:r>
        <w:rPr>
          <w:sz w:val="21"/>
        </w:rPr>
        <w:t>8. GOVERNING LAW AND DISPUTE RESOLUTION</w:t>
      </w:r>
    </w:p>
    <w:p>
      <w:r>
        <w:rPr>
          <w:sz w:val="21"/>
        </w:rPr>
        <w:t>This Agreement shall be governed by, construed, and enforced in accordance with the laws of the State of</w:t>
      </w:r>
    </w:p>
    <w:p>
      <w:r>
        <w:rPr>
          <w:sz w:val="21"/>
        </w:rPr>
        <w:t>Delaware, without regard to its conflict of laws principles. Any legal action, suit, or proceeding arising out of or</w:t>
      </w:r>
    </w:p>
    <w:p>
      <w:r>
        <w:rPr>
          <w:sz w:val="21"/>
        </w:rPr>
        <w:t>relating to this Agreement shall be brought exclusively in the state or federal courts located in Wilmington,</w:t>
      </w:r>
    </w:p>
    <w:p>
      <w:r>
        <w:rPr>
          <w:sz w:val="21"/>
        </w:rPr>
        <w:t>Delaware, and each Party hereby irrevocably submits to the personal jurisdiction of such courts.</w:t>
      </w:r>
    </w:p>
    <w:p>
      <w:r>
        <w:rPr>
          <w:sz w:val="21"/>
        </w:rPr>
        <w:t>9. MISCELLANEOUS PROVISIONS</w:t>
      </w:r>
    </w:p>
    <w:p>
      <w:r>
        <w:rPr>
          <w:sz w:val="21"/>
        </w:rPr>
        <w:t>Entire Agreement:  This Agreement constitutes the entire understanding between the Parties concerning the</w:t>
      </w:r>
    </w:p>
    <w:p>
      <w:r>
        <w:rPr>
          <w:sz w:val="21"/>
        </w:rPr>
        <w:t>subject matter hereof and supersedes all prior or contemporaneous discussions, agreements, or representations.</w:t>
      </w:r>
    </w:p>
    <w:p>
      <w:r>
        <w:rPr>
          <w:sz w:val="21"/>
        </w:rPr>
        <w:t>Amendments:  No modification, amendment, or waiver of any provision of this Agreement shall be effective</w:t>
      </w:r>
    </w:p>
    <w:p>
      <w:r>
        <w:rPr>
          <w:sz w:val="21"/>
        </w:rPr>
        <w:t>unless executed in writing by authorized representatives of both Parties.</w:t>
      </w:r>
    </w:p>
    <w:p>
      <w:r>
        <w:rPr>
          <w:sz w:val="21"/>
        </w:rPr>
        <w:t>Severability:  If  any  provision  of  this  Agreement  is  held  to  be  invalid  or  unenforceable,  the  remaining</w:t>
      </w:r>
    </w:p>
    <w:p>
      <w:r>
        <w:rPr>
          <w:sz w:val="21"/>
        </w:rPr>
        <w:t>provisions shall continue in full force and effect without being impaired.</w:t>
      </w:r>
    </w:p>
    <w:p>
      <w:r>
        <w:rPr>
          <w:sz w:val="21"/>
        </w:rPr>
        <w:t>Counterparts:  This Agreement may be executed in two or more counterparts, each of which shall be deemed</w:t>
      </w:r>
    </w:p>
    <w:p>
      <w:r>
        <w:rPr>
          <w:sz w:val="21"/>
        </w:rPr>
        <w:t>an original, but all of which together shall constitute one and the same instrument. Electronic or digital</w:t>
      </w:r>
    </w:p>
    <w:p>
      <w:r>
        <w:rPr>
          <w:sz w:val="21"/>
        </w:rPr>
        <w:t>signatures shall be accepted as valid and binding.</w:t>
      </w:r>
    </w:p>
    <w:p>
      <w:r>
        <w:rPr>
          <w:sz w:val="21"/>
        </w:rPr>
        <w:t>IN WITNESS WHEREOF, the Parties hereto have caused this Mutual Non-Disclosure Agreement to be duly</w:t>
      </w:r>
    </w:p>
    <w:p>
      <w:r>
        <w:rPr>
          <w:sz w:val="21"/>
        </w:rPr>
        <w:t>executed by their respective authorized officers as of the Effective Date.</w:t>
      </w:r>
    </w:p>
    <w:p>
      <w:r>
        <w:rPr>
          <w:sz w:val="21"/>
        </w:rPr>
        <w:t>For Apex Innovate LLC</w:t>
      </w:r>
    </w:p>
    <w:p>
      <w:r>
        <w:rPr>
          <w:sz w:val="21"/>
        </w:rPr>
        <w:t>By: Jane Doe</w:t>
      </w:r>
    </w:p>
    <w:p>
      <w:r>
        <w:rPr>
          <w:sz w:val="21"/>
        </w:rPr>
        <w:t>Title: Chief Executive Officer</w:t>
      </w:r>
    </w:p>
    <w:p>
      <w:r>
        <w:rPr>
          <w:sz w:val="21"/>
        </w:rPr>
        <w:t>Date: October 14, 2026 For Vertex Global Solutions Inc.</w:t>
      </w:r>
    </w:p>
    <w:p>
      <w:r>
        <w:rPr>
          <w:sz w:val="21"/>
        </w:rPr>
        <w:t>By: John Smith</w:t>
      </w:r>
    </w:p>
    <w:p>
      <w:r>
        <w:rPr>
          <w:sz w:val="21"/>
        </w:rPr>
        <w:t>Title: Chief Operating Officer</w:t>
      </w:r>
    </w:p>
    <w:p>
      <w:r>
        <w:rPr>
          <w:sz w:val="21"/>
        </w:rPr>
        <w:t>Date: October 14, 2026 1.</w:t>
      </w:r>
    </w:p>
    <w:p>
      <w:r>
        <w:rPr>
          <w:sz w:val="21"/>
        </w:rPr>
        <w:t>2.</w:t>
      </w:r>
    </w:p>
    <w:p>
      <w:r>
        <w:rPr>
          <w:sz w:val="21"/>
        </w:rPr>
        <w:t>3.</w:t>
      </w:r>
    </w:p>
    <w:p>
      <w:r>
        <w:rPr>
          <w:sz w:val="21"/>
        </w:rPr>
        <w:t>4.</w:t>
      </w:r>
    </w:p>
    <w:p>
      <w:r>
        <w:rPr>
          <w:sz w:val="21"/>
        </w:rPr>
        <w:t>Mutual NDA | Confidential Page 3 of 3</w:t>
      </w:r>
    </w:p>
    <w:p>
      <w:r>
        <w:br w:type="page"/>
      </w:r>
    </w:p>
    <w:p>
      <w:pPr>
        <w:pStyle w:val="Heading2"/>
      </w:pPr>
      <w:r>
        <w:rPr>
          <w:color w:val="92400E"/>
        </w:rPr>
        <w:t>Appendix — Suggestions Not Auto-Located</w:t>
      </w:r>
    </w:p>
    <w:p>
      <w:r>
        <w:rPr>
          <w:b w:val="0"/>
          <w:i/>
          <w:color w:val="6B7280"/>
          <w:sz w:val="18"/>
          <w:u w:val="none"/>
        </w:rPr>
        <w:t>The following risks were identified by the AI but could not be matched to a specific clause in the extracted text with sufficient confidence. Please review and apply these manually.</w:t>
      </w:r>
    </w:p>
    <w:p/>
    <w:p>
      <w:r>
        <w:rPr>
          <w:b/>
          <w:i w:val="0"/>
          <w:color w:val="92400E"/>
          <w:sz w:val="21"/>
          <w:u w:val="none"/>
        </w:rPr>
        <w:t xml:space="preserve">1.  [MEDIUM]  </w:t>
      </w:r>
      <w:r>
        <w:rPr>
          <w:b w:val="0"/>
          <w:i/>
          <w:color w:val="6B7280"/>
          <w:sz w:val="21"/>
          <w:u w:val="none"/>
        </w:rPr>
        <w:t>No assignment, jurisdiction, governing law, or dispute resolution clause is present in the visible document</w:t>
      </w:r>
    </w:p>
    <w:p>
      <w:r>
        <w:rPr>
          <w:b/>
          <w:i w:val="0"/>
          <w:sz w:val="20"/>
          <w:u w:val="none"/>
        </w:rPr>
        <w:t xml:space="preserve">Why it's a risk: </w:t>
      </w:r>
      <w:r>
        <w:rPr>
          <w:b w:val="0"/>
          <w:i w:val="0"/>
          <w:sz w:val="20"/>
          <w:u w:val="none"/>
        </w:rPr>
        <w:t>The absence of a governing law, jurisdiction selection, and dispute resolution mechanism leaves both parties without agreed procedures if a conflict arises, increasing litigation cost and uncertainty.</w:t>
      </w:r>
    </w:p>
    <w:p>
      <w:r>
        <w:rPr>
          <w:b/>
          <w:i w:val="0"/>
          <w:color w:val="1E3A8A"/>
          <w:sz w:val="20"/>
          <w:u w:val="none"/>
        </w:rPr>
        <w:t xml:space="preserve">Suggestion: </w:t>
      </w:r>
      <w:r>
        <w:rPr>
          <w:b w:val="0"/>
          <w:i w:val="0"/>
          <w:color w:val="1E3A8A"/>
          <w:sz w:val="20"/>
          <w:u w:val="single"/>
        </w:rPr>
        <w:t>Add a governing law clause specifying a chosen state (e.g., Delaware or California), a jurisdiction clause for court disputes, and consider including a tiered dispute resolution clause (negotiation, then mediation, then arbitration or litigation).</w:t>
      </w:r>
    </w:p>
    <w:p>
      <w:pPr>
        <w:pBdr>
          <w:bottom w:val="single" w:sz="4" w:space="1" w:color="E5E7EB"/>
        </w:pBdr>
      </w:pPr>
    </w:p>
    <w:p>
      <w:r>
        <w:rPr>
          <w:b/>
          <w:i w:val="0"/>
          <w:color w:val="92400E"/>
          <w:sz w:val="21"/>
          <w:u w:val="none"/>
        </w:rPr>
        <w:t xml:space="preserve">2.  [MEDIUM]  </w:t>
      </w:r>
      <w:r>
        <w:rPr>
          <w:b w:val="0"/>
          <w:i/>
          <w:color w:val="6B7280"/>
          <w:sz w:val="21"/>
          <w:u w:val="none"/>
        </w:rPr>
        <w:t>No assignment rights clause is present in the visible document</w:t>
      </w:r>
    </w:p>
    <w:p>
      <w:r>
        <w:rPr>
          <w:b/>
          <w:i w:val="0"/>
          <w:sz w:val="20"/>
          <w:u w:val="none"/>
        </w:rPr>
        <w:t xml:space="preserve">Why it's a risk: </w:t>
      </w:r>
      <w:r>
        <w:rPr>
          <w:b w:val="0"/>
          <w:i w:val="0"/>
          <w:sz w:val="20"/>
          <w:u w:val="none"/>
        </w:rPr>
        <w:t>Without an anti-assignment clause, either party could assign its rights and obligations — including access to confidential information — to a third party, such as a competitor, without consent.</w:t>
      </w:r>
    </w:p>
    <w:p>
      <w:r>
        <w:rPr>
          <w:b/>
          <w:i w:val="0"/>
          <w:color w:val="1E3A8A"/>
          <w:sz w:val="20"/>
          <w:u w:val="none"/>
        </w:rPr>
        <w:t xml:space="preserve">Suggestion: </w:t>
      </w:r>
      <w:r>
        <w:rPr>
          <w:b w:val="0"/>
          <w:i w:val="0"/>
          <w:color w:val="1E3A8A"/>
          <w:sz w:val="20"/>
          <w:u w:val="single"/>
        </w:rPr>
        <w:t>Insert an explicit clause prohibiting assignment of any rights or obligations under the agreement without the prior written consent of the other party, with an exception for assignments in connection with a merger or acquisition subject to notice.</w:t>
      </w:r>
    </w:p>
    <w:p>
      <w:pPr>
        <w:pBdr>
          <w:bottom w:val="single" w:sz="4" w:space="1" w:color="E5E7EB"/>
        </w:pBdr>
      </w:pPr>
    </w:p>
    <w:p>
      <w:r>
        <w:rPr>
          <w:b/>
          <w:i w:val="0"/>
          <w:color w:val="92400E"/>
          <w:sz w:val="21"/>
          <w:u w:val="none"/>
        </w:rPr>
        <w:t xml:space="preserve">3.  [MEDIUM]  </w:t>
      </w:r>
      <w:r>
        <w:rPr>
          <w:b w:val="0"/>
          <w:i/>
          <w:color w:val="6B7280"/>
          <w:sz w:val="21"/>
          <w:u w:val="none"/>
        </w:rPr>
        <w:t>No force majeure clause is present in the visible document</w:t>
      </w:r>
    </w:p>
    <w:p>
      <w:r>
        <w:rPr>
          <w:b/>
          <w:i w:val="0"/>
          <w:sz w:val="20"/>
          <w:u w:val="none"/>
        </w:rPr>
        <w:t xml:space="preserve">Why it's a risk: </w:t>
      </w:r>
      <w:r>
        <w:rPr>
          <w:b w:val="0"/>
          <w:i w:val="0"/>
          <w:sz w:val="20"/>
          <w:u w:val="none"/>
        </w:rPr>
        <w:t>Without a force majeure provision, a party could be held in breach for failing to meet obligations (e.g., timely destruction of materials) due to circumstances entirely outside its control.</w:t>
      </w:r>
    </w:p>
    <w:p>
      <w:r>
        <w:rPr>
          <w:b/>
          <w:i w:val="0"/>
          <w:color w:val="1E3A8A"/>
          <w:sz w:val="20"/>
          <w:u w:val="none"/>
        </w:rPr>
        <w:t xml:space="preserve">Suggestion: </w:t>
      </w:r>
      <w:r>
        <w:rPr>
          <w:b w:val="0"/>
          <w:i w:val="0"/>
          <w:color w:val="1E3A8A"/>
          <w:sz w:val="20"/>
          <w:u w:val="single"/>
        </w:rPr>
        <w:t>Add a force majeure clause covering events such as natural disasters, cyberattacks, government actions, or other unforeseeable events that prevent timely compliance, with a reasonable cure period.</w:t>
      </w:r>
    </w:p>
    <w:p>
      <w:pPr>
        <w:pBdr>
          <w:bottom w:val="single" w:sz="4" w:space="1" w:color="E5E7EB"/>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