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b/>
          <w:color w:val="1E3A8A"/>
          <w:sz w:val="17"/>
        </w:rPr>
        <w:t>FINNOAQ AGRO-INDUSTRIAL TECHNOLOGIES LTD. | COMMERCIAL PROPOSAL &amp; SOW</w:t>
      </w:r>
    </w:p>
    <w:p>
      <w:pPr>
        <w:spacing w:before="40" w:after="80" w:line="276" w:lineRule="auto"/>
      </w:pPr>
      <w:r>
        <w:rPr>
          <w:b/>
          <w:color w:val="0F172A"/>
          <w:sz w:val="34"/>
        </w:rPr>
        <w:t>Comparative R&amp;D Investigation &amp; Cooking-Performance Optimization for Imported Tanzanian Toor Dal (Cajanus cajan)</w:t>
      </w:r>
    </w:p>
    <w:p>
      <w:pPr>
        <w:spacing w:before="0" w:after="200" w:line="276" w:lineRule="auto"/>
      </w:pPr>
      <w:r>
        <w:rPr>
          <w:color w:val="475569"/>
          <w:sz w:val="20"/>
        </w:rPr>
        <w:t>Phase 1 Diagnostic Research Scope of Work, Commercial Terms &amp; Technical Framework | Ref: FNQ-PR-2026-001 (Rev 8.0)</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802"/>
        <w:gridCol w:w="4802"/>
      </w:tblGrid>
      <w:tr>
        <w:trPr>
          <w:cantSplit/>
          <w:tblHeader/>
        </w:trPr>
        <w:tc>
          <w:tcPr>
            <w:tcW w:type="dxa" w:w="3168"/>
            <w:shd w:val="clear" w:color="auto" w:fill="F1F5F9"/>
            <w:tcMar>
              <w:top w:w="40" w:type="dxa"/>
              <w:bottom w:w="40" w:type="dxa"/>
              <w:left w:w="60" w:type="dxa"/>
              <w:right w:w="60" w:type="dxa"/>
            </w:tcMar>
          </w:tcPr>
          <w:p>
            <w:pPr>
              <w:spacing w:before="40" w:after="40" w:line="264" w:lineRule="auto"/>
              <w:jc w:val="left"/>
            </w:pPr>
            <w:r>
              <w:rPr>
                <w:b/>
                <w:color w:val="0F172A"/>
                <w:sz w:val="18"/>
              </w:rPr>
              <w:t>Client / Sponsor:</w:t>
            </w:r>
          </w:p>
        </w:tc>
        <w:tc>
          <w:tcPr>
            <w:tcW w:type="dxa" w:w="6437"/>
            <w:shd w:val="clear" w:color="auto" w:fill="F1F5F9"/>
            <w:tcMar>
              <w:top w:w="40" w:type="dxa"/>
              <w:bottom w:w="40" w:type="dxa"/>
              <w:left w:w="60" w:type="dxa"/>
              <w:right w:w="60" w:type="dxa"/>
            </w:tcMar>
          </w:tcPr>
          <w:p>
            <w:pPr>
              <w:spacing w:before="40" w:after="40" w:line="264" w:lineRule="auto"/>
              <w:jc w:val="left"/>
            </w:pPr>
            <w:r>
              <w:rPr>
                <w:b/>
                <w:color w:val="0F172A"/>
                <w:sz w:val="18"/>
              </w:rPr>
              <w:t>Commercial Pulse Processing Facility Management &amp; Technical Team (India)</w:t>
            </w:r>
          </w:p>
        </w:tc>
      </w:tr>
      <w:tr>
        <w:trPr>
          <w:cantSplit/>
        </w:trPr>
        <w:tc>
          <w:tcPr>
            <w:tcW w:type="dxa" w:w="3168"/>
            <w:shd w:val="clear" w:color="auto" w:fill="EFF6FF"/>
            <w:tcMar>
              <w:top w:w="40" w:type="dxa"/>
              <w:bottom w:w="40" w:type="dxa"/>
              <w:left w:w="60" w:type="dxa"/>
              <w:right w:w="60" w:type="dxa"/>
            </w:tcMar>
          </w:tcPr>
          <w:p>
            <w:pPr>
              <w:spacing w:before="40" w:after="40" w:line="264" w:lineRule="auto"/>
              <w:jc w:val="left"/>
            </w:pPr>
            <w:r>
              <w:rPr>
                <w:b/>
                <w:sz w:val="17"/>
              </w:rPr>
              <w:t>Lead Chemical &amp; Process Engineer:</w:t>
            </w:r>
          </w:p>
        </w:tc>
        <w:tc>
          <w:tcPr>
            <w:tcW w:type="dxa" w:w="6437"/>
            <w:shd w:val="clear" w:color="auto" w:fill="EFF6FF"/>
            <w:tcMar>
              <w:top w:w="40" w:type="dxa"/>
              <w:bottom w:w="40" w:type="dxa"/>
              <w:left w:w="60" w:type="dxa"/>
              <w:right w:w="60" w:type="dxa"/>
            </w:tcMar>
          </w:tcPr>
          <w:p>
            <w:pPr>
              <w:spacing w:before="40" w:after="40" w:line="264" w:lineRule="auto"/>
              <w:jc w:val="left"/>
            </w:pPr>
            <w:r>
              <w:rPr>
                <w:sz w:val="17"/>
              </w:rPr>
              <w:t>Sourish Senapati, FinnoaQ Agro-Industrial Technologies Ltd. (Kolkata, WB)</w:t>
            </w:r>
          </w:p>
        </w:tc>
      </w:tr>
      <w:tr>
        <w:trPr>
          <w:cantSplit/>
        </w:trPr>
        <w:tc>
          <w:tcPr>
            <w:tcW w:type="dxa" w:w="3168"/>
            <w:shd w:val="clear" w:color="auto" w:fill="FFFFFF"/>
            <w:tcMar>
              <w:top w:w="40" w:type="dxa"/>
              <w:bottom w:w="40" w:type="dxa"/>
              <w:left w:w="60" w:type="dxa"/>
              <w:right w:w="60" w:type="dxa"/>
            </w:tcMar>
          </w:tcPr>
          <w:p>
            <w:pPr>
              <w:spacing w:before="40" w:after="40" w:line="264" w:lineRule="auto"/>
              <w:jc w:val="left"/>
            </w:pPr>
            <w:r>
              <w:rPr>
                <w:b/>
                <w:sz w:val="17"/>
              </w:rPr>
              <w:t>Academic Guidance &amp; Scientific Advisory:</w:t>
            </w:r>
          </w:p>
        </w:tc>
        <w:tc>
          <w:tcPr>
            <w:tcW w:type="dxa" w:w="6437"/>
            <w:shd w:val="clear" w:color="auto" w:fill="FFFFFF"/>
            <w:tcMar>
              <w:top w:w="40" w:type="dxa"/>
              <w:bottom w:w="40" w:type="dxa"/>
              <w:left w:w="60" w:type="dxa"/>
              <w:right w:w="60" w:type="dxa"/>
            </w:tcMar>
          </w:tcPr>
          <w:p>
            <w:pPr>
              <w:spacing w:before="40" w:after="40" w:line="264" w:lineRule="auto"/>
              <w:jc w:val="left"/>
            </w:pPr>
            <w:r>
              <w:rPr>
                <w:sz w:val="17"/>
              </w:rPr>
              <w:t>Dr. Archisman Ray, Senior Research Fellow, Dept. of Chemical Engineering, IIT Kharagpur</w:t>
            </w:r>
          </w:p>
        </w:tc>
      </w:tr>
      <w:tr>
        <w:trPr>
          <w:cantSplit/>
        </w:trPr>
        <w:tc>
          <w:tcPr>
            <w:tcW w:type="dxa" w:w="3168"/>
            <w:shd w:val="clear" w:color="auto" w:fill="EFF6FF"/>
            <w:tcMar>
              <w:top w:w="40" w:type="dxa"/>
              <w:bottom w:w="40" w:type="dxa"/>
              <w:left w:w="60" w:type="dxa"/>
              <w:right w:w="60" w:type="dxa"/>
            </w:tcMar>
          </w:tcPr>
          <w:p>
            <w:pPr>
              <w:spacing w:before="40" w:after="40" w:line="264" w:lineRule="auto"/>
              <w:jc w:val="left"/>
            </w:pPr>
            <w:r>
              <w:rPr>
                <w:b/>
                <w:sz w:val="17"/>
              </w:rPr>
              <w:t>Project Date &amp; Execution Baseline:</w:t>
            </w:r>
          </w:p>
        </w:tc>
        <w:tc>
          <w:tcPr>
            <w:tcW w:type="dxa" w:w="6437"/>
            <w:shd w:val="clear" w:color="auto" w:fill="EFF6FF"/>
            <w:tcMar>
              <w:top w:w="40" w:type="dxa"/>
              <w:bottom w:w="40" w:type="dxa"/>
              <w:left w:w="60" w:type="dxa"/>
              <w:right w:w="60" w:type="dxa"/>
            </w:tcMar>
          </w:tcPr>
          <w:p>
            <w:pPr>
              <w:spacing w:before="40" w:after="40" w:line="264" w:lineRule="auto"/>
              <w:jc w:val="left"/>
            </w:pPr>
            <w:r>
              <w:rPr>
                <w:sz w:val="17"/>
              </w:rPr>
              <w:t>16 October 2026 | Execution Mode: Offline-First Native Engineering | Revision 8.0</w:t>
            </w:r>
          </w:p>
        </w:tc>
      </w:tr>
    </w:tbl>
    <w:p>
      <w:pPr>
        <w:spacing w:before="120" w:after="120" w:line="276" w:lineRule="auto"/>
      </w:pPr>
    </w:p>
    <w:p>
      <w:pPr>
        <w:spacing w:before="240" w:after="80" w:line="276" w:lineRule="auto"/>
        <w:pBdr>
          <w:bottom w:val="single" w:sz="6" w:space="2" w:color="3B82F6"/>
        </w:pBdr>
      </w:pPr>
      <w:r>
        <w:rPr>
          <w:b/>
          <w:color w:val="0F172A"/>
          <w:sz w:val="28"/>
        </w:rPr>
        <w:t>1. Executive Summary &amp; Commercial Rationale</w:t>
      </w:r>
    </w:p>
    <w:p>
      <w:pPr>
        <w:spacing w:before="60" w:after="80" w:line="276" w:lineRule="auto"/>
      </w:pPr>
      <w:r>
        <w:t>Imported Tanzanian split, dehulled pigeon pea (Cajanus cajan)—commonly traded as Toor Dal—presents a compelling raw material procurement price advantage of approximately ₹18–22/kg relative to domestic Indian benchmark varieties. However, commercial uptake among Indian industrial millers and retail consumers is severely constrained by an acute cooking latency defect: under standard household pressure-cooking conditions, Tanzanian toor dal requires approximately 6 whistles (~45–55 minutes total cooking cycle) compared to 3 whistles (~20–25 minutes) for comparable domestic Indian toor dal. Even after extended thermal boiling, the imported grains frequently retain a persistent hard core, exhibit non-uniform softening, and display poor culinary mouthfeel.</w:t>
      </w:r>
    </w:p>
    <w:p>
      <w:pPr>
        <w:spacing w:before="0" w:after="160" w:line="276" w:lineRule="auto"/>
      </w:pPr>
      <w:r>
        <w:t>This proposal establishes an authoritative, five-stage Phase 1 Diagnostic Research Program designed to scientifically determine the root biophysical, structural, and chemical mechanisms responsible for this cooking-time disparity. Operating under strict engineering governance, this study will generate empirical laboratory evidence across proximate composition, cell-wall pectin fractionation, mineral cross-linking, starch gelatinization, and hydration kinetics to provide a defensible foundation for subsequent commercial conditioning and industrial processing.</w:t>
      </w:r>
    </w:p>
    <w:p>
      <w:pPr>
        <w:spacing w:before="240" w:after="80" w:line="276" w:lineRule="auto"/>
        <w:pBdr>
          <w:bottom w:val="single" w:sz="6" w:space="2" w:color="3B82F6"/>
        </w:pBdr>
      </w:pPr>
      <w:r>
        <w:rPr>
          <w:b/>
          <w:color w:val="0F172A"/>
          <w:sz w:val="28"/>
        </w:rPr>
        <w:t>2. Phase 1 Technical Investigation Scope of Work</w:t>
      </w:r>
    </w:p>
    <w:p>
      <w:pPr>
        <w:spacing w:before="40" w:after="120" w:line="276" w:lineRule="auto"/>
      </w:pPr>
      <w:r>
        <w:t>The Phase 1 investigation replaces qualitative household observations with rigorous, objective, and reproducible analytical methodologies adhering to AOAC, ISO, BIS, and FSSAI standards. Both the imported Tanzanian test lot and a representative domestic Indian benchmark lot will be evaluated simultaneously across 11 synchronized analytical work packages: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401"/>
        <w:gridCol w:w="2401"/>
        <w:gridCol w:w="2401"/>
        <w:gridCol w:w="2401"/>
      </w:tblGrid>
      <w:tr>
        <w:trPr>
          <w:cantSplit/>
          <w:tblHeader/>
        </w:trPr>
        <w:tc>
          <w:tcPr>
            <w:tcW w:type="dxa" w:w="1152"/>
            <w:shd w:val="clear" w:color="auto" w:fill="F1F5F9"/>
            <w:tcMar>
              <w:top w:w="40" w:type="dxa"/>
              <w:bottom w:w="40" w:type="dxa"/>
              <w:left w:w="60" w:type="dxa"/>
              <w:right w:w="60" w:type="dxa"/>
            </w:tcMar>
          </w:tcPr>
          <w:p>
            <w:pPr>
              <w:spacing w:before="40" w:after="40" w:line="264" w:lineRule="auto"/>
              <w:jc w:val="center"/>
            </w:pPr>
            <w:r>
              <w:rPr>
                <w:b/>
                <w:color w:val="0F172A"/>
                <w:sz w:val="18"/>
              </w:rPr>
              <w:t>Module Ref</w:t>
            </w:r>
          </w:p>
        </w:tc>
        <w:tc>
          <w:tcPr>
            <w:tcW w:type="dxa" w:w="3312"/>
            <w:shd w:val="clear" w:color="auto" w:fill="F1F5F9"/>
            <w:tcMar>
              <w:top w:w="40" w:type="dxa"/>
              <w:bottom w:w="40" w:type="dxa"/>
              <w:left w:w="60" w:type="dxa"/>
              <w:right w:w="60" w:type="dxa"/>
            </w:tcMar>
          </w:tcPr>
          <w:p>
            <w:pPr>
              <w:spacing w:before="40" w:after="40" w:line="264" w:lineRule="auto"/>
              <w:jc w:val="left"/>
            </w:pPr>
            <w:r>
              <w:rPr>
                <w:b/>
                <w:color w:val="0F172A"/>
                <w:sz w:val="18"/>
              </w:rPr>
              <w:t>Work Package Description</w:t>
            </w:r>
          </w:p>
        </w:tc>
        <w:tc>
          <w:tcPr>
            <w:tcW w:type="dxa" w:w="3989"/>
            <w:shd w:val="clear" w:color="auto" w:fill="F1F5F9"/>
            <w:tcMar>
              <w:top w:w="40" w:type="dxa"/>
              <w:bottom w:w="40" w:type="dxa"/>
              <w:left w:w="60" w:type="dxa"/>
              <w:right w:w="60" w:type="dxa"/>
            </w:tcMar>
          </w:tcPr>
          <w:p>
            <w:pPr>
              <w:spacing w:before="40" w:after="40" w:line="264" w:lineRule="auto"/>
              <w:jc w:val="left"/>
            </w:pPr>
            <w:r>
              <w:rPr>
                <w:b/>
                <w:color w:val="0F172A"/>
                <w:sz w:val="18"/>
              </w:rPr>
              <w:t>Analytical Methodology &amp; Instrumentation</w:t>
            </w:r>
          </w:p>
        </w:tc>
        <w:tc>
          <w:tcPr>
            <w:tcW w:type="dxa" w:w="1152"/>
            <w:shd w:val="clear" w:color="auto" w:fill="F1F5F9"/>
            <w:tcMar>
              <w:top w:w="40" w:type="dxa"/>
              <w:bottom w:w="40" w:type="dxa"/>
              <w:left w:w="60" w:type="dxa"/>
              <w:right w:w="60" w:type="dxa"/>
            </w:tcMar>
          </w:tcPr>
          <w:p>
            <w:pPr>
              <w:spacing w:before="40" w:after="40" w:line="264" w:lineRule="auto"/>
              <w:jc w:val="right"/>
            </w:pPr>
            <w:r>
              <w:rPr>
                <w:b/>
                <w:color w:val="0F172A"/>
                <w:sz w:val="18"/>
              </w:rPr>
              <w:t>Indicative Fee (INR)</w:t>
            </w:r>
          </w:p>
        </w:tc>
      </w:tr>
      <w:tr>
        <w:trPr>
          <w:cantSplit/>
        </w:trPr>
        <w:tc>
          <w:tcPr>
            <w:tcW w:type="dxa" w:w="1152"/>
            <w:shd w:val="clear" w:color="auto" w:fill="EFF6FF"/>
            <w:tcMar>
              <w:top w:w="40" w:type="dxa"/>
              <w:bottom w:w="40" w:type="dxa"/>
              <w:left w:w="60" w:type="dxa"/>
              <w:right w:w="60" w:type="dxa"/>
            </w:tcMar>
          </w:tcPr>
          <w:p>
            <w:pPr>
              <w:spacing w:before="40" w:after="40" w:line="264" w:lineRule="auto"/>
              <w:jc w:val="center"/>
            </w:pPr>
            <w:r>
              <w:rPr>
                <w:sz w:val="17"/>
              </w:rPr>
              <w:t>WP-01</w:t>
            </w:r>
          </w:p>
        </w:tc>
        <w:tc>
          <w:tcPr>
            <w:tcW w:type="dxa" w:w="3312"/>
            <w:shd w:val="clear" w:color="auto" w:fill="EFF6FF"/>
            <w:tcMar>
              <w:top w:w="40" w:type="dxa"/>
              <w:bottom w:w="40" w:type="dxa"/>
              <w:left w:w="60" w:type="dxa"/>
              <w:right w:w="60" w:type="dxa"/>
            </w:tcMar>
          </w:tcPr>
          <w:p>
            <w:pPr>
              <w:spacing w:before="40" w:after="40" w:line="264" w:lineRule="auto"/>
              <w:jc w:val="left"/>
            </w:pPr>
            <w:r>
              <w:rPr>
                <w:sz w:val="17"/>
              </w:rPr>
              <w:t>Sample Preparation &amp; Physical Characterization</w:t>
            </w:r>
          </w:p>
        </w:tc>
        <w:tc>
          <w:tcPr>
            <w:tcW w:type="dxa" w:w="3989"/>
            <w:shd w:val="clear" w:color="auto" w:fill="EFF6FF"/>
            <w:tcMar>
              <w:top w:w="40" w:type="dxa"/>
              <w:bottom w:w="40" w:type="dxa"/>
              <w:left w:w="60" w:type="dxa"/>
              <w:right w:w="60" w:type="dxa"/>
            </w:tcMar>
          </w:tcPr>
          <w:p>
            <w:pPr>
              <w:spacing w:before="40" w:after="40" w:line="264" w:lineRule="auto"/>
              <w:jc w:val="left"/>
            </w:pPr>
            <w:r>
              <w:rPr>
                <w:sz w:val="17"/>
              </w:rPr>
              <w:t>Grain dimensions (L/W ratio), 1000-grain weight, bulk density, broken %, defect count, raw hardness via digital micrometer and sieving.</w:t>
            </w:r>
          </w:p>
        </w:tc>
        <w:tc>
          <w:tcPr>
            <w:tcW w:type="dxa" w:w="1152"/>
            <w:shd w:val="clear" w:color="auto" w:fill="EFF6FF"/>
            <w:tcMar>
              <w:top w:w="40" w:type="dxa"/>
              <w:bottom w:w="40" w:type="dxa"/>
              <w:left w:w="60" w:type="dxa"/>
              <w:right w:w="60" w:type="dxa"/>
            </w:tcMar>
          </w:tcPr>
          <w:p>
            <w:pPr>
              <w:spacing w:before="40" w:after="40" w:line="264" w:lineRule="auto"/>
              <w:jc w:val="right"/>
            </w:pPr>
            <w:r>
              <w:rPr>
                <w:sz w:val="17"/>
              </w:rPr>
              <w:t>₹20,000</w:t>
            </w:r>
          </w:p>
        </w:tc>
      </w:tr>
      <w:tr>
        <w:trPr>
          <w:cantSplit/>
        </w:trPr>
        <w:tc>
          <w:tcPr>
            <w:tcW w:type="dxa" w:w="1152"/>
            <w:shd w:val="clear" w:color="auto" w:fill="FFFFFF"/>
            <w:tcMar>
              <w:top w:w="40" w:type="dxa"/>
              <w:bottom w:w="40" w:type="dxa"/>
              <w:left w:w="60" w:type="dxa"/>
              <w:right w:w="60" w:type="dxa"/>
            </w:tcMar>
          </w:tcPr>
          <w:p>
            <w:pPr>
              <w:spacing w:before="40" w:after="40" w:line="264" w:lineRule="auto"/>
              <w:jc w:val="center"/>
            </w:pPr>
            <w:r>
              <w:rPr>
                <w:sz w:val="17"/>
              </w:rPr>
              <w:t>WP-02</w:t>
            </w:r>
          </w:p>
        </w:tc>
        <w:tc>
          <w:tcPr>
            <w:tcW w:type="dxa" w:w="3312"/>
            <w:shd w:val="clear" w:color="auto" w:fill="FFFFFF"/>
            <w:tcMar>
              <w:top w:w="40" w:type="dxa"/>
              <w:bottom w:w="40" w:type="dxa"/>
              <w:left w:w="60" w:type="dxa"/>
              <w:right w:w="60" w:type="dxa"/>
            </w:tcMar>
          </w:tcPr>
          <w:p>
            <w:pPr>
              <w:spacing w:before="40" w:after="40" w:line="264" w:lineRule="auto"/>
              <w:jc w:val="left"/>
            </w:pPr>
            <w:r>
              <w:rPr>
                <w:sz w:val="17"/>
              </w:rPr>
              <w:t>Proximate Chemical Composition</w:t>
            </w:r>
          </w:p>
        </w:tc>
        <w:tc>
          <w:tcPr>
            <w:tcW w:type="dxa" w:w="3989"/>
            <w:shd w:val="clear" w:color="auto" w:fill="FFFFFF"/>
            <w:tcMar>
              <w:top w:w="40" w:type="dxa"/>
              <w:bottom w:w="40" w:type="dxa"/>
              <w:left w:w="60" w:type="dxa"/>
              <w:right w:w="60" w:type="dxa"/>
            </w:tcMar>
          </w:tcPr>
          <w:p>
            <w:pPr>
              <w:spacing w:before="40" w:after="40" w:line="264" w:lineRule="auto"/>
              <w:jc w:val="left"/>
            </w:pPr>
            <w:r>
              <w:rPr>
                <w:sz w:val="17"/>
              </w:rPr>
              <w:t>Standard AOAC / FSSAI protocols: moisture (vacuum oven), crude protein (Kjeldahl), crude fat (Soxhlet), crude fiber, total ash, and available carbohydrate.</w:t>
            </w:r>
          </w:p>
        </w:tc>
        <w:tc>
          <w:tcPr>
            <w:tcW w:type="dxa" w:w="1152"/>
            <w:shd w:val="clear" w:color="auto" w:fill="FFFFFF"/>
            <w:tcMar>
              <w:top w:w="40" w:type="dxa"/>
              <w:bottom w:w="40" w:type="dxa"/>
              <w:left w:w="60" w:type="dxa"/>
              <w:right w:w="60" w:type="dxa"/>
            </w:tcMar>
          </w:tcPr>
          <w:p>
            <w:pPr>
              <w:spacing w:before="40" w:after="40" w:line="264" w:lineRule="auto"/>
              <w:jc w:val="right"/>
            </w:pPr>
            <w:r>
              <w:rPr>
                <w:sz w:val="17"/>
              </w:rPr>
              <w:t>₹7,000</w:t>
            </w:r>
          </w:p>
        </w:tc>
      </w:tr>
      <w:tr>
        <w:trPr>
          <w:cantSplit/>
        </w:trPr>
        <w:tc>
          <w:tcPr>
            <w:tcW w:type="dxa" w:w="1152"/>
            <w:shd w:val="clear" w:color="auto" w:fill="EFF6FF"/>
            <w:tcMar>
              <w:top w:w="40" w:type="dxa"/>
              <w:bottom w:w="40" w:type="dxa"/>
              <w:left w:w="60" w:type="dxa"/>
              <w:right w:w="60" w:type="dxa"/>
            </w:tcMar>
          </w:tcPr>
          <w:p>
            <w:pPr>
              <w:spacing w:before="40" w:after="40" w:line="264" w:lineRule="auto"/>
              <w:jc w:val="center"/>
            </w:pPr>
            <w:r>
              <w:rPr>
                <w:sz w:val="17"/>
              </w:rPr>
              <w:t>WP-03</w:t>
            </w:r>
          </w:p>
        </w:tc>
        <w:tc>
          <w:tcPr>
            <w:tcW w:type="dxa" w:w="3312"/>
            <w:shd w:val="clear" w:color="auto" w:fill="EFF6FF"/>
            <w:tcMar>
              <w:top w:w="40" w:type="dxa"/>
              <w:bottom w:w="40" w:type="dxa"/>
              <w:left w:w="60" w:type="dxa"/>
              <w:right w:w="60" w:type="dxa"/>
            </w:tcMar>
          </w:tcPr>
          <w:p>
            <w:pPr>
              <w:spacing w:before="40" w:after="40" w:line="264" w:lineRule="auto"/>
              <w:jc w:val="left"/>
            </w:pPr>
            <w:r>
              <w:rPr>
                <w:sz w:val="17"/>
              </w:rPr>
              <w:t>Starch &amp; Amylose Profiling</w:t>
            </w:r>
          </w:p>
        </w:tc>
        <w:tc>
          <w:tcPr>
            <w:tcW w:type="dxa" w:w="3989"/>
            <w:shd w:val="clear" w:color="auto" w:fill="EFF6FF"/>
            <w:tcMar>
              <w:top w:w="40" w:type="dxa"/>
              <w:bottom w:w="40" w:type="dxa"/>
              <w:left w:w="60" w:type="dxa"/>
              <w:right w:w="60" w:type="dxa"/>
            </w:tcMar>
          </w:tcPr>
          <w:p>
            <w:pPr>
              <w:spacing w:before="40" w:after="40" w:line="264" w:lineRule="auto"/>
              <w:jc w:val="left"/>
            </w:pPr>
            <w:r>
              <w:rPr>
                <w:sz w:val="17"/>
              </w:rPr>
              <w:t>Total starch determination, amylose-to-amylopectin ratio via iodine spectrophotometry, and enzymatic starch availability assays.</w:t>
            </w:r>
          </w:p>
        </w:tc>
        <w:tc>
          <w:tcPr>
            <w:tcW w:type="dxa" w:w="1152"/>
            <w:shd w:val="clear" w:color="auto" w:fill="EFF6FF"/>
            <w:tcMar>
              <w:top w:w="40" w:type="dxa"/>
              <w:bottom w:w="40" w:type="dxa"/>
              <w:left w:w="60" w:type="dxa"/>
              <w:right w:w="60" w:type="dxa"/>
            </w:tcMar>
          </w:tcPr>
          <w:p>
            <w:pPr>
              <w:spacing w:before="40" w:after="40" w:line="264" w:lineRule="auto"/>
              <w:jc w:val="right"/>
            </w:pPr>
            <w:r>
              <w:rPr>
                <w:sz w:val="17"/>
              </w:rPr>
              <w:t>₹5,000</w:t>
            </w:r>
          </w:p>
        </w:tc>
      </w:tr>
      <w:tr>
        <w:trPr>
          <w:cantSplit/>
        </w:trPr>
        <w:tc>
          <w:tcPr>
            <w:tcW w:type="dxa" w:w="1152"/>
            <w:shd w:val="clear" w:color="auto" w:fill="FFFFFF"/>
            <w:tcMar>
              <w:top w:w="40" w:type="dxa"/>
              <w:bottom w:w="40" w:type="dxa"/>
              <w:left w:w="60" w:type="dxa"/>
              <w:right w:w="60" w:type="dxa"/>
            </w:tcMar>
          </w:tcPr>
          <w:p>
            <w:pPr>
              <w:spacing w:before="40" w:after="40" w:line="264" w:lineRule="auto"/>
              <w:jc w:val="center"/>
            </w:pPr>
            <w:r>
              <w:rPr>
                <w:sz w:val="17"/>
              </w:rPr>
              <w:t>WP-04</w:t>
            </w:r>
          </w:p>
        </w:tc>
        <w:tc>
          <w:tcPr>
            <w:tcW w:type="dxa" w:w="3312"/>
            <w:shd w:val="clear" w:color="auto" w:fill="FFFFFF"/>
            <w:tcMar>
              <w:top w:w="40" w:type="dxa"/>
              <w:bottom w:w="40" w:type="dxa"/>
              <w:left w:w="60" w:type="dxa"/>
              <w:right w:w="60" w:type="dxa"/>
            </w:tcMar>
          </w:tcPr>
          <w:p>
            <w:pPr>
              <w:spacing w:before="40" w:after="40" w:line="264" w:lineRule="auto"/>
              <w:jc w:val="left"/>
            </w:pPr>
            <w:r>
              <w:rPr>
                <w:sz w:val="17"/>
              </w:rPr>
              <w:t>DSC Gelatinization &amp; Thermal Behavior</w:t>
            </w:r>
          </w:p>
        </w:tc>
        <w:tc>
          <w:tcPr>
            <w:tcW w:type="dxa" w:w="3989"/>
            <w:shd w:val="clear" w:color="auto" w:fill="FFFFFF"/>
            <w:tcMar>
              <w:top w:w="40" w:type="dxa"/>
              <w:bottom w:w="40" w:type="dxa"/>
              <w:left w:w="60" w:type="dxa"/>
              <w:right w:w="60" w:type="dxa"/>
            </w:tcMar>
          </w:tcPr>
          <w:p>
            <w:pPr>
              <w:spacing w:before="40" w:after="40" w:line="264" w:lineRule="auto"/>
              <w:jc w:val="left"/>
            </w:pPr>
            <w:r>
              <w:rPr>
                <w:sz w:val="17"/>
              </w:rPr>
              <w:t>Differential Scanning Calorimetry (DSC): onset (To), peak (Tp), concluding (Tc) gelatinization temperatures, transition enthalpy (ΔH), and pasting behavior.</w:t>
            </w:r>
          </w:p>
        </w:tc>
        <w:tc>
          <w:tcPr>
            <w:tcW w:type="dxa" w:w="1152"/>
            <w:shd w:val="clear" w:color="auto" w:fill="FFFFFF"/>
            <w:tcMar>
              <w:top w:w="40" w:type="dxa"/>
              <w:bottom w:w="40" w:type="dxa"/>
              <w:left w:w="60" w:type="dxa"/>
              <w:right w:w="60" w:type="dxa"/>
            </w:tcMar>
          </w:tcPr>
          <w:p>
            <w:pPr>
              <w:spacing w:before="40" w:after="40" w:line="264" w:lineRule="auto"/>
              <w:jc w:val="right"/>
            </w:pPr>
            <w:r>
              <w:rPr>
                <w:sz w:val="17"/>
              </w:rPr>
              <w:t>₹20,000</w:t>
            </w:r>
          </w:p>
        </w:tc>
      </w:tr>
      <w:tr>
        <w:trPr>
          <w:cantSplit/>
        </w:trPr>
        <w:tc>
          <w:tcPr>
            <w:tcW w:type="dxa" w:w="1152"/>
            <w:shd w:val="clear" w:color="auto" w:fill="EFF6FF"/>
            <w:tcMar>
              <w:top w:w="40" w:type="dxa"/>
              <w:bottom w:w="40" w:type="dxa"/>
              <w:left w:w="60" w:type="dxa"/>
              <w:right w:w="60" w:type="dxa"/>
            </w:tcMar>
          </w:tcPr>
          <w:p>
            <w:pPr>
              <w:spacing w:before="40" w:after="40" w:line="264" w:lineRule="auto"/>
              <w:jc w:val="center"/>
            </w:pPr>
            <w:r>
              <w:rPr>
                <w:sz w:val="17"/>
              </w:rPr>
              <w:t>WP-05</w:t>
            </w:r>
          </w:p>
        </w:tc>
        <w:tc>
          <w:tcPr>
            <w:tcW w:type="dxa" w:w="3312"/>
            <w:shd w:val="clear" w:color="auto" w:fill="EFF6FF"/>
            <w:tcMar>
              <w:top w:w="40" w:type="dxa"/>
              <w:bottom w:w="40" w:type="dxa"/>
              <w:left w:w="60" w:type="dxa"/>
              <w:right w:w="60" w:type="dxa"/>
            </w:tcMar>
          </w:tcPr>
          <w:p>
            <w:pPr>
              <w:spacing w:before="40" w:after="40" w:line="264" w:lineRule="auto"/>
              <w:jc w:val="left"/>
            </w:pPr>
            <w:r>
              <w:rPr>
                <w:sz w:val="17"/>
              </w:rPr>
              <w:t>Hydration Kinetics &amp; Water Absorption Index</w:t>
            </w:r>
          </w:p>
        </w:tc>
        <w:tc>
          <w:tcPr>
            <w:tcW w:type="dxa" w:w="3989"/>
            <w:shd w:val="clear" w:color="auto" w:fill="EFF6FF"/>
            <w:tcMar>
              <w:top w:w="40" w:type="dxa"/>
              <w:bottom w:w="40" w:type="dxa"/>
              <w:left w:w="60" w:type="dxa"/>
              <w:right w:w="60" w:type="dxa"/>
            </w:tcMar>
          </w:tcPr>
          <w:p>
            <w:pPr>
              <w:spacing w:before="40" w:after="40" w:line="264" w:lineRule="auto"/>
              <w:jc w:val="left"/>
            </w:pPr>
            <w:r>
              <w:rPr>
                <w:sz w:val="17"/>
              </w:rPr>
              <w:t>Multi-point isothermal soaking curves (0, 15, 30, 60, 120, 240, 480 min) at 25°C, 45°C, and 65°C; gravimetric Water Absorption Index (WAI) and volume swelling.</w:t>
            </w:r>
          </w:p>
        </w:tc>
        <w:tc>
          <w:tcPr>
            <w:tcW w:type="dxa" w:w="1152"/>
            <w:shd w:val="clear" w:color="auto" w:fill="EFF6FF"/>
            <w:tcMar>
              <w:top w:w="40" w:type="dxa"/>
              <w:bottom w:w="40" w:type="dxa"/>
              <w:left w:w="60" w:type="dxa"/>
              <w:right w:w="60" w:type="dxa"/>
            </w:tcMar>
          </w:tcPr>
          <w:p>
            <w:pPr>
              <w:spacing w:before="40" w:after="40" w:line="264" w:lineRule="auto"/>
              <w:jc w:val="right"/>
            </w:pPr>
            <w:r>
              <w:rPr>
                <w:sz w:val="17"/>
              </w:rPr>
              <w:t>₹10,000</w:t>
            </w:r>
          </w:p>
        </w:tc>
      </w:tr>
      <w:tr>
        <w:trPr>
          <w:cantSplit/>
        </w:trPr>
        <w:tc>
          <w:tcPr>
            <w:tcW w:type="dxa" w:w="1152"/>
            <w:shd w:val="clear" w:color="auto" w:fill="FFFFFF"/>
            <w:tcMar>
              <w:top w:w="40" w:type="dxa"/>
              <w:bottom w:w="40" w:type="dxa"/>
              <w:left w:w="60" w:type="dxa"/>
              <w:right w:w="60" w:type="dxa"/>
            </w:tcMar>
          </w:tcPr>
          <w:p>
            <w:pPr>
              <w:spacing w:before="40" w:after="40" w:line="264" w:lineRule="auto"/>
              <w:jc w:val="center"/>
            </w:pPr>
            <w:r>
              <w:rPr>
                <w:sz w:val="17"/>
              </w:rPr>
              <w:t>WP-06</w:t>
            </w:r>
          </w:p>
        </w:tc>
        <w:tc>
          <w:tcPr>
            <w:tcW w:type="dxa" w:w="3312"/>
            <w:shd w:val="clear" w:color="auto" w:fill="FFFFFF"/>
            <w:tcMar>
              <w:top w:w="40" w:type="dxa"/>
              <w:bottom w:w="40" w:type="dxa"/>
              <w:left w:w="60" w:type="dxa"/>
              <w:right w:w="60" w:type="dxa"/>
            </w:tcMar>
          </w:tcPr>
          <w:p>
            <w:pPr>
              <w:spacing w:before="40" w:after="40" w:line="264" w:lineRule="auto"/>
              <w:jc w:val="left"/>
            </w:pPr>
            <w:r>
              <w:rPr>
                <w:sz w:val="17"/>
              </w:rPr>
              <w:t>Pectin &amp; Cell-Wall Fractionation</w:t>
            </w:r>
          </w:p>
        </w:tc>
        <w:tc>
          <w:tcPr>
            <w:tcW w:type="dxa" w:w="3989"/>
            <w:shd w:val="clear" w:color="auto" w:fill="FFFFFF"/>
            <w:tcMar>
              <w:top w:w="40" w:type="dxa"/>
              <w:bottom w:w="40" w:type="dxa"/>
              <w:left w:w="60" w:type="dxa"/>
              <w:right w:w="60" w:type="dxa"/>
            </w:tcMar>
          </w:tcPr>
          <w:p>
            <w:pPr>
              <w:spacing w:before="40" w:after="40" w:line="264" w:lineRule="auto"/>
              <w:jc w:val="left"/>
            </w:pPr>
            <w:r>
              <w:rPr>
                <w:sz w:val="17"/>
              </w:rPr>
              <w:t>Sequential chemical fractionation: water-soluble pectin, chelator-soluble pectin (EDTA), and alkali-soluble pectin; degree of esterification; cell-wall rigidity analysis.</w:t>
            </w:r>
          </w:p>
        </w:tc>
        <w:tc>
          <w:tcPr>
            <w:tcW w:type="dxa" w:w="1152"/>
            <w:shd w:val="clear" w:color="auto" w:fill="FFFFFF"/>
            <w:tcMar>
              <w:top w:w="40" w:type="dxa"/>
              <w:bottom w:w="40" w:type="dxa"/>
              <w:left w:w="60" w:type="dxa"/>
              <w:right w:w="60" w:type="dxa"/>
            </w:tcMar>
          </w:tcPr>
          <w:p>
            <w:pPr>
              <w:spacing w:before="40" w:after="40" w:line="264" w:lineRule="auto"/>
              <w:jc w:val="right"/>
            </w:pPr>
            <w:r>
              <w:rPr>
                <w:sz w:val="17"/>
              </w:rPr>
              <w:t>₹18,000</w:t>
            </w:r>
          </w:p>
        </w:tc>
      </w:tr>
      <w:tr>
        <w:trPr>
          <w:cantSplit/>
        </w:trPr>
        <w:tc>
          <w:tcPr>
            <w:tcW w:type="dxa" w:w="1152"/>
            <w:shd w:val="clear" w:color="auto" w:fill="EFF6FF"/>
            <w:tcMar>
              <w:top w:w="40" w:type="dxa"/>
              <w:bottom w:w="40" w:type="dxa"/>
              <w:left w:w="60" w:type="dxa"/>
              <w:right w:w="60" w:type="dxa"/>
            </w:tcMar>
          </w:tcPr>
          <w:p>
            <w:pPr>
              <w:spacing w:before="40" w:after="40" w:line="264" w:lineRule="auto"/>
              <w:jc w:val="center"/>
            </w:pPr>
            <w:r>
              <w:rPr>
                <w:sz w:val="17"/>
              </w:rPr>
              <w:t>WP-07</w:t>
            </w:r>
          </w:p>
        </w:tc>
        <w:tc>
          <w:tcPr>
            <w:tcW w:type="dxa" w:w="3312"/>
            <w:shd w:val="clear" w:color="auto" w:fill="EFF6FF"/>
            <w:tcMar>
              <w:top w:w="40" w:type="dxa"/>
              <w:bottom w:w="40" w:type="dxa"/>
              <w:left w:w="60" w:type="dxa"/>
              <w:right w:w="60" w:type="dxa"/>
            </w:tcMar>
          </w:tcPr>
          <w:p>
            <w:pPr>
              <w:spacing w:before="40" w:after="40" w:line="264" w:lineRule="auto"/>
              <w:jc w:val="left"/>
            </w:pPr>
            <w:r>
              <w:rPr>
                <w:sz w:val="17"/>
              </w:rPr>
              <w:t>Mineral Profile &amp; Phytate Interactions</w:t>
            </w:r>
          </w:p>
        </w:tc>
        <w:tc>
          <w:tcPr>
            <w:tcW w:type="dxa" w:w="3989"/>
            <w:shd w:val="clear" w:color="auto" w:fill="EFF6FF"/>
            <w:tcMar>
              <w:top w:w="40" w:type="dxa"/>
              <w:bottom w:w="40" w:type="dxa"/>
              <w:left w:w="60" w:type="dxa"/>
              <w:right w:w="60" w:type="dxa"/>
            </w:tcMar>
          </w:tcPr>
          <w:p>
            <w:pPr>
              <w:spacing w:before="40" w:after="40" w:line="264" w:lineRule="auto"/>
              <w:jc w:val="left"/>
            </w:pPr>
            <w:r>
              <w:rPr>
                <w:sz w:val="17"/>
              </w:rPr>
              <w:t>ICP-OES / AAS determination of divalent cations (Ca²⁺, Mg²⁺), iron, phosphorus, and spectrophotometric phytic acid quantification; phytate:cation molar ratios.</w:t>
            </w:r>
          </w:p>
        </w:tc>
        <w:tc>
          <w:tcPr>
            <w:tcW w:type="dxa" w:w="1152"/>
            <w:shd w:val="clear" w:color="auto" w:fill="EFF6FF"/>
            <w:tcMar>
              <w:top w:w="40" w:type="dxa"/>
              <w:bottom w:w="40" w:type="dxa"/>
              <w:left w:w="60" w:type="dxa"/>
              <w:right w:w="60" w:type="dxa"/>
            </w:tcMar>
          </w:tcPr>
          <w:p>
            <w:pPr>
              <w:spacing w:before="40" w:after="40" w:line="264" w:lineRule="auto"/>
              <w:jc w:val="right"/>
            </w:pPr>
            <w:r>
              <w:rPr>
                <w:sz w:val="17"/>
              </w:rPr>
              <w:t>₹16,000</w:t>
            </w:r>
          </w:p>
        </w:tc>
      </w:tr>
      <w:tr>
        <w:trPr>
          <w:cantSplit/>
        </w:trPr>
        <w:tc>
          <w:tcPr>
            <w:tcW w:type="dxa" w:w="1152"/>
            <w:shd w:val="clear" w:color="auto" w:fill="FFFFFF"/>
            <w:tcMar>
              <w:top w:w="40" w:type="dxa"/>
              <w:bottom w:w="40" w:type="dxa"/>
              <w:left w:w="60" w:type="dxa"/>
              <w:right w:w="60" w:type="dxa"/>
            </w:tcMar>
          </w:tcPr>
          <w:p>
            <w:pPr>
              <w:spacing w:before="40" w:after="40" w:line="264" w:lineRule="auto"/>
              <w:jc w:val="center"/>
            </w:pPr>
            <w:r>
              <w:rPr>
                <w:sz w:val="17"/>
              </w:rPr>
              <w:t>WP-08</w:t>
            </w:r>
          </w:p>
        </w:tc>
        <w:tc>
          <w:tcPr>
            <w:tcW w:type="dxa" w:w="3312"/>
            <w:shd w:val="clear" w:color="auto" w:fill="FFFFFF"/>
            <w:tcMar>
              <w:top w:w="40" w:type="dxa"/>
              <w:bottom w:w="40" w:type="dxa"/>
              <w:left w:w="60" w:type="dxa"/>
              <w:right w:w="60" w:type="dxa"/>
            </w:tcMar>
          </w:tcPr>
          <w:p>
            <w:pPr>
              <w:spacing w:before="40" w:after="40" w:line="264" w:lineRule="auto"/>
              <w:jc w:val="left"/>
            </w:pPr>
            <w:r>
              <w:rPr>
                <w:sz w:val="17"/>
              </w:rPr>
              <w:t>Instrumental Hardness &amp; Texture Profile</w:t>
            </w:r>
          </w:p>
        </w:tc>
        <w:tc>
          <w:tcPr>
            <w:tcW w:type="dxa" w:w="3989"/>
            <w:shd w:val="clear" w:color="auto" w:fill="FFFFFF"/>
            <w:tcMar>
              <w:top w:w="40" w:type="dxa"/>
              <w:bottom w:w="40" w:type="dxa"/>
              <w:left w:w="60" w:type="dxa"/>
              <w:right w:w="60" w:type="dxa"/>
            </w:tcMar>
          </w:tcPr>
          <w:p>
            <w:pPr>
              <w:spacing w:before="40" w:after="40" w:line="264" w:lineRule="auto"/>
              <w:jc w:val="left"/>
            </w:pPr>
            <w:r>
              <w:rPr>
                <w:sz w:val="17"/>
              </w:rPr>
              <w:t>Texture Profile Analysis (TPA) on a calibrated Lloyd/Stable Micro Systems Texture Analyzer: raw breaking force, soaked firmness, cooked peak penetration resistance.</w:t>
            </w:r>
          </w:p>
        </w:tc>
        <w:tc>
          <w:tcPr>
            <w:tcW w:type="dxa" w:w="1152"/>
            <w:shd w:val="clear" w:color="auto" w:fill="FFFFFF"/>
            <w:tcMar>
              <w:top w:w="40" w:type="dxa"/>
              <w:bottom w:w="40" w:type="dxa"/>
              <w:left w:w="60" w:type="dxa"/>
              <w:right w:w="60" w:type="dxa"/>
            </w:tcMar>
          </w:tcPr>
          <w:p>
            <w:pPr>
              <w:spacing w:before="40" w:after="40" w:line="264" w:lineRule="auto"/>
              <w:jc w:val="right"/>
            </w:pPr>
            <w:r>
              <w:rPr>
                <w:sz w:val="17"/>
              </w:rPr>
              <w:t>₹17,000</w:t>
            </w:r>
          </w:p>
        </w:tc>
      </w:tr>
      <w:tr>
        <w:trPr>
          <w:cantSplit/>
        </w:trPr>
        <w:tc>
          <w:tcPr>
            <w:tcW w:type="dxa" w:w="1152"/>
            <w:shd w:val="clear" w:color="auto" w:fill="EFF6FF"/>
            <w:tcMar>
              <w:top w:w="40" w:type="dxa"/>
              <w:bottom w:w="40" w:type="dxa"/>
              <w:left w:w="60" w:type="dxa"/>
              <w:right w:w="60" w:type="dxa"/>
            </w:tcMar>
          </w:tcPr>
          <w:p>
            <w:pPr>
              <w:spacing w:before="40" w:after="40" w:line="264" w:lineRule="auto"/>
              <w:jc w:val="center"/>
            </w:pPr>
            <w:r>
              <w:rPr>
                <w:sz w:val="17"/>
              </w:rPr>
              <w:t>WP-09</w:t>
            </w:r>
          </w:p>
        </w:tc>
        <w:tc>
          <w:tcPr>
            <w:tcW w:type="dxa" w:w="3312"/>
            <w:shd w:val="clear" w:color="auto" w:fill="EFF6FF"/>
            <w:tcMar>
              <w:top w:w="40" w:type="dxa"/>
              <w:bottom w:w="40" w:type="dxa"/>
              <w:left w:w="60" w:type="dxa"/>
              <w:right w:w="60" w:type="dxa"/>
            </w:tcMar>
          </w:tcPr>
          <w:p>
            <w:pPr>
              <w:spacing w:before="40" w:after="40" w:line="264" w:lineRule="auto"/>
              <w:jc w:val="left"/>
            </w:pPr>
            <w:r>
              <w:rPr>
                <w:sz w:val="17"/>
              </w:rPr>
              <w:t>Standardized Cooking-Performance Trials</w:t>
            </w:r>
          </w:p>
        </w:tc>
        <w:tc>
          <w:tcPr>
            <w:tcW w:type="dxa" w:w="3989"/>
            <w:shd w:val="clear" w:color="auto" w:fill="EFF6FF"/>
            <w:tcMar>
              <w:top w:w="40" w:type="dxa"/>
              <w:bottom w:w="40" w:type="dxa"/>
              <w:left w:w="60" w:type="dxa"/>
              <w:right w:w="60" w:type="dxa"/>
            </w:tcMar>
          </w:tcPr>
          <w:p>
            <w:pPr>
              <w:spacing w:before="40" w:after="40" w:line="264" w:lineRule="auto"/>
              <w:jc w:val="left"/>
            </w:pPr>
            <w:r>
              <w:rPr>
                <w:sz w:val="17"/>
              </w:rPr>
              <w:t>Instrumented laboratory pressure vessel trials with calibrated temperature/pressure logging; determination of objective cooking endpoint (cooked core % &lt; 2.0%).</w:t>
            </w:r>
          </w:p>
        </w:tc>
        <w:tc>
          <w:tcPr>
            <w:tcW w:type="dxa" w:w="1152"/>
            <w:shd w:val="clear" w:color="auto" w:fill="EFF6FF"/>
            <w:tcMar>
              <w:top w:w="40" w:type="dxa"/>
              <w:bottom w:w="40" w:type="dxa"/>
              <w:left w:w="60" w:type="dxa"/>
              <w:right w:w="60" w:type="dxa"/>
            </w:tcMar>
          </w:tcPr>
          <w:p>
            <w:pPr>
              <w:spacing w:before="40" w:after="40" w:line="264" w:lineRule="auto"/>
              <w:jc w:val="right"/>
            </w:pPr>
            <w:r>
              <w:rPr>
                <w:sz w:val="17"/>
              </w:rPr>
              <w:t>₹20,000</w:t>
            </w:r>
          </w:p>
        </w:tc>
      </w:tr>
      <w:tr>
        <w:trPr>
          <w:cantSplit/>
        </w:trPr>
        <w:tc>
          <w:tcPr>
            <w:tcW w:type="dxa" w:w="1152"/>
            <w:shd w:val="clear" w:color="auto" w:fill="FFFFFF"/>
            <w:tcMar>
              <w:top w:w="40" w:type="dxa"/>
              <w:bottom w:w="40" w:type="dxa"/>
              <w:left w:w="60" w:type="dxa"/>
              <w:right w:w="60" w:type="dxa"/>
            </w:tcMar>
          </w:tcPr>
          <w:p>
            <w:pPr>
              <w:spacing w:before="40" w:after="40" w:line="264" w:lineRule="auto"/>
              <w:jc w:val="center"/>
            </w:pPr>
            <w:r>
              <w:rPr>
                <w:sz w:val="17"/>
              </w:rPr>
              <w:t>WP-10</w:t>
            </w:r>
          </w:p>
        </w:tc>
        <w:tc>
          <w:tcPr>
            <w:tcW w:type="dxa" w:w="3312"/>
            <w:shd w:val="clear" w:color="auto" w:fill="FFFFFF"/>
            <w:tcMar>
              <w:top w:w="40" w:type="dxa"/>
              <w:bottom w:w="40" w:type="dxa"/>
              <w:left w:w="60" w:type="dxa"/>
              <w:right w:w="60" w:type="dxa"/>
            </w:tcMar>
          </w:tcPr>
          <w:p>
            <w:pPr>
              <w:spacing w:before="40" w:after="40" w:line="264" w:lineRule="auto"/>
              <w:jc w:val="left"/>
            </w:pPr>
            <w:r>
              <w:rPr>
                <w:sz w:val="17"/>
              </w:rPr>
              <w:t>Integrated Data Analysis &amp; Root-Cause Matrix</w:t>
            </w:r>
          </w:p>
        </w:tc>
        <w:tc>
          <w:tcPr>
            <w:tcW w:type="dxa" w:w="3989"/>
            <w:shd w:val="clear" w:color="auto" w:fill="FFFFFF"/>
            <w:tcMar>
              <w:top w:w="40" w:type="dxa"/>
              <w:bottom w:w="40" w:type="dxa"/>
              <w:left w:w="60" w:type="dxa"/>
              <w:right w:w="60" w:type="dxa"/>
            </w:tcMar>
          </w:tcPr>
          <w:p>
            <w:pPr>
              <w:spacing w:before="40" w:after="40" w:line="264" w:lineRule="auto"/>
              <w:jc w:val="left"/>
            </w:pPr>
            <w:r>
              <w:rPr>
                <w:sz w:val="17"/>
              </w:rPr>
              <w:t>Multi-factor statistical correlation and analysis of variance (ANOVA) linking physicochemical parameters to cooking latency; candidate ranking.</w:t>
            </w:r>
          </w:p>
        </w:tc>
        <w:tc>
          <w:tcPr>
            <w:tcW w:type="dxa" w:w="1152"/>
            <w:shd w:val="clear" w:color="auto" w:fill="FFFFFF"/>
            <w:tcMar>
              <w:top w:w="40" w:type="dxa"/>
              <w:bottom w:w="40" w:type="dxa"/>
              <w:left w:w="60" w:type="dxa"/>
              <w:right w:w="60" w:type="dxa"/>
            </w:tcMar>
          </w:tcPr>
          <w:p>
            <w:pPr>
              <w:spacing w:before="40" w:after="40" w:line="264" w:lineRule="auto"/>
              <w:jc w:val="right"/>
            </w:pPr>
            <w:r>
              <w:rPr>
                <w:sz w:val="17"/>
              </w:rPr>
              <w:t>₹20,000</w:t>
            </w:r>
          </w:p>
        </w:tc>
      </w:tr>
      <w:tr>
        <w:trPr>
          <w:cantSplit/>
        </w:trPr>
        <w:tc>
          <w:tcPr>
            <w:tcW w:type="dxa" w:w="1152"/>
            <w:shd w:val="clear" w:color="auto" w:fill="EFF6FF"/>
            <w:tcMar>
              <w:top w:w="40" w:type="dxa"/>
              <w:bottom w:w="40" w:type="dxa"/>
              <w:left w:w="60" w:type="dxa"/>
              <w:right w:w="60" w:type="dxa"/>
            </w:tcMar>
          </w:tcPr>
          <w:p>
            <w:pPr>
              <w:spacing w:before="40" w:after="40" w:line="264" w:lineRule="auto"/>
              <w:jc w:val="center"/>
            </w:pPr>
            <w:r>
              <w:rPr>
                <w:sz w:val="17"/>
              </w:rPr>
              <w:t>WP-11</w:t>
            </w:r>
          </w:p>
        </w:tc>
        <w:tc>
          <w:tcPr>
            <w:tcW w:type="dxa" w:w="3312"/>
            <w:shd w:val="clear" w:color="auto" w:fill="EFF6FF"/>
            <w:tcMar>
              <w:top w:w="40" w:type="dxa"/>
              <w:bottom w:w="40" w:type="dxa"/>
              <w:left w:w="60" w:type="dxa"/>
              <w:right w:w="60" w:type="dxa"/>
            </w:tcMar>
          </w:tcPr>
          <w:p>
            <w:pPr>
              <w:spacing w:before="40" w:after="40" w:line="264" w:lineRule="auto"/>
              <w:jc w:val="left"/>
            </w:pPr>
            <w:r>
              <w:rPr>
                <w:sz w:val="17"/>
              </w:rPr>
              <w:t>Comprehensive Technical R&amp;D Report</w:t>
            </w:r>
          </w:p>
        </w:tc>
        <w:tc>
          <w:tcPr>
            <w:tcW w:type="dxa" w:w="3989"/>
            <w:shd w:val="clear" w:color="auto" w:fill="EFF6FF"/>
            <w:tcMar>
              <w:top w:w="40" w:type="dxa"/>
              <w:bottom w:w="40" w:type="dxa"/>
              <w:left w:w="60" w:type="dxa"/>
              <w:right w:w="60" w:type="dxa"/>
            </w:tcMar>
          </w:tcPr>
          <w:p>
            <w:pPr>
              <w:spacing w:before="40" w:after="40" w:line="264" w:lineRule="auto"/>
              <w:jc w:val="left"/>
            </w:pPr>
            <w:r>
              <w:rPr>
                <w:sz w:val="17"/>
              </w:rPr>
              <w:t>Publication-grade final dossier synthesizing all raw data, statistical matrices, biophysical mechanisms, and formal Phase 2 processing recommendations.</w:t>
            </w:r>
          </w:p>
        </w:tc>
        <w:tc>
          <w:tcPr>
            <w:tcW w:type="dxa" w:w="1152"/>
            <w:shd w:val="clear" w:color="auto" w:fill="EFF6FF"/>
            <w:tcMar>
              <w:top w:w="40" w:type="dxa"/>
              <w:bottom w:w="40" w:type="dxa"/>
              <w:left w:w="60" w:type="dxa"/>
              <w:right w:w="60" w:type="dxa"/>
            </w:tcMar>
          </w:tcPr>
          <w:p>
            <w:pPr>
              <w:spacing w:before="40" w:after="40" w:line="264" w:lineRule="auto"/>
              <w:jc w:val="right"/>
            </w:pPr>
            <w:r>
              <w:rPr>
                <w:sz w:val="17"/>
              </w:rPr>
              <w:t>₹20,000</w:t>
            </w:r>
          </w:p>
        </w:tc>
      </w:tr>
    </w:tbl>
    <w:p>
      <w:pPr>
        <w:spacing w:before="240" w:after="80" w:line="276" w:lineRule="auto"/>
        <w:pBdr>
          <w:bottom w:val="single" w:sz="6" w:space="2" w:color="3B82F6"/>
        </w:pBdr>
      </w:pPr>
      <w:r>
        <w:rPr>
          <w:b/>
          <w:color w:val="0F172A"/>
          <w:sz w:val="28"/>
        </w:rPr>
        <w:t>3. Scientific Evidence Hierarchy &amp; Interpretation Principles</w:t>
      </w:r>
    </w:p>
    <w:p>
      <w:pPr>
        <w:spacing w:before="40" w:after="80" w:line="276" w:lineRule="auto"/>
      </w:pPr>
      <w:r>
        <w:t>To ensure scientific and commercial defensibility, FinnoaQ enforces a strict four-tier evidence hierarchy. No causal mechanism will be reported as established fact unless it is experimentally demonstrated through replicated wet-lab testing:</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202"/>
        <w:gridCol w:w="3202"/>
        <w:gridCol w:w="3202"/>
      </w:tblGrid>
      <w:tr>
        <w:trPr>
          <w:cantSplit/>
          <w:tblHeader/>
        </w:trPr>
        <w:tc>
          <w:tcPr>
            <w:tcW w:type="dxa" w:w="2160"/>
            <w:shd w:val="clear" w:color="auto" w:fill="F1F5F9"/>
            <w:tcMar>
              <w:top w:w="40" w:type="dxa"/>
              <w:bottom w:w="40" w:type="dxa"/>
              <w:left w:w="60" w:type="dxa"/>
              <w:right w:w="60" w:type="dxa"/>
            </w:tcMar>
          </w:tcPr>
          <w:p>
            <w:pPr>
              <w:spacing w:before="40" w:after="40" w:line="264" w:lineRule="auto"/>
              <w:jc w:val="left"/>
            </w:pPr>
            <w:r>
              <w:rPr>
                <w:b/>
                <w:color w:val="0F172A"/>
                <w:sz w:val="18"/>
              </w:rPr>
              <w:t>Evidence Level</w:t>
            </w:r>
          </w:p>
        </w:tc>
        <w:tc>
          <w:tcPr>
            <w:tcW w:type="dxa" w:w="4608"/>
            <w:shd w:val="clear" w:color="auto" w:fill="F1F5F9"/>
            <w:tcMar>
              <w:top w:w="40" w:type="dxa"/>
              <w:bottom w:w="40" w:type="dxa"/>
              <w:left w:w="60" w:type="dxa"/>
              <w:right w:w="60" w:type="dxa"/>
            </w:tcMar>
          </w:tcPr>
          <w:p>
            <w:pPr>
              <w:spacing w:before="40" w:after="40" w:line="264" w:lineRule="auto"/>
              <w:jc w:val="left"/>
            </w:pPr>
            <w:r>
              <w:rPr>
                <w:b/>
                <w:color w:val="0F172A"/>
                <w:sz w:val="18"/>
              </w:rPr>
              <w:t>Operational Definition</w:t>
            </w:r>
          </w:p>
        </w:tc>
        <w:tc>
          <w:tcPr>
            <w:tcW w:type="dxa" w:w="2837"/>
            <w:shd w:val="clear" w:color="auto" w:fill="F1F5F9"/>
            <w:tcMar>
              <w:top w:w="40" w:type="dxa"/>
              <w:bottom w:w="40" w:type="dxa"/>
              <w:left w:w="60" w:type="dxa"/>
              <w:right w:w="60" w:type="dxa"/>
            </w:tcMar>
          </w:tcPr>
          <w:p>
            <w:pPr>
              <w:spacing w:before="40" w:after="40" w:line="264" w:lineRule="auto"/>
              <w:jc w:val="left"/>
            </w:pPr>
            <w:r>
              <w:rPr>
                <w:b/>
                <w:color w:val="0F172A"/>
                <w:sz w:val="18"/>
              </w:rPr>
              <w:t>Project Governance Rule</w:t>
            </w:r>
          </w:p>
        </w:tc>
      </w:tr>
      <w:tr>
        <w:trPr>
          <w:cantSplit/>
        </w:trPr>
        <w:tc>
          <w:tcPr>
            <w:tcW w:type="dxa" w:w="2160"/>
            <w:shd w:val="clear" w:color="auto" w:fill="EFF6FF"/>
            <w:tcMar>
              <w:top w:w="40" w:type="dxa"/>
              <w:bottom w:w="40" w:type="dxa"/>
              <w:left w:w="60" w:type="dxa"/>
              <w:right w:w="60" w:type="dxa"/>
            </w:tcMar>
          </w:tcPr>
          <w:p>
            <w:pPr>
              <w:spacing w:before="40" w:after="40" w:line="264" w:lineRule="auto"/>
              <w:jc w:val="left"/>
            </w:pPr>
            <w:r>
              <w:rPr>
                <w:sz w:val="17"/>
              </w:rPr>
              <w:t>Level 1: Measured Result</w:t>
            </w:r>
          </w:p>
        </w:tc>
        <w:tc>
          <w:tcPr>
            <w:tcW w:type="dxa" w:w="4608"/>
            <w:shd w:val="clear" w:color="auto" w:fill="EFF6FF"/>
            <w:tcMar>
              <w:top w:w="40" w:type="dxa"/>
              <w:bottom w:w="40" w:type="dxa"/>
              <w:left w:w="60" w:type="dxa"/>
              <w:right w:w="60" w:type="dxa"/>
            </w:tcMar>
          </w:tcPr>
          <w:p>
            <w:pPr>
              <w:spacing w:before="40" w:after="40" w:line="264" w:lineRule="auto"/>
              <w:jc w:val="left"/>
            </w:pPr>
            <w:r>
              <w:rPr>
                <w:sz w:val="17"/>
              </w:rPr>
              <w:t>Direct empirical physical or chemical measurement obtained from verified laboratory instruments under standard operating procedures.</w:t>
            </w:r>
          </w:p>
        </w:tc>
        <w:tc>
          <w:tcPr>
            <w:tcW w:type="dxa" w:w="2837"/>
            <w:shd w:val="clear" w:color="auto" w:fill="EFF6FF"/>
            <w:tcMar>
              <w:top w:w="40" w:type="dxa"/>
              <w:bottom w:w="40" w:type="dxa"/>
              <w:left w:w="60" w:type="dxa"/>
              <w:right w:w="60" w:type="dxa"/>
            </w:tcMar>
          </w:tcPr>
          <w:p>
            <w:pPr>
              <w:spacing w:before="40" w:after="40" w:line="264" w:lineRule="auto"/>
              <w:jc w:val="left"/>
            </w:pPr>
            <w:r>
              <w:rPr>
                <w:sz w:val="17"/>
              </w:rPr>
              <w:t>Reported with raw data, standard deviation, and analytical method citation.</w:t>
            </w:r>
          </w:p>
        </w:tc>
      </w:tr>
      <w:tr>
        <w:trPr>
          <w:cantSplit/>
        </w:trPr>
        <w:tc>
          <w:tcPr>
            <w:tcW w:type="dxa" w:w="2160"/>
            <w:shd w:val="clear" w:color="auto" w:fill="FFFFFF"/>
            <w:tcMar>
              <w:top w:w="40" w:type="dxa"/>
              <w:bottom w:w="40" w:type="dxa"/>
              <w:left w:w="60" w:type="dxa"/>
              <w:right w:w="60" w:type="dxa"/>
            </w:tcMar>
          </w:tcPr>
          <w:p>
            <w:pPr>
              <w:spacing w:before="40" w:after="40" w:line="264" w:lineRule="auto"/>
              <w:jc w:val="left"/>
            </w:pPr>
            <w:r>
              <w:rPr>
                <w:sz w:val="17"/>
              </w:rPr>
              <w:t>Level 2: Observed Association</w:t>
            </w:r>
          </w:p>
        </w:tc>
        <w:tc>
          <w:tcPr>
            <w:tcW w:type="dxa" w:w="4608"/>
            <w:shd w:val="clear" w:color="auto" w:fill="FFFFFF"/>
            <w:tcMar>
              <w:top w:w="40" w:type="dxa"/>
              <w:bottom w:w="40" w:type="dxa"/>
              <w:left w:w="60" w:type="dxa"/>
              <w:right w:w="60" w:type="dxa"/>
            </w:tcMar>
          </w:tcPr>
          <w:p>
            <w:pPr>
              <w:spacing w:before="40" w:after="40" w:line="264" w:lineRule="auto"/>
              <w:jc w:val="left"/>
            </w:pPr>
            <w:r>
              <w:rPr>
                <w:sz w:val="17"/>
              </w:rPr>
              <w:t>Statistically significant correlation observed between a measured parameter (e.g., pectin-associated Ca²⁺) and cooking time.</w:t>
            </w:r>
          </w:p>
        </w:tc>
        <w:tc>
          <w:tcPr>
            <w:tcW w:type="dxa" w:w="2837"/>
            <w:shd w:val="clear" w:color="auto" w:fill="FFFFFF"/>
            <w:tcMar>
              <w:top w:w="40" w:type="dxa"/>
              <w:bottom w:w="40" w:type="dxa"/>
              <w:left w:w="60" w:type="dxa"/>
              <w:right w:w="60" w:type="dxa"/>
            </w:tcMar>
          </w:tcPr>
          <w:p>
            <w:pPr>
              <w:spacing w:before="40" w:after="40" w:line="264" w:lineRule="auto"/>
              <w:jc w:val="left"/>
            </w:pPr>
            <w:r>
              <w:rPr>
                <w:sz w:val="17"/>
              </w:rPr>
              <w:t>Categorized as 'Strongly Associated Factor'; cannot assert standalone causality.</w:t>
            </w:r>
          </w:p>
        </w:tc>
      </w:tr>
      <w:tr>
        <w:trPr>
          <w:cantSplit/>
        </w:trPr>
        <w:tc>
          <w:tcPr>
            <w:tcW w:type="dxa" w:w="2160"/>
            <w:shd w:val="clear" w:color="auto" w:fill="EFF6FF"/>
            <w:tcMar>
              <w:top w:w="40" w:type="dxa"/>
              <w:bottom w:w="40" w:type="dxa"/>
              <w:left w:w="60" w:type="dxa"/>
              <w:right w:w="60" w:type="dxa"/>
            </w:tcMar>
          </w:tcPr>
          <w:p>
            <w:pPr>
              <w:spacing w:before="40" w:after="40" w:line="264" w:lineRule="auto"/>
              <w:jc w:val="left"/>
            </w:pPr>
            <w:r>
              <w:rPr>
                <w:sz w:val="17"/>
              </w:rPr>
              <w:t>Level 3: Scientific Hypothesis</w:t>
            </w:r>
          </w:p>
        </w:tc>
        <w:tc>
          <w:tcPr>
            <w:tcW w:type="dxa" w:w="4608"/>
            <w:shd w:val="clear" w:color="auto" w:fill="EFF6FF"/>
            <w:tcMar>
              <w:top w:w="40" w:type="dxa"/>
              <w:bottom w:w="40" w:type="dxa"/>
              <w:left w:w="60" w:type="dxa"/>
              <w:right w:w="60" w:type="dxa"/>
            </w:tcMar>
          </w:tcPr>
          <w:p>
            <w:pPr>
              <w:spacing w:before="40" w:after="40" w:line="264" w:lineRule="auto"/>
              <w:jc w:val="left"/>
            </w:pPr>
            <w:r>
              <w:rPr>
                <w:sz w:val="17"/>
              </w:rPr>
              <w:t>Biophysical or chemical mechanism proposed to explain observed associations (e.g., middle lamella pectate cross-linking).</w:t>
            </w:r>
          </w:p>
        </w:tc>
        <w:tc>
          <w:tcPr>
            <w:tcW w:type="dxa" w:w="2837"/>
            <w:shd w:val="clear" w:color="auto" w:fill="EFF6FF"/>
            <w:tcMar>
              <w:top w:w="40" w:type="dxa"/>
              <w:bottom w:w="40" w:type="dxa"/>
              <w:left w:w="60" w:type="dxa"/>
              <w:right w:w="60" w:type="dxa"/>
            </w:tcMar>
          </w:tcPr>
          <w:p>
            <w:pPr>
              <w:spacing w:before="40" w:after="40" w:line="264" w:lineRule="auto"/>
              <w:jc w:val="left"/>
            </w:pPr>
            <w:r>
              <w:rPr>
                <w:sz w:val="17"/>
              </w:rPr>
              <w:t>Explicitly labeled 'HYPOTHESIS'; carried forward for Phase 2 validation.</w:t>
            </w:r>
          </w:p>
        </w:tc>
      </w:tr>
      <w:tr>
        <w:trPr>
          <w:cantSplit/>
        </w:trPr>
        <w:tc>
          <w:tcPr>
            <w:tcW w:type="dxa" w:w="2160"/>
            <w:shd w:val="clear" w:color="auto" w:fill="FFFFFF"/>
            <w:tcMar>
              <w:top w:w="40" w:type="dxa"/>
              <w:bottom w:w="40" w:type="dxa"/>
              <w:left w:w="60" w:type="dxa"/>
              <w:right w:w="60" w:type="dxa"/>
            </w:tcMar>
          </w:tcPr>
          <w:p>
            <w:pPr>
              <w:spacing w:before="40" w:after="40" w:line="264" w:lineRule="auto"/>
              <w:jc w:val="left"/>
            </w:pPr>
            <w:r>
              <w:rPr>
                <w:sz w:val="17"/>
              </w:rPr>
              <w:t>Level 4: Phase 2 Validation</w:t>
            </w:r>
          </w:p>
        </w:tc>
        <w:tc>
          <w:tcPr>
            <w:tcW w:type="dxa" w:w="4608"/>
            <w:shd w:val="clear" w:color="auto" w:fill="FFFFFF"/>
            <w:tcMar>
              <w:top w:w="40" w:type="dxa"/>
              <w:bottom w:w="40" w:type="dxa"/>
              <w:left w:w="60" w:type="dxa"/>
              <w:right w:w="60" w:type="dxa"/>
            </w:tcMar>
          </w:tcPr>
          <w:p>
            <w:pPr>
              <w:spacing w:before="40" w:after="40" w:line="264" w:lineRule="auto"/>
              <w:jc w:val="left"/>
            </w:pPr>
            <w:r>
              <w:rPr>
                <w:sz w:val="17"/>
              </w:rPr>
              <w:t>Controlled intervention trial demonstrating that targeted treatment reverses the defect under industrial conditions.</w:t>
            </w:r>
          </w:p>
        </w:tc>
        <w:tc>
          <w:tcPr>
            <w:tcW w:type="dxa" w:w="2837"/>
            <w:shd w:val="clear" w:color="auto" w:fill="FFFFFF"/>
            <w:tcMar>
              <w:top w:w="40" w:type="dxa"/>
              <w:bottom w:w="40" w:type="dxa"/>
              <w:left w:w="60" w:type="dxa"/>
              <w:right w:w="60" w:type="dxa"/>
            </w:tcMar>
          </w:tcPr>
          <w:p>
            <w:pPr>
              <w:spacing w:before="40" w:after="40" w:line="264" w:lineRule="auto"/>
              <w:jc w:val="left"/>
            </w:pPr>
            <w:r>
              <w:rPr>
                <w:sz w:val="17"/>
              </w:rPr>
              <w:t>Required before commercial process guarantees or scale-up commitments.</w:t>
            </w:r>
          </w:p>
        </w:tc>
      </w:tr>
    </w:tbl>
    <w:p>
      <w:pPr>
        <w:spacing w:before="80" w:after="160" w:line="276" w:lineRule="auto"/>
      </w:pPr>
      <w:r>
        <w:rPr>
          <w:i/>
        </w:rPr>
        <w:t>Important Scope Boundary: Phase 1 is strictly a diagnostic R&amp;D investigation. It does not provide commercial product guarantees, commercial processing parameters, or final construction engineering. These activities are addressed in subsequent phased offerings.</w:t>
      </w:r>
    </w:p>
    <w:p>
      <w:pPr>
        <w:spacing w:before="240" w:after="80" w:line="276" w:lineRule="auto"/>
        <w:pBdr>
          <w:bottom w:val="single" w:sz="6" w:space="2" w:color="3B82F6"/>
        </w:pBdr>
      </w:pPr>
      <w:r>
        <w:rPr>
          <w:b/>
          <w:color w:val="0F172A"/>
          <w:sz w:val="28"/>
        </w:rPr>
        <w:t>4. Candidate Interventions for Follow-On Phase 2 Evaluation</w:t>
      </w:r>
    </w:p>
    <w:p>
      <w:pPr>
        <w:spacing w:before="40" w:after="80" w:line="276" w:lineRule="auto"/>
      </w:pPr>
      <w:r>
        <w:t>Based on Phase 1 diagnostic findings, Phase 2 will experimentally screen targeted interventions to accelerate cooking times. The relevance of each candidate will be determined strictly by the empirical Phase 1 evidence:</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202"/>
        <w:gridCol w:w="3202"/>
        <w:gridCol w:w="3202"/>
      </w:tblGrid>
      <w:tr>
        <w:trPr>
          <w:cantSplit/>
          <w:tblHeader/>
        </w:trPr>
        <w:tc>
          <w:tcPr>
            <w:tcW w:type="dxa" w:w="2592"/>
            <w:shd w:val="clear" w:color="auto" w:fill="F1F5F9"/>
            <w:tcMar>
              <w:top w:w="40" w:type="dxa"/>
              <w:bottom w:w="40" w:type="dxa"/>
              <w:left w:w="60" w:type="dxa"/>
              <w:right w:w="60" w:type="dxa"/>
            </w:tcMar>
          </w:tcPr>
          <w:p>
            <w:pPr>
              <w:spacing w:before="40" w:after="40" w:line="264" w:lineRule="auto"/>
              <w:jc w:val="left"/>
            </w:pPr>
            <w:r>
              <w:rPr>
                <w:b/>
                <w:color w:val="0F172A"/>
                <w:sz w:val="18"/>
              </w:rPr>
              <w:t>Intervention Category</w:t>
            </w:r>
          </w:p>
        </w:tc>
        <w:tc>
          <w:tcPr>
            <w:tcW w:type="dxa" w:w="4133"/>
            <w:shd w:val="clear" w:color="auto" w:fill="F1F5F9"/>
            <w:tcMar>
              <w:top w:w="40" w:type="dxa"/>
              <w:bottom w:w="40" w:type="dxa"/>
              <w:left w:w="60" w:type="dxa"/>
              <w:right w:w="60" w:type="dxa"/>
            </w:tcMar>
          </w:tcPr>
          <w:p>
            <w:pPr>
              <w:spacing w:before="40" w:after="40" w:line="264" w:lineRule="auto"/>
              <w:jc w:val="left"/>
            </w:pPr>
            <w:r>
              <w:rPr>
                <w:b/>
                <w:color w:val="0F172A"/>
                <w:sz w:val="18"/>
              </w:rPr>
              <w:t>Target Mechanism &amp; Physiological Action</w:t>
            </w:r>
          </w:p>
        </w:tc>
        <w:tc>
          <w:tcPr>
            <w:tcW w:type="dxa" w:w="2880"/>
            <w:shd w:val="clear" w:color="auto" w:fill="F1F5F9"/>
            <w:tcMar>
              <w:top w:w="40" w:type="dxa"/>
              <w:bottom w:w="40" w:type="dxa"/>
              <w:left w:w="60" w:type="dxa"/>
              <w:right w:w="60" w:type="dxa"/>
            </w:tcMar>
          </w:tcPr>
          <w:p>
            <w:pPr>
              <w:spacing w:before="40" w:after="40" w:line="264" w:lineRule="auto"/>
              <w:jc w:val="left"/>
            </w:pPr>
            <w:r>
              <w:rPr>
                <w:b/>
                <w:color w:val="0F172A"/>
                <w:sz w:val="18"/>
              </w:rPr>
              <w:t>Regulatory &amp; Processing Considerations</w:t>
            </w:r>
          </w:p>
        </w:tc>
      </w:tr>
      <w:tr>
        <w:trPr>
          <w:cantSplit/>
        </w:trPr>
        <w:tc>
          <w:tcPr>
            <w:tcW w:type="dxa" w:w="2592"/>
            <w:shd w:val="clear" w:color="auto" w:fill="EFF6FF"/>
            <w:tcMar>
              <w:top w:w="40" w:type="dxa"/>
              <w:bottom w:w="40" w:type="dxa"/>
              <w:left w:w="60" w:type="dxa"/>
              <w:right w:w="60" w:type="dxa"/>
            </w:tcMar>
          </w:tcPr>
          <w:p>
            <w:pPr>
              <w:spacing w:before="40" w:after="40" w:line="264" w:lineRule="auto"/>
              <w:jc w:val="left"/>
            </w:pPr>
            <w:r>
              <w:rPr>
                <w:sz w:val="17"/>
              </w:rPr>
              <w:t>Food-Grade Mineral Conditioning</w:t>
            </w:r>
          </w:p>
        </w:tc>
        <w:tc>
          <w:tcPr>
            <w:tcW w:type="dxa" w:w="4133"/>
            <w:shd w:val="clear" w:color="auto" w:fill="EFF6FF"/>
            <w:tcMar>
              <w:top w:w="40" w:type="dxa"/>
              <w:bottom w:w="40" w:type="dxa"/>
              <w:left w:w="60" w:type="dxa"/>
              <w:right w:w="60" w:type="dxa"/>
            </w:tcMar>
          </w:tcPr>
          <w:p>
            <w:pPr>
              <w:spacing w:before="40" w:after="40" w:line="264" w:lineRule="auto"/>
              <w:jc w:val="left"/>
            </w:pPr>
            <w:r>
              <w:rPr>
                <w:sz w:val="17"/>
              </w:rPr>
              <w:t>Alkaline salt soaking (Sodium Bicarbonate, Sodium Citrate) to chelate bound Ca²⁺/Mg²⁺ from insoluble pectates in the middle lamella, promoting cotyledon cell separation.</w:t>
            </w:r>
          </w:p>
        </w:tc>
        <w:tc>
          <w:tcPr>
            <w:tcW w:type="dxa" w:w="2880"/>
            <w:shd w:val="clear" w:color="auto" w:fill="EFF6FF"/>
            <w:tcMar>
              <w:top w:w="40" w:type="dxa"/>
              <w:bottom w:w="40" w:type="dxa"/>
              <w:left w:w="60" w:type="dxa"/>
              <w:right w:w="60" w:type="dxa"/>
            </w:tcMar>
          </w:tcPr>
          <w:p>
            <w:pPr>
              <w:spacing w:before="40" w:after="40" w:line="264" w:lineRule="auto"/>
              <w:jc w:val="left"/>
            </w:pPr>
            <w:r>
              <w:rPr>
                <w:sz w:val="17"/>
              </w:rPr>
              <w:t>Strict compliance with FSSAI Food Safety and Standards Regulations (Table 3 GMP limits); leaves zero chemical off-flavor or residue.</w:t>
            </w:r>
          </w:p>
        </w:tc>
      </w:tr>
      <w:tr>
        <w:trPr>
          <w:cantSplit/>
        </w:trPr>
        <w:tc>
          <w:tcPr>
            <w:tcW w:type="dxa" w:w="2592"/>
            <w:shd w:val="clear" w:color="auto" w:fill="FFFFFF"/>
            <w:tcMar>
              <w:top w:w="40" w:type="dxa"/>
              <w:bottom w:w="40" w:type="dxa"/>
              <w:left w:w="60" w:type="dxa"/>
              <w:right w:w="60" w:type="dxa"/>
            </w:tcMar>
          </w:tcPr>
          <w:p>
            <w:pPr>
              <w:spacing w:before="40" w:after="40" w:line="264" w:lineRule="auto"/>
              <w:jc w:val="left"/>
            </w:pPr>
            <w:r>
              <w:rPr>
                <w:sz w:val="17"/>
              </w:rPr>
              <w:t>Controlled Hydrothermal Tempering</w:t>
            </w:r>
          </w:p>
        </w:tc>
        <w:tc>
          <w:tcPr>
            <w:tcW w:type="dxa" w:w="4133"/>
            <w:shd w:val="clear" w:color="auto" w:fill="FFFFFF"/>
            <w:tcMar>
              <w:top w:w="40" w:type="dxa"/>
              <w:bottom w:w="40" w:type="dxa"/>
              <w:left w:w="60" w:type="dxa"/>
              <w:right w:w="60" w:type="dxa"/>
            </w:tcMar>
          </w:tcPr>
          <w:p>
            <w:pPr>
              <w:spacing w:before="40" w:after="40" w:line="264" w:lineRule="auto"/>
              <w:jc w:val="left"/>
            </w:pPr>
            <w:r>
              <w:rPr>
                <w:sz w:val="17"/>
              </w:rPr>
              <w:t>Precision temperature-programmed soaking (45°C–65°C) to accelerate moisture diffusion without inducing premature starch gelatinization or cotyledon cracking.</w:t>
            </w:r>
          </w:p>
        </w:tc>
        <w:tc>
          <w:tcPr>
            <w:tcW w:type="dxa" w:w="2880"/>
            <w:shd w:val="clear" w:color="auto" w:fill="FFFFFF"/>
            <w:tcMar>
              <w:top w:w="40" w:type="dxa"/>
              <w:bottom w:w="40" w:type="dxa"/>
              <w:left w:w="60" w:type="dxa"/>
              <w:right w:w="60" w:type="dxa"/>
            </w:tcMar>
          </w:tcPr>
          <w:p>
            <w:pPr>
              <w:spacing w:before="40" w:after="40" w:line="264" w:lineRule="auto"/>
              <w:jc w:val="left"/>
            </w:pPr>
            <w:r>
              <w:rPr>
                <w:sz w:val="17"/>
              </w:rPr>
              <w:t>Requires continuous closed-loop water temperature control; minimal solids leaching (&lt;1.5% w/w).</w:t>
            </w:r>
          </w:p>
        </w:tc>
      </w:tr>
      <w:tr>
        <w:trPr>
          <w:cantSplit/>
        </w:trPr>
        <w:tc>
          <w:tcPr>
            <w:tcW w:type="dxa" w:w="2592"/>
            <w:shd w:val="clear" w:color="auto" w:fill="EFF6FF"/>
            <w:tcMar>
              <w:top w:w="40" w:type="dxa"/>
              <w:bottom w:w="40" w:type="dxa"/>
              <w:left w:w="60" w:type="dxa"/>
              <w:right w:w="60" w:type="dxa"/>
            </w:tcMar>
          </w:tcPr>
          <w:p>
            <w:pPr>
              <w:spacing w:before="40" w:after="40" w:line="264" w:lineRule="auto"/>
              <w:jc w:val="left"/>
            </w:pPr>
            <w:r>
              <w:rPr>
                <w:sz w:val="17"/>
              </w:rPr>
              <w:t>Targeted Thermal / Microwave Pre-Treatment</w:t>
            </w:r>
          </w:p>
        </w:tc>
        <w:tc>
          <w:tcPr>
            <w:tcW w:type="dxa" w:w="4133"/>
            <w:shd w:val="clear" w:color="auto" w:fill="EFF6FF"/>
            <w:tcMar>
              <w:top w:w="40" w:type="dxa"/>
              <w:bottom w:w="40" w:type="dxa"/>
              <w:left w:w="60" w:type="dxa"/>
              <w:right w:w="60" w:type="dxa"/>
            </w:tcMar>
          </w:tcPr>
          <w:p>
            <w:pPr>
              <w:spacing w:before="40" w:after="40" w:line="264" w:lineRule="auto"/>
              <w:jc w:val="left"/>
            </w:pPr>
            <w:r>
              <w:rPr>
                <w:sz w:val="17"/>
              </w:rPr>
              <w:t>Rapid dry dielectric or infrared heating to create micro-fissures in dense cotyledon cell layers, facilitating rapid capillary water ingress.</w:t>
            </w:r>
          </w:p>
        </w:tc>
        <w:tc>
          <w:tcPr>
            <w:tcW w:type="dxa" w:w="2880"/>
            <w:shd w:val="clear" w:color="auto" w:fill="EFF6FF"/>
            <w:tcMar>
              <w:top w:w="40" w:type="dxa"/>
              <w:bottom w:w="40" w:type="dxa"/>
              <w:left w:w="60" w:type="dxa"/>
              <w:right w:w="60" w:type="dxa"/>
            </w:tcMar>
          </w:tcPr>
          <w:p>
            <w:pPr>
              <w:spacing w:before="40" w:after="40" w:line="264" w:lineRule="auto"/>
              <w:jc w:val="left"/>
            </w:pPr>
            <w:r>
              <w:rPr>
                <w:sz w:val="17"/>
              </w:rPr>
              <w:t>Requires precise exposure limits to prevent protein denaturation, darkening, or seed coat discoloration.</w:t>
            </w:r>
          </w:p>
        </w:tc>
      </w:tr>
      <w:tr>
        <w:trPr>
          <w:cantSplit/>
        </w:trPr>
        <w:tc>
          <w:tcPr>
            <w:tcW w:type="dxa" w:w="2592"/>
            <w:shd w:val="clear" w:color="auto" w:fill="FFFFFF"/>
            <w:tcMar>
              <w:top w:w="40" w:type="dxa"/>
              <w:bottom w:w="40" w:type="dxa"/>
              <w:left w:w="60" w:type="dxa"/>
              <w:right w:w="60" w:type="dxa"/>
            </w:tcMar>
          </w:tcPr>
          <w:p>
            <w:pPr>
              <w:spacing w:before="40" w:after="40" w:line="264" w:lineRule="auto"/>
              <w:jc w:val="left"/>
            </w:pPr>
            <w:r>
              <w:rPr>
                <w:sz w:val="17"/>
              </w:rPr>
              <w:t>Enzymatic Cell-Wall Attenuation</w:t>
            </w:r>
          </w:p>
        </w:tc>
        <w:tc>
          <w:tcPr>
            <w:tcW w:type="dxa" w:w="4133"/>
            <w:shd w:val="clear" w:color="auto" w:fill="FFFFFF"/>
            <w:tcMar>
              <w:top w:w="40" w:type="dxa"/>
              <w:bottom w:w="40" w:type="dxa"/>
              <w:left w:w="60" w:type="dxa"/>
              <w:right w:w="60" w:type="dxa"/>
            </w:tcMar>
          </w:tcPr>
          <w:p>
            <w:pPr>
              <w:spacing w:before="40" w:after="40" w:line="264" w:lineRule="auto"/>
              <w:jc w:val="left"/>
            </w:pPr>
            <w:r>
              <w:rPr>
                <w:sz w:val="17"/>
              </w:rPr>
              <w:t>Pectinase / cellulase micro-dosing to selectively hydrolyze structural cell-wall polysaccharides and enhance cellular permeability.</w:t>
            </w:r>
          </w:p>
        </w:tc>
        <w:tc>
          <w:tcPr>
            <w:tcW w:type="dxa" w:w="2880"/>
            <w:shd w:val="clear" w:color="auto" w:fill="FFFFFF"/>
            <w:tcMar>
              <w:top w:w="40" w:type="dxa"/>
              <w:bottom w:w="40" w:type="dxa"/>
              <w:left w:w="60" w:type="dxa"/>
              <w:right w:w="60" w:type="dxa"/>
            </w:tcMar>
          </w:tcPr>
          <w:p>
            <w:pPr>
              <w:spacing w:before="40" w:after="40" w:line="264" w:lineRule="auto"/>
              <w:jc w:val="left"/>
            </w:pPr>
            <w:r>
              <w:rPr>
                <w:sz w:val="17"/>
              </w:rPr>
              <w:t>Enzyme inactivation requirements; economics and processing costs evaluated in techno-economic study.</w:t>
            </w:r>
          </w:p>
        </w:tc>
      </w:tr>
    </w:tbl>
    <w:p>
      <w:pPr>
        <w:spacing w:before="80" w:after="80" w:line="276" w:lineRule="auto"/>
      </w:pPr>
    </w:p>
    <w:p>
      <w:pPr>
        <w:spacing w:before="240" w:after="80" w:line="276" w:lineRule="auto"/>
        <w:pBdr>
          <w:bottom w:val="single" w:sz="6" w:space="2" w:color="3B82F6"/>
        </w:pBdr>
      </w:pPr>
      <w:r>
        <w:rPr>
          <w:b/>
          <w:color w:val="0F172A"/>
          <w:sz w:val="28"/>
        </w:rPr>
        <w:t>5. Commercial Terms, Turnaround Schedule &amp; Milestones</w:t>
      </w:r>
    </w:p>
    <w:p>
      <w:pPr>
        <w:spacing w:before="40" w:after="120" w:line="276" w:lineRule="auto"/>
      </w:pPr>
      <w:r>
        <w:t>FinnoaQ operates on an auditable milestone-based commercial structure. The total professional fee for the complete Phase 1 Diagnostic R&amp;D Program is ₹1,73,000 (Rupees One Lakh Seventy-Three Thousand Only) plus applicable GST:</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401"/>
        <w:gridCol w:w="2401"/>
        <w:gridCol w:w="2401"/>
        <w:gridCol w:w="2401"/>
      </w:tblGrid>
      <w:tr>
        <w:trPr>
          <w:cantSplit/>
          <w:tblHeader/>
        </w:trPr>
        <w:tc>
          <w:tcPr>
            <w:tcW w:type="dxa" w:w="2304"/>
            <w:shd w:val="clear" w:color="auto" w:fill="F1F5F9"/>
            <w:tcMar>
              <w:top w:w="40" w:type="dxa"/>
              <w:bottom w:w="40" w:type="dxa"/>
              <w:left w:w="60" w:type="dxa"/>
              <w:right w:w="60" w:type="dxa"/>
            </w:tcMar>
          </w:tcPr>
          <w:p>
            <w:pPr>
              <w:spacing w:before="40" w:after="40" w:line="264" w:lineRule="auto"/>
              <w:jc w:val="left"/>
            </w:pPr>
            <w:r>
              <w:rPr>
                <w:b/>
                <w:color w:val="0F172A"/>
                <w:sz w:val="18"/>
              </w:rPr>
              <w:t>Project Milestone</w:t>
            </w:r>
          </w:p>
        </w:tc>
        <w:tc>
          <w:tcPr>
            <w:tcW w:type="dxa" w:w="4709"/>
            <w:shd w:val="clear" w:color="auto" w:fill="F1F5F9"/>
            <w:tcMar>
              <w:top w:w="40" w:type="dxa"/>
              <w:bottom w:w="40" w:type="dxa"/>
              <w:left w:w="60" w:type="dxa"/>
              <w:right w:w="60" w:type="dxa"/>
            </w:tcMar>
          </w:tcPr>
          <w:p>
            <w:pPr>
              <w:spacing w:before="40" w:after="40" w:line="264" w:lineRule="auto"/>
              <w:jc w:val="left"/>
            </w:pPr>
            <w:r>
              <w:rPr>
                <w:b/>
                <w:color w:val="0F172A"/>
                <w:sz w:val="18"/>
              </w:rPr>
              <w:t>Scope Description &amp; Deliverable</w:t>
            </w:r>
          </w:p>
        </w:tc>
        <w:tc>
          <w:tcPr>
            <w:tcW w:type="dxa" w:w="1152"/>
            <w:shd w:val="clear" w:color="auto" w:fill="F1F5F9"/>
            <w:tcMar>
              <w:top w:w="40" w:type="dxa"/>
              <w:bottom w:w="40" w:type="dxa"/>
              <w:left w:w="60" w:type="dxa"/>
              <w:right w:w="60" w:type="dxa"/>
            </w:tcMar>
          </w:tcPr>
          <w:p>
            <w:pPr>
              <w:spacing w:before="40" w:after="40" w:line="264" w:lineRule="auto"/>
              <w:jc w:val="center"/>
            </w:pPr>
            <w:r>
              <w:rPr>
                <w:b/>
                <w:color w:val="0F172A"/>
                <w:sz w:val="18"/>
              </w:rPr>
              <w:t>Payment %</w:t>
            </w:r>
          </w:p>
        </w:tc>
        <w:tc>
          <w:tcPr>
            <w:tcW w:type="dxa" w:w="1440"/>
            <w:shd w:val="clear" w:color="auto" w:fill="F1F5F9"/>
            <w:tcMar>
              <w:top w:w="40" w:type="dxa"/>
              <w:bottom w:w="40" w:type="dxa"/>
              <w:left w:w="60" w:type="dxa"/>
              <w:right w:w="60" w:type="dxa"/>
            </w:tcMar>
          </w:tcPr>
          <w:p>
            <w:pPr>
              <w:spacing w:before="40" w:after="40" w:line="264" w:lineRule="auto"/>
              <w:jc w:val="right"/>
            </w:pPr>
            <w:r>
              <w:rPr>
                <w:b/>
                <w:color w:val="0F172A"/>
                <w:sz w:val="18"/>
              </w:rPr>
              <w:t>Fee Amount (INR)</w:t>
            </w:r>
          </w:p>
        </w:tc>
      </w:tr>
      <w:tr>
        <w:trPr>
          <w:cantSplit/>
        </w:trPr>
        <w:tc>
          <w:tcPr>
            <w:tcW w:type="dxa" w:w="2304"/>
            <w:shd w:val="clear" w:color="auto" w:fill="EFF6FF"/>
            <w:tcMar>
              <w:top w:w="40" w:type="dxa"/>
              <w:bottom w:w="40" w:type="dxa"/>
              <w:left w:w="60" w:type="dxa"/>
              <w:right w:w="60" w:type="dxa"/>
            </w:tcMar>
          </w:tcPr>
          <w:p>
            <w:pPr>
              <w:spacing w:before="40" w:after="40" w:line="264" w:lineRule="auto"/>
              <w:jc w:val="left"/>
            </w:pPr>
            <w:r>
              <w:rPr>
                <w:sz w:val="17"/>
              </w:rPr>
              <w:t>Milestone 1: Project Initiation</w:t>
            </w:r>
          </w:p>
        </w:tc>
        <w:tc>
          <w:tcPr>
            <w:tcW w:type="dxa" w:w="4709"/>
            <w:shd w:val="clear" w:color="auto" w:fill="EFF6FF"/>
            <w:tcMar>
              <w:top w:w="40" w:type="dxa"/>
              <w:bottom w:w="40" w:type="dxa"/>
              <w:left w:w="60" w:type="dxa"/>
              <w:right w:w="60" w:type="dxa"/>
            </w:tcMar>
          </w:tcPr>
          <w:p>
            <w:pPr>
              <w:spacing w:before="40" w:after="40" w:line="264" w:lineRule="auto"/>
              <w:jc w:val="left"/>
            </w:pPr>
            <w:r>
              <w:rPr>
                <w:sz w:val="17"/>
              </w:rPr>
              <w:t>Formal execution of onboarding agreement; assignment of unique lot custody tracking numbers; physical sample receipt and preparation.</w:t>
            </w:r>
          </w:p>
        </w:tc>
        <w:tc>
          <w:tcPr>
            <w:tcW w:type="dxa" w:w="1152"/>
            <w:shd w:val="clear" w:color="auto" w:fill="EFF6FF"/>
            <w:tcMar>
              <w:top w:w="40" w:type="dxa"/>
              <w:bottom w:w="40" w:type="dxa"/>
              <w:left w:w="60" w:type="dxa"/>
              <w:right w:w="60" w:type="dxa"/>
            </w:tcMar>
          </w:tcPr>
          <w:p>
            <w:pPr>
              <w:spacing w:before="40" w:after="40" w:line="264" w:lineRule="auto"/>
              <w:jc w:val="center"/>
            </w:pPr>
            <w:r>
              <w:rPr>
                <w:sz w:val="17"/>
              </w:rPr>
              <w:t>40%</w:t>
            </w:r>
          </w:p>
        </w:tc>
        <w:tc>
          <w:tcPr>
            <w:tcW w:type="dxa" w:w="1440"/>
            <w:shd w:val="clear" w:color="auto" w:fill="EFF6FF"/>
            <w:tcMar>
              <w:top w:w="40" w:type="dxa"/>
              <w:bottom w:w="40" w:type="dxa"/>
              <w:left w:w="60" w:type="dxa"/>
              <w:right w:w="60" w:type="dxa"/>
            </w:tcMar>
          </w:tcPr>
          <w:p>
            <w:pPr>
              <w:spacing w:before="40" w:after="40" w:line="264" w:lineRule="auto"/>
              <w:jc w:val="right"/>
            </w:pPr>
            <w:r>
              <w:rPr>
                <w:sz w:val="17"/>
              </w:rPr>
              <w:t>₹69,200</w:t>
            </w:r>
          </w:p>
        </w:tc>
      </w:tr>
      <w:tr>
        <w:trPr>
          <w:cantSplit/>
        </w:trPr>
        <w:tc>
          <w:tcPr>
            <w:tcW w:type="dxa" w:w="2304"/>
            <w:shd w:val="clear" w:color="auto" w:fill="FFFFFF"/>
            <w:tcMar>
              <w:top w:w="40" w:type="dxa"/>
              <w:bottom w:w="40" w:type="dxa"/>
              <w:left w:w="60" w:type="dxa"/>
              <w:right w:w="60" w:type="dxa"/>
            </w:tcMar>
          </w:tcPr>
          <w:p>
            <w:pPr>
              <w:spacing w:before="40" w:after="40" w:line="264" w:lineRule="auto"/>
              <w:jc w:val="left"/>
            </w:pPr>
            <w:r>
              <w:rPr>
                <w:sz w:val="17"/>
              </w:rPr>
              <w:t>Milestone 2: Laboratory Completion</w:t>
            </w:r>
          </w:p>
        </w:tc>
        <w:tc>
          <w:tcPr>
            <w:tcW w:type="dxa" w:w="4709"/>
            <w:shd w:val="clear" w:color="auto" w:fill="FFFFFF"/>
            <w:tcMar>
              <w:top w:w="40" w:type="dxa"/>
              <w:bottom w:w="40" w:type="dxa"/>
              <w:left w:w="60" w:type="dxa"/>
              <w:right w:w="60" w:type="dxa"/>
            </w:tcMar>
          </w:tcPr>
          <w:p>
            <w:pPr>
              <w:spacing w:before="40" w:after="40" w:line="264" w:lineRule="auto"/>
              <w:jc w:val="left"/>
            </w:pPr>
            <w:r>
              <w:rPr>
                <w:sz w:val="17"/>
              </w:rPr>
              <w:t>Completion of all physical, proximate, starch, thermal (DSC), hydration, pectin, mineral (ICP-OES), texture, and standardized cooking trials; interim data transmittal.</w:t>
            </w:r>
          </w:p>
        </w:tc>
        <w:tc>
          <w:tcPr>
            <w:tcW w:type="dxa" w:w="1152"/>
            <w:shd w:val="clear" w:color="auto" w:fill="FFFFFF"/>
            <w:tcMar>
              <w:top w:w="40" w:type="dxa"/>
              <w:bottom w:w="40" w:type="dxa"/>
              <w:left w:w="60" w:type="dxa"/>
              <w:right w:w="60" w:type="dxa"/>
            </w:tcMar>
          </w:tcPr>
          <w:p>
            <w:pPr>
              <w:spacing w:before="40" w:after="40" w:line="264" w:lineRule="auto"/>
              <w:jc w:val="center"/>
            </w:pPr>
            <w:r>
              <w:rPr>
                <w:sz w:val="17"/>
              </w:rPr>
              <w:t>40%</w:t>
            </w:r>
          </w:p>
        </w:tc>
        <w:tc>
          <w:tcPr>
            <w:tcW w:type="dxa" w:w="1440"/>
            <w:shd w:val="clear" w:color="auto" w:fill="FFFFFF"/>
            <w:tcMar>
              <w:top w:w="40" w:type="dxa"/>
              <w:bottom w:w="40" w:type="dxa"/>
              <w:left w:w="60" w:type="dxa"/>
              <w:right w:w="60" w:type="dxa"/>
            </w:tcMar>
          </w:tcPr>
          <w:p>
            <w:pPr>
              <w:spacing w:before="40" w:after="40" w:line="264" w:lineRule="auto"/>
              <w:jc w:val="right"/>
            </w:pPr>
            <w:r>
              <w:rPr>
                <w:sz w:val="17"/>
              </w:rPr>
              <w:t>₹69,200</w:t>
            </w:r>
          </w:p>
        </w:tc>
      </w:tr>
      <w:tr>
        <w:trPr>
          <w:cantSplit/>
        </w:trPr>
        <w:tc>
          <w:tcPr>
            <w:tcW w:type="dxa" w:w="2304"/>
            <w:shd w:val="clear" w:color="auto" w:fill="EFF6FF"/>
            <w:tcMar>
              <w:top w:w="40" w:type="dxa"/>
              <w:bottom w:w="40" w:type="dxa"/>
              <w:left w:w="60" w:type="dxa"/>
              <w:right w:w="60" w:type="dxa"/>
            </w:tcMar>
          </w:tcPr>
          <w:p>
            <w:pPr>
              <w:spacing w:before="40" w:after="40" w:line="264" w:lineRule="auto"/>
              <w:jc w:val="left"/>
            </w:pPr>
            <w:r>
              <w:rPr>
                <w:sz w:val="17"/>
              </w:rPr>
              <w:t>Milestone 3: Final Report Release</w:t>
            </w:r>
          </w:p>
        </w:tc>
        <w:tc>
          <w:tcPr>
            <w:tcW w:type="dxa" w:w="4709"/>
            <w:shd w:val="clear" w:color="auto" w:fill="EFF6FF"/>
            <w:tcMar>
              <w:top w:w="40" w:type="dxa"/>
              <w:bottom w:w="40" w:type="dxa"/>
              <w:left w:w="60" w:type="dxa"/>
              <w:right w:w="60" w:type="dxa"/>
            </w:tcMar>
          </w:tcPr>
          <w:p>
            <w:pPr>
              <w:spacing w:before="40" w:after="40" w:line="264" w:lineRule="auto"/>
              <w:jc w:val="left"/>
            </w:pPr>
            <w:r>
              <w:rPr>
                <w:sz w:val="17"/>
              </w:rPr>
              <w:t>Delivery and formal presentation of Comprehensive Technical R&amp;D Report, Statistical Root-Cause Correlation Matrix, and Prioritized Phase 2 Technology Recommendations.</w:t>
            </w:r>
          </w:p>
        </w:tc>
        <w:tc>
          <w:tcPr>
            <w:tcW w:type="dxa" w:w="1152"/>
            <w:shd w:val="clear" w:color="auto" w:fill="EFF6FF"/>
            <w:tcMar>
              <w:top w:w="40" w:type="dxa"/>
              <w:bottom w:w="40" w:type="dxa"/>
              <w:left w:w="60" w:type="dxa"/>
              <w:right w:w="60" w:type="dxa"/>
            </w:tcMar>
          </w:tcPr>
          <w:p>
            <w:pPr>
              <w:spacing w:before="40" w:after="40" w:line="264" w:lineRule="auto"/>
              <w:jc w:val="center"/>
            </w:pPr>
            <w:r>
              <w:rPr>
                <w:sz w:val="17"/>
              </w:rPr>
              <w:t>20%</w:t>
            </w:r>
          </w:p>
        </w:tc>
        <w:tc>
          <w:tcPr>
            <w:tcW w:type="dxa" w:w="1440"/>
            <w:shd w:val="clear" w:color="auto" w:fill="EFF6FF"/>
            <w:tcMar>
              <w:top w:w="40" w:type="dxa"/>
              <w:bottom w:w="40" w:type="dxa"/>
              <w:left w:w="60" w:type="dxa"/>
              <w:right w:w="60" w:type="dxa"/>
            </w:tcMar>
          </w:tcPr>
          <w:p>
            <w:pPr>
              <w:spacing w:before="40" w:after="40" w:line="264" w:lineRule="auto"/>
              <w:jc w:val="right"/>
            </w:pPr>
            <w:r>
              <w:rPr>
                <w:sz w:val="17"/>
              </w:rPr>
              <w:t>₹34,600</w:t>
            </w:r>
          </w:p>
        </w:tc>
      </w:tr>
    </w:tbl>
    <w:p>
      <w:pPr>
        <w:spacing w:before="80" w:after="160" w:line="276" w:lineRule="auto"/>
      </w:pPr>
      <w:r>
        <w:t>Key Commercial Conditions:</w:t>
        <w:br/>
        <w:t>• Commercial Working Ceiling: For procurement planning, an expenditure ceiling of up to ₹2,00,000 + applicable GST is established. Any additional specialized testing requires prior written client authorization.</w:t>
        <w:br/>
        <w:t>• Taxes: Goods and Services Tax (GST) will be charged additionally as applicable under prevailing statutory rates.</w:t>
        <w:br/>
        <w:t>• Turnaround Time: 20 to 25 business days from verified receipt of representative samples at our Kolkata analytical reception.</w:t>
        <w:br/>
        <w:t>• Fast-Track Interim Summary: An executive Stage 1 preliminary data brief will be delivered within 7 business days of sample arrival.</w:t>
        <w:br/>
        <w:t>• Offer Validity: This commercial proposal is valid for 30 calendar days from the date of issuance.</w:t>
      </w:r>
    </w:p>
    <w:p>
      <w:pPr>
        <w:spacing w:before="240" w:after="80" w:line="276" w:lineRule="auto"/>
        <w:pBdr>
          <w:bottom w:val="single" w:sz="6" w:space="2" w:color="3B82F6"/>
        </w:pBdr>
      </w:pPr>
      <w:r>
        <w:rPr>
          <w:b/>
          <w:color w:val="0F172A"/>
          <w:sz w:val="28"/>
        </w:rPr>
        <w:t>6. Sample Dispatch &amp; Chain of Custody Protocol</w:t>
      </w:r>
    </w:p>
    <w:p>
      <w:pPr>
        <w:spacing w:before="40" w:after="160" w:line="276" w:lineRule="auto"/>
      </w:pPr>
      <w:r>
        <w:t>To ensure experimental validity and statistical rigor, the client will supply representative sample lots adhering to the following protocol:</w:t>
        <w:br/>
        <w:t>1. Required Quantity: 2.5 kg to 3.0 kg of the target imported Tanzanian commercial toor dal lot, and 2.5 kg to 3.0 kg of standard domestic Indian benchmark dal.</w:t>
        <w:br/>
        <w:t>2. Packaging: Samples must be double-bagged in food-grade, moisture-barrier polyethylene bags and sealed in rigid outer cartons.</w:t>
        <w:br/>
        <w:t>3. Lot Documentation: Each consignment must include batch/lot ID, port of entry, date of import/milling, and known storage conditions.</w:t>
        <w:br/>
        <w:t>4. Consignment Address: Central Laboratory Reception, FinnoaQ Agro-Industrial Technologies Ltd., Kolkata, West Bengal (Attn: Sourish Senapati).</w:t>
        <w:br/>
        <w:t>5. Retention: A 500 g sealed reference sample from each lot will be securely archived at 20°C / 55% RH for 12 months.</w:t>
      </w:r>
    </w:p>
    <w:p>
      <w:pPr>
        <w:spacing w:before="240" w:after="80" w:line="276" w:lineRule="auto"/>
        <w:pBdr>
          <w:bottom w:val="single" w:sz="6" w:space="2" w:color="3B82F6"/>
        </w:pBdr>
      </w:pPr>
      <w:r>
        <w:rPr>
          <w:b/>
          <w:color w:val="0F172A"/>
          <w:sz w:val="28"/>
        </w:rPr>
        <w:t>7. Industrial Scale-Up Roadmap: Phased Integration</w:t>
      </w:r>
    </w:p>
    <w:p>
      <w:pPr>
        <w:spacing w:before="40" w:after="120" w:line="276" w:lineRule="auto"/>
      </w:pPr>
      <w:r>
        <w:t>To prevent premature capital expenditure, FinnoaQ structures industrial pulse processing into distinct, de-risked decision gates:</w:t>
        <w:br/>
        <w:t>• Phase 1 (Current Base Scope): Diagnostic baseline &amp; biophysical root-cause identification (₹1.73 Lakh + GST, 20–25 days).</w:t>
        <w:br/>
        <w:t>• Optional Phase 2A (Laboratory Validation): Controlled formulation screening across candidate conditioning agents; bench-scale cooking confirmation; sensory, nutritional, and shelf-life assessment.</w:t>
        <w:br/>
        <w:t>• Optional Phase 2B (Commercial Plant FEED): Conceptual Front-End Engineering Design for a continuous 15,000 kg/day (15 TPD) industrial dal conditioning plant. FinnoaQ maintains an integrated 3D SolidWorks parametric model (PLANT-15T, 12 interconnected systems, 27.08 tonnes B-rep assembly), continuous fluid-bed dryer psychrometric models, and converged Aspen Plus V14 Zero-Liquid-Discharge (ZLD) falling-film evaporator balances (steam economy 2.38). This engineering baseline will be tailored to the client's verified site layout upon successful completion of Phase 1.</w:t>
      </w:r>
    </w:p>
    <w:p>
      <w:pPr>
        <w:spacing w:before="240" w:after="80" w:line="276" w:lineRule="auto"/>
        <w:pBdr>
          <w:bottom w:val="single" w:sz="6" w:space="2" w:color="3B82F6"/>
        </w:pBdr>
      </w:pPr>
      <w:r>
        <w:rPr>
          <w:b/>
          <w:color w:val="0F172A"/>
          <w:sz w:val="28"/>
        </w:rPr>
        <w:t>8. Master Engineering Drawing Annexures (15 TPD Industrial Plant Concept)</w:t>
      </w:r>
    </w:p>
    <w:p>
      <w:pPr>
        <w:spacing w:before="40" w:after="80" w:line="276" w:lineRule="auto"/>
      </w:pPr>
      <w:r>
        <w:t>To substantiate the industrial viability of the proposed continuous hydration and drying technology, FinnoaQ maintains a fully developed Front-End Engineering Design (FEED) package. The following authentic engineering drawings, generated via Autodesk AutoCAD 2025 (accoreconsole native vector engine) and SolidWorks 2025 SP01.2 parametric solid modeling, are attached as official project annexures: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401"/>
        <w:gridCol w:w="2401"/>
        <w:gridCol w:w="2401"/>
        <w:gridCol w:w="2401"/>
      </w:tblGrid>
      <w:tr>
        <w:trPr>
          <w:cantSplit/>
          <w:tblHeader/>
        </w:trPr>
        <w:tc>
          <w:tcPr>
            <w:tcW w:type="dxa" w:w="1440"/>
            <w:shd w:val="clear" w:color="auto" w:fill="F1F5F9"/>
            <w:tcMar>
              <w:top w:w="40" w:type="dxa"/>
              <w:bottom w:w="40" w:type="dxa"/>
              <w:left w:w="60" w:type="dxa"/>
              <w:right w:w="60" w:type="dxa"/>
            </w:tcMar>
          </w:tcPr>
          <w:p>
            <w:pPr>
              <w:spacing w:before="40" w:after="40" w:line="264" w:lineRule="auto"/>
              <w:jc w:val="center"/>
            </w:pPr>
            <w:r>
              <w:rPr>
                <w:b/>
                <w:color w:val="0F172A"/>
                <w:sz w:val="18"/>
              </w:rPr>
              <w:t>Annexure Ref</w:t>
            </w:r>
          </w:p>
        </w:tc>
        <w:tc>
          <w:tcPr>
            <w:tcW w:type="dxa" w:w="3269"/>
            <w:shd w:val="clear" w:color="auto" w:fill="F1F5F9"/>
            <w:tcMar>
              <w:top w:w="40" w:type="dxa"/>
              <w:bottom w:w="40" w:type="dxa"/>
              <w:left w:w="60" w:type="dxa"/>
              <w:right w:w="60" w:type="dxa"/>
            </w:tcMar>
          </w:tcPr>
          <w:p>
            <w:pPr>
              <w:spacing w:before="40" w:after="40" w:line="264" w:lineRule="auto"/>
              <w:jc w:val="left"/>
            </w:pPr>
            <w:r>
              <w:rPr>
                <w:b/>
                <w:color w:val="0F172A"/>
                <w:sz w:val="18"/>
              </w:rPr>
              <w:t>Drawing Number &amp; Title</w:t>
            </w:r>
          </w:p>
        </w:tc>
        <w:tc>
          <w:tcPr>
            <w:tcW w:type="dxa" w:w="3168"/>
            <w:shd w:val="clear" w:color="auto" w:fill="F1F5F9"/>
            <w:tcMar>
              <w:top w:w="40" w:type="dxa"/>
              <w:bottom w:w="40" w:type="dxa"/>
              <w:left w:w="60" w:type="dxa"/>
              <w:right w:w="60" w:type="dxa"/>
            </w:tcMar>
          </w:tcPr>
          <w:p>
            <w:pPr>
              <w:spacing w:before="40" w:after="40" w:line="264" w:lineRule="auto"/>
              <w:jc w:val="left"/>
            </w:pPr>
            <w:r>
              <w:rPr>
                <w:b/>
                <w:color w:val="0F172A"/>
                <w:sz w:val="18"/>
              </w:rPr>
              <w:t>Design Standard &amp; Scope Description</w:t>
            </w:r>
          </w:p>
        </w:tc>
        <w:tc>
          <w:tcPr>
            <w:tcW w:type="dxa" w:w="1728"/>
            <w:shd w:val="clear" w:color="auto" w:fill="F1F5F9"/>
            <w:tcMar>
              <w:top w:w="40" w:type="dxa"/>
              <w:bottom w:w="40" w:type="dxa"/>
              <w:left w:w="60" w:type="dxa"/>
              <w:right w:w="60" w:type="dxa"/>
            </w:tcMar>
          </w:tcPr>
          <w:p>
            <w:pPr>
              <w:spacing w:before="40" w:after="40" w:line="264" w:lineRule="auto"/>
              <w:jc w:val="left"/>
            </w:pPr>
            <w:r>
              <w:rPr>
                <w:b/>
                <w:color w:val="0F172A"/>
                <w:sz w:val="18"/>
              </w:rPr>
              <w:t>Format &amp; Native Tool Provenance</w:t>
            </w:r>
          </w:p>
        </w:tc>
      </w:tr>
      <w:tr>
        <w:trPr>
          <w:cantSplit/>
        </w:trPr>
        <w:tc>
          <w:tcPr>
            <w:tcW w:type="dxa" w:w="1440"/>
            <w:shd w:val="clear" w:color="auto" w:fill="EFF6FF"/>
            <w:tcMar>
              <w:top w:w="40" w:type="dxa"/>
              <w:bottom w:w="40" w:type="dxa"/>
              <w:left w:w="60" w:type="dxa"/>
              <w:right w:w="60" w:type="dxa"/>
            </w:tcMar>
          </w:tcPr>
          <w:p>
            <w:pPr>
              <w:spacing w:before="40" w:after="40" w:line="264" w:lineRule="auto"/>
              <w:jc w:val="center"/>
            </w:pPr>
            <w:r>
              <w:rPr>
                <w:sz w:val="17"/>
              </w:rPr>
              <w:t>Annexure A</w:t>
            </w:r>
          </w:p>
        </w:tc>
        <w:tc>
          <w:tcPr>
            <w:tcW w:type="dxa" w:w="3269"/>
            <w:shd w:val="clear" w:color="auto" w:fill="EFF6FF"/>
            <w:tcMar>
              <w:top w:w="40" w:type="dxa"/>
              <w:bottom w:w="40" w:type="dxa"/>
              <w:left w:w="60" w:type="dxa"/>
              <w:right w:w="60" w:type="dxa"/>
            </w:tcMar>
          </w:tcPr>
          <w:p>
            <w:pPr>
              <w:spacing w:before="40" w:after="40" w:line="264" w:lineRule="auto"/>
              <w:jc w:val="left"/>
            </w:pPr>
            <w:r>
              <w:rPr>
                <w:sz w:val="17"/>
              </w:rPr>
              <w:t>DWG-FIN-15T-001</w:t>
              <w:br/>
              <w:t>Process Flow Diagram (PFD)</w:t>
            </w:r>
          </w:p>
        </w:tc>
        <w:tc>
          <w:tcPr>
            <w:tcW w:type="dxa" w:w="3168"/>
            <w:shd w:val="clear" w:color="auto" w:fill="EFF6FF"/>
            <w:tcMar>
              <w:top w:w="40" w:type="dxa"/>
              <w:bottom w:w="40" w:type="dxa"/>
              <w:left w:w="60" w:type="dxa"/>
              <w:right w:w="60" w:type="dxa"/>
            </w:tcMar>
          </w:tcPr>
          <w:p>
            <w:pPr>
              <w:spacing w:before="40" w:after="40" w:line="264" w:lineRule="auto"/>
              <w:jc w:val="left"/>
            </w:pPr>
            <w:r>
              <w:rPr>
                <w:sz w:val="17"/>
              </w:rPr>
              <w:t>12 reconciled streams, material balance flags, equipment silhouettes, CIP &amp; ZLD connections.</w:t>
            </w:r>
          </w:p>
        </w:tc>
        <w:tc>
          <w:tcPr>
            <w:tcW w:type="dxa" w:w="1728"/>
            <w:shd w:val="clear" w:color="auto" w:fill="EFF6FF"/>
            <w:tcMar>
              <w:top w:w="40" w:type="dxa"/>
              <w:bottom w:w="40" w:type="dxa"/>
              <w:left w:w="60" w:type="dxa"/>
              <w:right w:w="60" w:type="dxa"/>
            </w:tcMar>
          </w:tcPr>
          <w:p>
            <w:pPr>
              <w:spacing w:before="40" w:after="40" w:line="264" w:lineRule="auto"/>
              <w:jc w:val="left"/>
            </w:pPr>
            <w:r>
              <w:rPr>
                <w:sz w:val="17"/>
              </w:rPr>
              <w:t>AutoCAD 2025 (Vector PDF)</w:t>
              <w:br/>
              <w:t>ISO A2 (monochrome.ctb)</w:t>
            </w:r>
          </w:p>
        </w:tc>
      </w:tr>
      <w:tr>
        <w:trPr>
          <w:cantSplit/>
        </w:trPr>
        <w:tc>
          <w:tcPr>
            <w:tcW w:type="dxa" w:w="1440"/>
            <w:shd w:val="clear" w:color="auto" w:fill="FFFFFF"/>
            <w:tcMar>
              <w:top w:w="40" w:type="dxa"/>
              <w:bottom w:w="40" w:type="dxa"/>
              <w:left w:w="60" w:type="dxa"/>
              <w:right w:w="60" w:type="dxa"/>
            </w:tcMar>
          </w:tcPr>
          <w:p>
            <w:pPr>
              <w:spacing w:before="40" w:after="40" w:line="264" w:lineRule="auto"/>
              <w:jc w:val="center"/>
            </w:pPr>
            <w:r>
              <w:rPr>
                <w:sz w:val="17"/>
              </w:rPr>
              <w:t>Annexure B</w:t>
            </w:r>
          </w:p>
        </w:tc>
        <w:tc>
          <w:tcPr>
            <w:tcW w:type="dxa" w:w="3269"/>
            <w:shd w:val="clear" w:color="auto" w:fill="FFFFFF"/>
            <w:tcMar>
              <w:top w:w="40" w:type="dxa"/>
              <w:bottom w:w="40" w:type="dxa"/>
              <w:left w:w="60" w:type="dxa"/>
              <w:right w:w="60" w:type="dxa"/>
            </w:tcMar>
          </w:tcPr>
          <w:p>
            <w:pPr>
              <w:spacing w:before="40" w:after="40" w:line="264" w:lineRule="auto"/>
              <w:jc w:val="left"/>
            </w:pPr>
            <w:r>
              <w:rPr>
                <w:sz w:val="17"/>
              </w:rPr>
              <w:t>DWG-FIN-15T-002</w:t>
              <w:br/>
              <w:t>Heat &amp; Material Balance Schedule</w:t>
            </w:r>
          </w:p>
        </w:tc>
        <w:tc>
          <w:tcPr>
            <w:tcW w:type="dxa" w:w="3168"/>
            <w:shd w:val="clear" w:color="auto" w:fill="FFFFFF"/>
            <w:tcMar>
              <w:top w:w="40" w:type="dxa"/>
              <w:bottom w:w="40" w:type="dxa"/>
              <w:left w:w="60" w:type="dxa"/>
              <w:right w:w="60" w:type="dxa"/>
            </w:tcMar>
          </w:tcPr>
          <w:p>
            <w:pPr>
              <w:spacing w:before="40" w:after="40" w:line="264" w:lineRule="auto"/>
              <w:jc w:val="left"/>
            </w:pPr>
            <w:r>
              <w:rPr>
                <w:sz w:val="17"/>
              </w:rPr>
              <w:t>Full A2 stream table (solids, water, enthalpy), exact 0.000% dry solids closure, utility duties.</w:t>
            </w:r>
          </w:p>
        </w:tc>
        <w:tc>
          <w:tcPr>
            <w:tcW w:type="dxa" w:w="1728"/>
            <w:shd w:val="clear" w:color="auto" w:fill="FFFFFF"/>
            <w:tcMar>
              <w:top w:w="40" w:type="dxa"/>
              <w:bottom w:w="40" w:type="dxa"/>
              <w:left w:w="60" w:type="dxa"/>
              <w:right w:w="60" w:type="dxa"/>
            </w:tcMar>
          </w:tcPr>
          <w:p>
            <w:pPr>
              <w:spacing w:before="40" w:after="40" w:line="264" w:lineRule="auto"/>
              <w:jc w:val="left"/>
            </w:pPr>
            <w:r>
              <w:rPr>
                <w:sz w:val="17"/>
              </w:rPr>
              <w:t>AutoCAD 2025 (Vector PDF)</w:t>
              <w:br/>
              <w:t>ISO A2 (monochrome.ctb)</w:t>
            </w:r>
          </w:p>
        </w:tc>
      </w:tr>
      <w:tr>
        <w:trPr>
          <w:cantSplit/>
        </w:trPr>
        <w:tc>
          <w:tcPr>
            <w:tcW w:type="dxa" w:w="1440"/>
            <w:shd w:val="clear" w:color="auto" w:fill="EFF6FF"/>
            <w:tcMar>
              <w:top w:w="40" w:type="dxa"/>
              <w:bottom w:w="40" w:type="dxa"/>
              <w:left w:w="60" w:type="dxa"/>
              <w:right w:w="60" w:type="dxa"/>
            </w:tcMar>
          </w:tcPr>
          <w:p>
            <w:pPr>
              <w:spacing w:before="40" w:after="40" w:line="264" w:lineRule="auto"/>
              <w:jc w:val="center"/>
            </w:pPr>
            <w:r>
              <w:rPr>
                <w:sz w:val="17"/>
              </w:rPr>
              <w:t>Annexure C</w:t>
            </w:r>
          </w:p>
        </w:tc>
        <w:tc>
          <w:tcPr>
            <w:tcW w:type="dxa" w:w="3269"/>
            <w:shd w:val="clear" w:color="auto" w:fill="EFF6FF"/>
            <w:tcMar>
              <w:top w:w="40" w:type="dxa"/>
              <w:bottom w:w="40" w:type="dxa"/>
              <w:left w:w="60" w:type="dxa"/>
              <w:right w:w="60" w:type="dxa"/>
            </w:tcMar>
          </w:tcPr>
          <w:p>
            <w:pPr>
              <w:spacing w:before="40" w:after="40" w:line="264" w:lineRule="auto"/>
              <w:jc w:val="left"/>
            </w:pPr>
            <w:r>
              <w:rPr>
                <w:sz w:val="17"/>
              </w:rPr>
              <w:t>DWG-FIN-15T-003</w:t>
              <w:br/>
              <w:t>P&amp;ID: Soaking Battery &amp; Dosing Skid</w:t>
            </w:r>
          </w:p>
        </w:tc>
        <w:tc>
          <w:tcPr>
            <w:tcW w:type="dxa" w:w="3168"/>
            <w:shd w:val="clear" w:color="auto" w:fill="EFF6FF"/>
            <w:tcMar>
              <w:top w:w="40" w:type="dxa"/>
              <w:bottom w:w="40" w:type="dxa"/>
              <w:left w:w="60" w:type="dxa"/>
              <w:right w:w="60" w:type="dxa"/>
            </w:tcMar>
          </w:tcPr>
          <w:p>
            <w:pPr>
              <w:spacing w:before="40" w:after="40" w:line="264" w:lineRule="auto"/>
              <w:jc w:val="left"/>
            </w:pPr>
            <w:r>
              <w:rPr>
                <w:sz w:val="17"/>
              </w:rPr>
              <w:t>ISA-5.1 dual 7.5m3 soak tanks TK-101A/B, dosing skid SK-100, LIC/TIC/AIC/ZIC control loops.</w:t>
            </w:r>
          </w:p>
        </w:tc>
        <w:tc>
          <w:tcPr>
            <w:tcW w:type="dxa" w:w="1728"/>
            <w:shd w:val="clear" w:color="auto" w:fill="EFF6FF"/>
            <w:tcMar>
              <w:top w:w="40" w:type="dxa"/>
              <w:bottom w:w="40" w:type="dxa"/>
              <w:left w:w="60" w:type="dxa"/>
              <w:right w:w="60" w:type="dxa"/>
            </w:tcMar>
          </w:tcPr>
          <w:p>
            <w:pPr>
              <w:spacing w:before="40" w:after="40" w:line="264" w:lineRule="auto"/>
              <w:jc w:val="left"/>
            </w:pPr>
            <w:r>
              <w:rPr>
                <w:sz w:val="17"/>
              </w:rPr>
              <w:t>AutoCAD 2025 (Vector PDF)</w:t>
              <w:br/>
              <w:t>ISO A2 (monochrome.ctb)</w:t>
            </w:r>
          </w:p>
        </w:tc>
      </w:tr>
      <w:tr>
        <w:trPr>
          <w:cantSplit/>
        </w:trPr>
        <w:tc>
          <w:tcPr>
            <w:tcW w:type="dxa" w:w="1440"/>
            <w:shd w:val="clear" w:color="auto" w:fill="FFFFFF"/>
            <w:tcMar>
              <w:top w:w="40" w:type="dxa"/>
              <w:bottom w:w="40" w:type="dxa"/>
              <w:left w:w="60" w:type="dxa"/>
              <w:right w:w="60" w:type="dxa"/>
            </w:tcMar>
          </w:tcPr>
          <w:p>
            <w:pPr>
              <w:spacing w:before="40" w:after="40" w:line="264" w:lineRule="auto"/>
              <w:jc w:val="center"/>
            </w:pPr>
            <w:r>
              <w:rPr>
                <w:sz w:val="17"/>
              </w:rPr>
              <w:t>Annexure D</w:t>
            </w:r>
          </w:p>
        </w:tc>
        <w:tc>
          <w:tcPr>
            <w:tcW w:type="dxa" w:w="3269"/>
            <w:shd w:val="clear" w:color="auto" w:fill="FFFFFF"/>
            <w:tcMar>
              <w:top w:w="40" w:type="dxa"/>
              <w:bottom w:w="40" w:type="dxa"/>
              <w:left w:w="60" w:type="dxa"/>
              <w:right w:w="60" w:type="dxa"/>
            </w:tcMar>
          </w:tcPr>
          <w:p>
            <w:pPr>
              <w:spacing w:before="40" w:after="40" w:line="264" w:lineRule="auto"/>
              <w:jc w:val="left"/>
            </w:pPr>
            <w:r>
              <w:rPr>
                <w:sz w:val="17"/>
              </w:rPr>
              <w:t>DWG-FIN-15T-004</w:t>
              <w:br/>
              <w:t>Site Master Plot Plan &amp; Hygienic Zoning</w:t>
            </w:r>
          </w:p>
        </w:tc>
        <w:tc>
          <w:tcPr>
            <w:tcW w:type="dxa" w:w="3168"/>
            <w:shd w:val="clear" w:color="auto" w:fill="FFFFFF"/>
            <w:tcMar>
              <w:top w:w="40" w:type="dxa"/>
              <w:bottom w:w="40" w:type="dxa"/>
              <w:left w:w="60" w:type="dxa"/>
              <w:right w:w="60" w:type="dxa"/>
            </w:tcMar>
          </w:tcPr>
          <w:p>
            <w:pPr>
              <w:spacing w:before="40" w:after="40" w:line="264" w:lineRule="auto"/>
              <w:jc w:val="left"/>
            </w:pPr>
            <w:r>
              <w:rPr>
                <w:sz w:val="17"/>
              </w:rPr>
              <w:t>75m x 45m plot, 52m x 24m building, 4 ISO 22000 hygiene zones, room HVAC &amp; area schedule.</w:t>
            </w:r>
          </w:p>
        </w:tc>
        <w:tc>
          <w:tcPr>
            <w:tcW w:type="dxa" w:w="1728"/>
            <w:shd w:val="clear" w:color="auto" w:fill="FFFFFF"/>
            <w:tcMar>
              <w:top w:w="40" w:type="dxa"/>
              <w:bottom w:w="40" w:type="dxa"/>
              <w:left w:w="60" w:type="dxa"/>
              <w:right w:w="60" w:type="dxa"/>
            </w:tcMar>
          </w:tcPr>
          <w:p>
            <w:pPr>
              <w:spacing w:before="40" w:after="40" w:line="264" w:lineRule="auto"/>
              <w:jc w:val="left"/>
            </w:pPr>
            <w:r>
              <w:rPr>
                <w:sz w:val="17"/>
              </w:rPr>
              <w:t>AutoCAD 2025 (Vector PDF)</w:t>
              <w:br/>
              <w:t>ISO A2 (monochrome.ctb)</w:t>
            </w:r>
          </w:p>
        </w:tc>
      </w:tr>
      <w:tr>
        <w:trPr>
          <w:cantSplit/>
        </w:trPr>
        <w:tc>
          <w:tcPr>
            <w:tcW w:type="dxa" w:w="1440"/>
            <w:shd w:val="clear" w:color="auto" w:fill="EFF6FF"/>
            <w:tcMar>
              <w:top w:w="40" w:type="dxa"/>
              <w:bottom w:w="40" w:type="dxa"/>
              <w:left w:w="60" w:type="dxa"/>
              <w:right w:w="60" w:type="dxa"/>
            </w:tcMar>
          </w:tcPr>
          <w:p>
            <w:pPr>
              <w:spacing w:before="40" w:after="40" w:line="264" w:lineRule="auto"/>
              <w:jc w:val="center"/>
            </w:pPr>
            <w:r>
              <w:rPr>
                <w:sz w:val="17"/>
              </w:rPr>
              <w:t>Annexure E</w:t>
            </w:r>
          </w:p>
        </w:tc>
        <w:tc>
          <w:tcPr>
            <w:tcW w:type="dxa" w:w="3269"/>
            <w:shd w:val="clear" w:color="auto" w:fill="EFF6FF"/>
            <w:tcMar>
              <w:top w:w="40" w:type="dxa"/>
              <w:bottom w:w="40" w:type="dxa"/>
              <w:left w:w="60" w:type="dxa"/>
              <w:right w:w="60" w:type="dxa"/>
            </w:tcMar>
          </w:tcPr>
          <w:p>
            <w:pPr>
              <w:spacing w:before="40" w:after="40" w:line="264" w:lineRule="auto"/>
              <w:jc w:val="left"/>
            </w:pPr>
            <w:r>
              <w:rPr>
                <w:sz w:val="17"/>
              </w:rPr>
              <w:t>DWG-FIN-15T-007</w:t>
              <w:br/>
              <w:t>Equipment GA: Soak Vessel TK-101A/B</w:t>
            </w:r>
          </w:p>
        </w:tc>
        <w:tc>
          <w:tcPr>
            <w:tcW w:type="dxa" w:w="3168"/>
            <w:shd w:val="clear" w:color="auto" w:fill="EFF6FF"/>
            <w:tcMar>
              <w:top w:w="40" w:type="dxa"/>
              <w:bottom w:w="40" w:type="dxa"/>
              <w:left w:w="60" w:type="dxa"/>
              <w:right w:w="60" w:type="dxa"/>
            </w:tcMar>
          </w:tcPr>
          <w:p>
            <w:pPr>
              <w:spacing w:before="40" w:after="40" w:line="264" w:lineRule="auto"/>
              <w:jc w:val="left"/>
            </w:pPr>
            <w:r>
              <w:rPr>
                <w:sz w:val="17"/>
              </w:rPr>
              <w:t>ASME Section VIII Div 1, 2000mm ID, 60° cone, 4.0 kW hydrofoil agitator, nozzle schedule N1-N6/M1.</w:t>
            </w:r>
          </w:p>
        </w:tc>
        <w:tc>
          <w:tcPr>
            <w:tcW w:type="dxa" w:w="1728"/>
            <w:shd w:val="clear" w:color="auto" w:fill="EFF6FF"/>
            <w:tcMar>
              <w:top w:w="40" w:type="dxa"/>
              <w:bottom w:w="40" w:type="dxa"/>
              <w:left w:w="60" w:type="dxa"/>
              <w:right w:w="60" w:type="dxa"/>
            </w:tcMar>
          </w:tcPr>
          <w:p>
            <w:pPr>
              <w:spacing w:before="40" w:after="40" w:line="264" w:lineRule="auto"/>
              <w:jc w:val="left"/>
            </w:pPr>
            <w:r>
              <w:rPr>
                <w:sz w:val="17"/>
              </w:rPr>
              <w:t>AutoCAD 2025 + SolidWorks</w:t>
              <w:br/>
              <w:t>ISO A2 (monochrome.ctb)</w:t>
            </w:r>
          </w:p>
        </w:tc>
      </w:tr>
      <w:tr>
        <w:trPr>
          <w:cantSplit/>
        </w:trPr>
        <w:tc>
          <w:tcPr>
            <w:tcW w:type="dxa" w:w="1440"/>
            <w:shd w:val="clear" w:color="auto" w:fill="FFFFFF"/>
            <w:tcMar>
              <w:top w:w="40" w:type="dxa"/>
              <w:bottom w:w="40" w:type="dxa"/>
              <w:left w:w="60" w:type="dxa"/>
              <w:right w:w="60" w:type="dxa"/>
            </w:tcMar>
          </w:tcPr>
          <w:p>
            <w:pPr>
              <w:spacing w:before="40" w:after="40" w:line="264" w:lineRule="auto"/>
              <w:jc w:val="center"/>
            </w:pPr>
            <w:r>
              <w:rPr>
                <w:sz w:val="17"/>
              </w:rPr>
              <w:t>Annexure F</w:t>
            </w:r>
          </w:p>
        </w:tc>
        <w:tc>
          <w:tcPr>
            <w:tcW w:type="dxa" w:w="3269"/>
            <w:shd w:val="clear" w:color="auto" w:fill="FFFFFF"/>
            <w:tcMar>
              <w:top w:w="40" w:type="dxa"/>
              <w:bottom w:w="40" w:type="dxa"/>
              <w:left w:w="60" w:type="dxa"/>
              <w:right w:w="60" w:type="dxa"/>
            </w:tcMar>
          </w:tcPr>
          <w:p>
            <w:pPr>
              <w:spacing w:before="40" w:after="40" w:line="264" w:lineRule="auto"/>
              <w:jc w:val="left"/>
            </w:pPr>
            <w:r>
              <w:rPr>
                <w:sz w:val="17"/>
              </w:rPr>
              <w:t>DWG-FIN-15T-008</w:t>
              <w:br/>
              <w:t>Equipment GA: Fluid Bed Dryer DR-101</w:t>
            </w:r>
          </w:p>
        </w:tc>
        <w:tc>
          <w:tcPr>
            <w:tcW w:type="dxa" w:w="3168"/>
            <w:shd w:val="clear" w:color="auto" w:fill="FFFFFF"/>
            <w:tcMar>
              <w:top w:w="40" w:type="dxa"/>
              <w:bottom w:w="40" w:type="dxa"/>
              <w:left w:w="60" w:type="dxa"/>
              <w:right w:w="60" w:type="dxa"/>
            </w:tcMar>
          </w:tcPr>
          <w:p>
            <w:pPr>
              <w:spacing w:before="40" w:after="40" w:line="264" w:lineRule="auto"/>
              <w:jc w:val="left"/>
            </w:pPr>
            <w:r>
              <w:rPr>
                <w:sz w:val="17"/>
              </w:rPr>
              <w:t>14m x 1m SS304 deck, 3 psychrometric zones, dual NFPA 68 burst panels, 8 vibration springs.</w:t>
            </w:r>
          </w:p>
        </w:tc>
        <w:tc>
          <w:tcPr>
            <w:tcW w:type="dxa" w:w="1728"/>
            <w:shd w:val="clear" w:color="auto" w:fill="FFFFFF"/>
            <w:tcMar>
              <w:top w:w="40" w:type="dxa"/>
              <w:bottom w:w="40" w:type="dxa"/>
              <w:left w:w="60" w:type="dxa"/>
              <w:right w:w="60" w:type="dxa"/>
            </w:tcMar>
          </w:tcPr>
          <w:p>
            <w:pPr>
              <w:spacing w:before="40" w:after="40" w:line="264" w:lineRule="auto"/>
              <w:jc w:val="left"/>
            </w:pPr>
            <w:r>
              <w:rPr>
                <w:sz w:val="17"/>
              </w:rPr>
              <w:t>AutoCAD 2025 (Vector PDF)</w:t>
              <w:br/>
              <w:t>ISO A2 (monochrome.ctb)</w:t>
            </w:r>
          </w:p>
        </w:tc>
      </w:tr>
      <w:tr>
        <w:trPr>
          <w:cantSplit/>
        </w:trPr>
        <w:tc>
          <w:tcPr>
            <w:tcW w:type="dxa" w:w="1440"/>
            <w:shd w:val="clear" w:color="auto" w:fill="EFF6FF"/>
            <w:tcMar>
              <w:top w:w="40" w:type="dxa"/>
              <w:bottom w:w="40" w:type="dxa"/>
              <w:left w:w="60" w:type="dxa"/>
              <w:right w:w="60" w:type="dxa"/>
            </w:tcMar>
          </w:tcPr>
          <w:p>
            <w:pPr>
              <w:spacing w:before="40" w:after="40" w:line="264" w:lineRule="auto"/>
              <w:jc w:val="center"/>
            </w:pPr>
            <w:r>
              <w:rPr>
                <w:sz w:val="17"/>
              </w:rPr>
              <w:t>Annexure G</w:t>
            </w:r>
          </w:p>
        </w:tc>
        <w:tc>
          <w:tcPr>
            <w:tcW w:type="dxa" w:w="3269"/>
            <w:shd w:val="clear" w:color="auto" w:fill="EFF6FF"/>
            <w:tcMar>
              <w:top w:w="40" w:type="dxa"/>
              <w:bottom w:w="40" w:type="dxa"/>
              <w:left w:w="60" w:type="dxa"/>
              <w:right w:w="60" w:type="dxa"/>
            </w:tcMar>
          </w:tcPr>
          <w:p>
            <w:pPr>
              <w:spacing w:before="40" w:after="40" w:line="264" w:lineRule="auto"/>
              <w:jc w:val="left"/>
            </w:pPr>
            <w:r>
              <w:rPr>
                <w:sz w:val="17"/>
              </w:rPr>
              <w:t>DWG-FIN-15T-010</w:t>
              <w:br/>
              <w:t>P&amp;ID: Triple-Effect ZLD Evaporator</w:t>
            </w:r>
          </w:p>
        </w:tc>
        <w:tc>
          <w:tcPr>
            <w:tcW w:type="dxa" w:w="3168"/>
            <w:shd w:val="clear" w:color="auto" w:fill="EFF6FF"/>
            <w:tcMar>
              <w:top w:w="40" w:type="dxa"/>
              <w:bottom w:w="40" w:type="dxa"/>
              <w:left w:w="60" w:type="dxa"/>
              <w:right w:w="60" w:type="dxa"/>
            </w:tcMar>
          </w:tcPr>
          <w:p>
            <w:pPr>
              <w:spacing w:before="40" w:after="40" w:line="264" w:lineRule="auto"/>
              <w:jc w:val="left"/>
            </w:pPr>
            <w:r>
              <w:rPr>
                <w:sz w:val="17"/>
              </w:rPr>
              <w:t>25 KLD falling-film calandrias, vacuum condenser, distillate recovery loop, steam economy 2.38.</w:t>
            </w:r>
          </w:p>
        </w:tc>
        <w:tc>
          <w:tcPr>
            <w:tcW w:type="dxa" w:w="1728"/>
            <w:shd w:val="clear" w:color="auto" w:fill="EFF6FF"/>
            <w:tcMar>
              <w:top w:w="40" w:type="dxa"/>
              <w:bottom w:w="40" w:type="dxa"/>
              <w:left w:w="60" w:type="dxa"/>
              <w:right w:w="60" w:type="dxa"/>
            </w:tcMar>
          </w:tcPr>
          <w:p>
            <w:pPr>
              <w:spacing w:before="40" w:after="40" w:line="264" w:lineRule="auto"/>
              <w:jc w:val="left"/>
            </w:pPr>
            <w:r>
              <w:rPr>
                <w:sz w:val="17"/>
              </w:rPr>
              <w:t>AutoCAD 2025 + Aspen Plus</w:t>
              <w:br/>
              <w:t>ISO A2 (monochrome.ctb)</w:t>
            </w:r>
          </w:p>
        </w:tc>
      </w:tr>
      <w:tr>
        <w:trPr>
          <w:cantSplit/>
        </w:trPr>
        <w:tc>
          <w:tcPr>
            <w:tcW w:type="dxa" w:w="1440"/>
            <w:shd w:val="clear" w:color="auto" w:fill="FFFFFF"/>
            <w:tcMar>
              <w:top w:w="40" w:type="dxa"/>
              <w:bottom w:w="40" w:type="dxa"/>
              <w:left w:w="60" w:type="dxa"/>
              <w:right w:w="60" w:type="dxa"/>
            </w:tcMar>
          </w:tcPr>
          <w:p>
            <w:pPr>
              <w:spacing w:before="40" w:after="40" w:line="264" w:lineRule="auto"/>
              <w:jc w:val="center"/>
            </w:pPr>
            <w:r>
              <w:rPr>
                <w:sz w:val="17"/>
              </w:rPr>
              <w:t>Annexure H</w:t>
            </w:r>
          </w:p>
        </w:tc>
        <w:tc>
          <w:tcPr>
            <w:tcW w:type="dxa" w:w="3269"/>
            <w:shd w:val="clear" w:color="auto" w:fill="FFFFFF"/>
            <w:tcMar>
              <w:top w:w="40" w:type="dxa"/>
              <w:bottom w:w="40" w:type="dxa"/>
              <w:left w:w="60" w:type="dxa"/>
              <w:right w:w="60" w:type="dxa"/>
            </w:tcMar>
          </w:tcPr>
          <w:p>
            <w:pPr>
              <w:spacing w:before="40" w:after="40" w:line="264" w:lineRule="auto"/>
              <w:jc w:val="left"/>
            </w:pPr>
            <w:r>
              <w:rPr>
                <w:sz w:val="17"/>
              </w:rPr>
              <w:t>DWG-FIN-15T-011</w:t>
              <w:br/>
              <w:t>Electrical Single Line Diagram &amp; SCADA</w:t>
            </w:r>
          </w:p>
        </w:tc>
        <w:tc>
          <w:tcPr>
            <w:tcW w:type="dxa" w:w="3168"/>
            <w:shd w:val="clear" w:color="auto" w:fill="FFFFFF"/>
            <w:tcMar>
              <w:top w:w="40" w:type="dxa"/>
              <w:bottom w:w="40" w:type="dxa"/>
              <w:left w:w="60" w:type="dxa"/>
              <w:right w:w="60" w:type="dxa"/>
            </w:tcMar>
          </w:tcPr>
          <w:p>
            <w:pPr>
              <w:spacing w:before="40" w:after="40" w:line="264" w:lineRule="auto"/>
              <w:jc w:val="left"/>
            </w:pPr>
            <w:r>
              <w:rPr>
                <w:sz w:val="17"/>
              </w:rPr>
              <w:t>11kV / 415V 500kVA TR-01, 250kVA DG, 11 MCC feeders, ISA-95 SCADA Profinet ring topology.</w:t>
            </w:r>
          </w:p>
        </w:tc>
        <w:tc>
          <w:tcPr>
            <w:tcW w:type="dxa" w:w="1728"/>
            <w:shd w:val="clear" w:color="auto" w:fill="FFFFFF"/>
            <w:tcMar>
              <w:top w:w="40" w:type="dxa"/>
              <w:bottom w:w="40" w:type="dxa"/>
              <w:left w:w="60" w:type="dxa"/>
              <w:right w:w="60" w:type="dxa"/>
            </w:tcMar>
          </w:tcPr>
          <w:p>
            <w:pPr>
              <w:spacing w:before="40" w:after="40" w:line="264" w:lineRule="auto"/>
              <w:jc w:val="left"/>
            </w:pPr>
            <w:r>
              <w:rPr>
                <w:sz w:val="17"/>
              </w:rPr>
              <w:t>AutoCAD 2025 (Vector PDF)</w:t>
              <w:br/>
              <w:t>ISO A2 (monochrome.ctb)</w:t>
            </w:r>
          </w:p>
        </w:tc>
      </w:tr>
      <w:tr>
        <w:trPr>
          <w:cantSplit/>
        </w:trPr>
        <w:tc>
          <w:tcPr>
            <w:tcW w:type="dxa" w:w="1440"/>
            <w:shd w:val="clear" w:color="auto" w:fill="EFF6FF"/>
            <w:tcMar>
              <w:top w:w="40" w:type="dxa"/>
              <w:bottom w:w="40" w:type="dxa"/>
              <w:left w:w="60" w:type="dxa"/>
              <w:right w:w="60" w:type="dxa"/>
            </w:tcMar>
          </w:tcPr>
          <w:p>
            <w:pPr>
              <w:spacing w:before="40" w:after="40" w:line="264" w:lineRule="auto"/>
              <w:jc w:val="center"/>
            </w:pPr>
            <w:r>
              <w:rPr>
                <w:sz w:val="17"/>
              </w:rPr>
              <w:t>Annexure I</w:t>
            </w:r>
          </w:p>
        </w:tc>
        <w:tc>
          <w:tcPr>
            <w:tcW w:type="dxa" w:w="3269"/>
            <w:shd w:val="clear" w:color="auto" w:fill="EFF6FF"/>
            <w:tcMar>
              <w:top w:w="40" w:type="dxa"/>
              <w:bottom w:w="40" w:type="dxa"/>
              <w:left w:w="60" w:type="dxa"/>
              <w:right w:w="60" w:type="dxa"/>
            </w:tcMar>
          </w:tcPr>
          <w:p>
            <w:pPr>
              <w:spacing w:before="40" w:after="40" w:line="264" w:lineRule="auto"/>
              <w:jc w:val="left"/>
            </w:pPr>
            <w:r>
              <w:rPr>
                <w:sz w:val="17"/>
              </w:rPr>
              <w:t>DWG-FIN-15T-014</w:t>
              <w:br/>
              <w:t>Plant GA Master Assembly Drawing</w:t>
            </w:r>
          </w:p>
        </w:tc>
        <w:tc>
          <w:tcPr>
            <w:tcW w:type="dxa" w:w="3168"/>
            <w:shd w:val="clear" w:color="auto" w:fill="EFF6FF"/>
            <w:tcMar>
              <w:top w:w="40" w:type="dxa"/>
              <w:bottom w:w="40" w:type="dxa"/>
              <w:left w:w="60" w:type="dxa"/>
              <w:right w:w="60" w:type="dxa"/>
            </w:tcMar>
          </w:tcPr>
          <w:p>
            <w:pPr>
              <w:spacing w:before="40" w:after="40" w:line="264" w:lineRule="auto"/>
              <w:jc w:val="left"/>
            </w:pPr>
            <w:r>
              <w:rPr>
                <w:sz w:val="17"/>
              </w:rPr>
              <w:t>SolidWorks 3D B-Rep assembly (PLANT-15T, 12 systems, 27.08 tonnes), isometric &amp; orthographic GAs.</w:t>
            </w:r>
          </w:p>
        </w:tc>
        <w:tc>
          <w:tcPr>
            <w:tcW w:type="dxa" w:w="1728"/>
            <w:shd w:val="clear" w:color="auto" w:fill="EFF6FF"/>
            <w:tcMar>
              <w:top w:w="40" w:type="dxa"/>
              <w:bottom w:w="40" w:type="dxa"/>
              <w:left w:w="60" w:type="dxa"/>
              <w:right w:w="60" w:type="dxa"/>
            </w:tcMar>
          </w:tcPr>
          <w:p>
            <w:pPr>
              <w:spacing w:before="40" w:after="40" w:line="264" w:lineRule="auto"/>
              <w:jc w:val="left"/>
            </w:pPr>
            <w:r>
              <w:rPr>
                <w:sz w:val="17"/>
              </w:rPr>
              <w:t>SolidWorks 2025 SP01.2</w:t>
              <w:br/>
              <w:t>A1 Master Assembly Drawing</w:t>
            </w:r>
          </w:p>
        </w:tc>
      </w:tr>
      <w:tr>
        <w:trPr>
          <w:cantSplit/>
        </w:trPr>
        <w:tc>
          <w:tcPr>
            <w:tcW w:type="dxa" w:w="1440"/>
            <w:shd w:val="clear" w:color="auto" w:fill="FFFFFF"/>
            <w:tcMar>
              <w:top w:w="40" w:type="dxa"/>
              <w:bottom w:w="40" w:type="dxa"/>
              <w:left w:w="60" w:type="dxa"/>
              <w:right w:w="60" w:type="dxa"/>
            </w:tcMar>
          </w:tcPr>
          <w:p>
            <w:pPr>
              <w:spacing w:before="40" w:after="40" w:line="264" w:lineRule="auto"/>
              <w:jc w:val="center"/>
            </w:pPr>
            <w:r>
              <w:rPr>
                <w:sz w:val="17"/>
              </w:rPr>
              <w:t>Master Book</w:t>
            </w:r>
          </w:p>
        </w:tc>
        <w:tc>
          <w:tcPr>
            <w:tcW w:type="dxa" w:w="3269"/>
            <w:shd w:val="clear" w:color="auto" w:fill="FFFFFF"/>
            <w:tcMar>
              <w:top w:w="40" w:type="dxa"/>
              <w:bottom w:w="40" w:type="dxa"/>
              <w:left w:w="60" w:type="dxa"/>
              <w:right w:w="60" w:type="dxa"/>
            </w:tcMar>
          </w:tcPr>
          <w:p>
            <w:pPr>
              <w:spacing w:before="40" w:after="40" w:line="264" w:lineRule="auto"/>
              <w:jc w:val="left"/>
            </w:pPr>
            <w:r>
              <w:rPr>
                <w:sz w:val="17"/>
              </w:rPr>
              <w:t>FINNOAQ_15TPD_CONCEPTUAL_FEED_DRAWINGS_REV_V8.pdf</w:t>
            </w:r>
          </w:p>
        </w:tc>
        <w:tc>
          <w:tcPr>
            <w:tcW w:type="dxa" w:w="3168"/>
            <w:shd w:val="clear" w:color="auto" w:fill="FFFFFF"/>
            <w:tcMar>
              <w:top w:w="40" w:type="dxa"/>
              <w:bottom w:w="40" w:type="dxa"/>
              <w:left w:w="60" w:type="dxa"/>
              <w:right w:w="60" w:type="dxa"/>
            </w:tcMar>
          </w:tcPr>
          <w:p>
            <w:pPr>
              <w:spacing w:before="40" w:after="40" w:line="264" w:lineRule="auto"/>
              <w:jc w:val="left"/>
            </w:pPr>
            <w:r>
              <w:rPr>
                <w:sz w:val="17"/>
              </w:rPr>
              <w:t>Consolidated 8-sheet conceptual FEED package compiled into a single publication-grade book.</w:t>
            </w:r>
          </w:p>
        </w:tc>
        <w:tc>
          <w:tcPr>
            <w:tcW w:type="dxa" w:w="1728"/>
            <w:shd w:val="clear" w:color="auto" w:fill="FFFFFF"/>
            <w:tcMar>
              <w:top w:w="40" w:type="dxa"/>
              <w:bottom w:w="40" w:type="dxa"/>
              <w:left w:w="60" w:type="dxa"/>
              <w:right w:w="60" w:type="dxa"/>
            </w:tcMar>
          </w:tcPr>
          <w:p>
            <w:pPr>
              <w:spacing w:before="40" w:after="40" w:line="264" w:lineRule="auto"/>
              <w:jc w:val="left"/>
            </w:pPr>
            <w:r>
              <w:rPr>
                <w:sz w:val="17"/>
              </w:rPr>
              <w:t>AutoCAD 2025 Native Plot</w:t>
              <w:br/>
              <w:t>625,497 Bytes (Verified)</w:t>
            </w:r>
          </w:p>
        </w:tc>
      </w:tr>
    </w:tbl>
    <w:p>
      <w:pPr>
        <w:spacing w:before="80" w:after="160" w:line="276" w:lineRule="auto"/>
      </w:pPr>
      <w:r>
        <w:rPr>
          <w:i/>
        </w:rPr>
        <w:t>Engineering Provenance Note: All attached drawings strictly observe engineering integrity under FinnoaQ Governance Law. Drawings originate from native AutoCAD accoreconsole plotting and SolidWorks B-Rep models with 0% synthetic approximations. All plant engineering deliverables remain conceptual FEED baselines under Gate G-A hold, pending empirical Phase 1 validation.</w:t>
      </w:r>
    </w:p>
    <w:p>
      <w:pPr>
        <w:spacing w:before="240" w:after="80" w:line="276" w:lineRule="auto"/>
        <w:pBdr>
          <w:bottom w:val="single" w:sz="6" w:space="2" w:color="3B82F6"/>
        </w:pBdr>
      </w:pPr>
      <w:r>
        <w:rPr>
          <w:b/>
          <w:color w:val="0F172A"/>
          <w:sz w:val="28"/>
        </w:rPr>
        <w:t>9. Project Acceptance &amp; Start Authorization Form</w:t>
      </w:r>
    </w:p>
    <w:p>
      <w:pPr>
        <w:spacing w:before="40" w:after="120" w:line="276" w:lineRule="auto"/>
      </w:pPr>
      <w:r>
        <w:t>To confirm acceptance of this proposal and authorize commencement of Phase 1, please complete and sign below, or issue a formal Purchase Order / Work Order referencing Document Ref: FNQ-PR-2026-001 (Rev 8.0):</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4802"/>
        <w:gridCol w:w="4802"/>
      </w:tblGrid>
      <w:tr>
        <w:trPr>
          <w:cantSplit/>
          <w:tblHeader/>
        </w:trPr>
        <w:tc>
          <w:tcPr>
            <w:tcW w:type="dxa" w:w="3600"/>
            <w:shd w:val="clear" w:color="auto" w:fill="F1F5F9"/>
            <w:tcMar>
              <w:top w:w="40" w:type="dxa"/>
              <w:bottom w:w="40" w:type="dxa"/>
              <w:left w:w="60" w:type="dxa"/>
              <w:right w:w="60" w:type="dxa"/>
            </w:tcMar>
          </w:tcPr>
          <w:p>
            <w:pPr>
              <w:spacing w:before="40" w:after="40" w:line="264" w:lineRule="auto"/>
              <w:jc w:val="left"/>
            </w:pPr>
            <w:r>
              <w:rPr>
                <w:b/>
                <w:color w:val="0F172A"/>
                <w:sz w:val="18"/>
              </w:rPr>
              <w:t>Client Corporate Entity Name:</w:t>
            </w:r>
          </w:p>
        </w:tc>
        <w:tc>
          <w:tcPr>
            <w:tcW w:type="dxa" w:w="6005"/>
            <w:shd w:val="clear" w:color="auto" w:fill="F1F5F9"/>
            <w:tcMar>
              <w:top w:w="40" w:type="dxa"/>
              <w:bottom w:w="40" w:type="dxa"/>
              <w:left w:w="60" w:type="dxa"/>
              <w:right w:w="60" w:type="dxa"/>
            </w:tcMar>
          </w:tcPr>
          <w:p>
            <w:pPr>
              <w:spacing w:before="40" w:after="40" w:line="264" w:lineRule="auto"/>
              <w:jc w:val="left"/>
            </w:pPr>
            <w:r>
              <w:rPr>
                <w:b/>
                <w:color w:val="0F172A"/>
                <w:sz w:val="18"/>
              </w:rPr>
            </w:r>
          </w:p>
        </w:tc>
      </w:tr>
      <w:tr>
        <w:trPr>
          <w:cantSplit/>
        </w:trPr>
        <w:tc>
          <w:tcPr>
            <w:tcW w:type="dxa" w:w="3600"/>
            <w:shd w:val="clear" w:color="auto" w:fill="EFF6FF"/>
            <w:tcMar>
              <w:top w:w="40" w:type="dxa"/>
              <w:bottom w:w="40" w:type="dxa"/>
              <w:left w:w="60" w:type="dxa"/>
              <w:right w:w="60" w:type="dxa"/>
            </w:tcMar>
          </w:tcPr>
          <w:p>
            <w:pPr>
              <w:spacing w:before="40" w:after="40" w:line="264" w:lineRule="auto"/>
              <w:jc w:val="left"/>
            </w:pPr>
            <w:r>
              <w:rPr>
                <w:b/>
                <w:sz w:val="17"/>
              </w:rPr>
              <w:t>Authorized Representative Name &amp; Title:</w:t>
            </w:r>
          </w:p>
        </w:tc>
        <w:tc>
          <w:tcPr>
            <w:tcW w:type="dxa" w:w="6005"/>
            <w:shd w:val="clear" w:color="auto" w:fill="EFF6FF"/>
            <w:tcMar>
              <w:top w:w="40" w:type="dxa"/>
              <w:bottom w:w="40" w:type="dxa"/>
              <w:left w:w="60" w:type="dxa"/>
              <w:right w:w="60" w:type="dxa"/>
            </w:tcMar>
          </w:tcPr>
          <w:p>
            <w:pPr>
              <w:spacing w:before="40" w:after="40" w:line="264" w:lineRule="auto"/>
              <w:jc w:val="left"/>
            </w:pPr>
            <w:r>
              <w:rPr>
                <w:sz w:val="17"/>
              </w:rPr>
            </w:r>
          </w:p>
        </w:tc>
      </w:tr>
      <w:tr>
        <w:trPr>
          <w:cantSplit/>
        </w:trPr>
        <w:tc>
          <w:tcPr>
            <w:tcW w:type="dxa" w:w="3600"/>
            <w:shd w:val="clear" w:color="auto" w:fill="FFFFFF"/>
            <w:tcMar>
              <w:top w:w="40" w:type="dxa"/>
              <w:bottom w:w="40" w:type="dxa"/>
              <w:left w:w="60" w:type="dxa"/>
              <w:right w:w="60" w:type="dxa"/>
            </w:tcMar>
          </w:tcPr>
          <w:p>
            <w:pPr>
              <w:spacing w:before="40" w:after="40" w:line="264" w:lineRule="auto"/>
              <w:jc w:val="left"/>
            </w:pPr>
            <w:r>
              <w:rPr>
                <w:b/>
                <w:sz w:val="17"/>
              </w:rPr>
              <w:t>Corporate Registered Address &amp; GSTIN:</w:t>
            </w:r>
          </w:p>
        </w:tc>
        <w:tc>
          <w:tcPr>
            <w:tcW w:type="dxa" w:w="6005"/>
            <w:shd w:val="clear" w:color="auto" w:fill="FFFFFF"/>
            <w:tcMar>
              <w:top w:w="40" w:type="dxa"/>
              <w:bottom w:w="40" w:type="dxa"/>
              <w:left w:w="60" w:type="dxa"/>
              <w:right w:w="60" w:type="dxa"/>
            </w:tcMar>
          </w:tcPr>
          <w:p>
            <w:pPr>
              <w:spacing w:before="40" w:after="40" w:line="264" w:lineRule="auto"/>
              <w:jc w:val="left"/>
            </w:pPr>
            <w:r>
              <w:rPr>
                <w:sz w:val="17"/>
              </w:rPr>
            </w:r>
          </w:p>
        </w:tc>
      </w:tr>
      <w:tr>
        <w:trPr>
          <w:cantSplit/>
        </w:trPr>
        <w:tc>
          <w:tcPr>
            <w:tcW w:type="dxa" w:w="3600"/>
            <w:shd w:val="clear" w:color="auto" w:fill="EFF6FF"/>
            <w:tcMar>
              <w:top w:w="40" w:type="dxa"/>
              <w:bottom w:w="40" w:type="dxa"/>
              <w:left w:w="60" w:type="dxa"/>
              <w:right w:w="60" w:type="dxa"/>
            </w:tcMar>
          </w:tcPr>
          <w:p>
            <w:pPr>
              <w:spacing w:before="40" w:after="40" w:line="264" w:lineRule="auto"/>
              <w:jc w:val="left"/>
            </w:pPr>
            <w:r>
              <w:rPr>
                <w:b/>
                <w:sz w:val="17"/>
              </w:rPr>
              <w:t>Authorized Signature &amp; Corporate Seal:</w:t>
            </w:r>
          </w:p>
        </w:tc>
        <w:tc>
          <w:tcPr>
            <w:tcW w:type="dxa" w:w="6005"/>
            <w:shd w:val="clear" w:color="auto" w:fill="EFF6FF"/>
            <w:tcMar>
              <w:top w:w="40" w:type="dxa"/>
              <w:bottom w:w="40" w:type="dxa"/>
              <w:left w:w="60" w:type="dxa"/>
              <w:right w:w="60" w:type="dxa"/>
            </w:tcMar>
          </w:tcPr>
          <w:p>
            <w:pPr>
              <w:spacing w:before="40" w:after="40" w:line="264" w:lineRule="auto"/>
              <w:jc w:val="left"/>
            </w:pPr>
            <w:r>
              <w:rPr>
                <w:sz w:val="17"/>
              </w:rPr>
              <w:br/>
              <w:br/>
              <w:t>_________________________________________</w:t>
            </w:r>
          </w:p>
        </w:tc>
      </w:tr>
      <w:tr>
        <w:trPr>
          <w:cantSplit/>
        </w:trPr>
        <w:tc>
          <w:tcPr>
            <w:tcW w:type="dxa" w:w="3600"/>
            <w:shd w:val="clear" w:color="auto" w:fill="FFFFFF"/>
            <w:tcMar>
              <w:top w:w="40" w:type="dxa"/>
              <w:bottom w:w="40" w:type="dxa"/>
              <w:left w:w="60" w:type="dxa"/>
              <w:right w:w="60" w:type="dxa"/>
            </w:tcMar>
          </w:tcPr>
          <w:p>
            <w:pPr>
              <w:spacing w:before="40" w:after="40" w:line="264" w:lineRule="auto"/>
              <w:jc w:val="left"/>
            </w:pPr>
            <w:r>
              <w:rPr>
                <w:b/>
                <w:sz w:val="17"/>
              </w:rPr>
              <w:t>Execution Date:</w:t>
            </w:r>
          </w:p>
        </w:tc>
        <w:tc>
          <w:tcPr>
            <w:tcW w:type="dxa" w:w="6005"/>
            <w:shd w:val="clear" w:color="auto" w:fill="FFFFFF"/>
            <w:tcMar>
              <w:top w:w="40" w:type="dxa"/>
              <w:bottom w:w="40" w:type="dxa"/>
              <w:left w:w="60" w:type="dxa"/>
              <w:right w:w="60" w:type="dxa"/>
            </w:tcMar>
          </w:tcPr>
          <w:p>
            <w:pPr>
              <w:spacing w:before="40" w:after="40" w:line="264" w:lineRule="auto"/>
              <w:jc w:val="left"/>
            </w:pPr>
            <w:r>
              <w:rPr>
                <w:sz w:val="17"/>
              </w:rPr>
            </w:r>
          </w:p>
        </w:tc>
      </w:tr>
      <w:tr>
        <w:trPr>
          <w:cantSplit/>
        </w:trPr>
        <w:tc>
          <w:tcPr>
            <w:tcW w:type="dxa" w:w="3600"/>
            <w:shd w:val="clear" w:color="auto" w:fill="EFF6FF"/>
            <w:tcMar>
              <w:top w:w="40" w:type="dxa"/>
              <w:bottom w:w="40" w:type="dxa"/>
              <w:left w:w="60" w:type="dxa"/>
              <w:right w:w="60" w:type="dxa"/>
            </w:tcMar>
          </w:tcPr>
          <w:p>
            <w:pPr>
              <w:spacing w:before="40" w:after="40" w:line="264" w:lineRule="auto"/>
              <w:jc w:val="left"/>
            </w:pPr>
            <w:r>
              <w:rPr>
                <w:b/>
                <w:sz w:val="17"/>
              </w:rPr>
              <w:t>Target Sample Dispatch Date:</w:t>
            </w:r>
          </w:p>
        </w:tc>
        <w:tc>
          <w:tcPr>
            <w:tcW w:type="dxa" w:w="6005"/>
            <w:shd w:val="clear" w:color="auto" w:fill="EFF6FF"/>
            <w:tcMar>
              <w:top w:w="40" w:type="dxa"/>
              <w:bottom w:w="40" w:type="dxa"/>
              <w:left w:w="60" w:type="dxa"/>
              <w:right w:w="60" w:type="dxa"/>
            </w:tcMar>
          </w:tcPr>
          <w:p>
            <w:pPr>
              <w:spacing w:before="40" w:after="40" w:line="264" w:lineRule="auto"/>
              <w:jc w:val="left"/>
            </w:pPr>
            <w:r>
              <w:rPr>
                <w:sz w:val="17"/>
              </w:rPr>
            </w:r>
          </w:p>
        </w:tc>
      </w:tr>
    </w:tbl>
    <w:p>
      <w:pPr>
        <w:spacing w:before="160" w:after="0" w:line="276" w:lineRule="auto"/>
        <w:jc w:val="center"/>
      </w:pPr>
      <w:r>
        <w:rPr>
          <w:color w:val="475569"/>
          <w:sz w:val="16"/>
        </w:rPr>
        <w:br/>
        <w:t>FINNOAQ AGRO-INDUSTRIAL TECHNOLOGIES LTD. | CONFIDENTIAL CLIENT ONBOARDING DOSSIER</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