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2"/>
        </w:rPr>
        <w:t>FINNOAQ AGRO-INDUSTRIAL TECHNOLOGIES LTD.</w:t>
        <w:br/>
      </w:r>
      <w:r>
        <w:rPr>
          <w:b/>
          <w:color w:val="1A365D"/>
          <w:sz w:val="30"/>
        </w:rPr>
        <w:t>FORMAL TRANSMITTAL MEMORANDUM &amp; COVER LETTER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7200"/>
      </w:tblGrid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TO: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Dr. Archisman Ray, CEO &amp; Director, Harakutir (Kolkata)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FROM: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Sourish Senapati, Lead Chemical &amp; Process Engineer, FinnoaQ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ACADEMIC ADVISORY: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Dr. Archisman Ray, Department of Chemical Engineering, IIT Kharagpur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DATE / REF: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 October 2026 | Ref: FNQ-PR-2026-001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SUBJECT: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Submission of Phase 1 Scope of Work &amp; Commercial Proposal Rev V10 (Toor Dal Diagnostic Study)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t>Dear Dr. Ray,</w:t>
        <w:br/>
        <w:br/>
        <w:t>We are pleased to formally submit our revised, evidence-gated Phase 1 Scope of Work and Technical-Commercial Proposal (Revision V10) for the comparative diagnostic study of imported Tanzanian split toor dal versus an Indian benchmark.</w:t>
        <w:br/>
        <w:br/>
        <w:t>This proposal strictly adheres to the baseline scope, commercial terms, and operational boundaries defined in the primary project SOW, while correcting previous scientific and numerical discrepancies. Specifically, Revision V10:</w:t>
        <w:br/>
        <w:br/>
        <w:t>1. Preserves Diagnostic Scope Boundaries: Confirms that Phase 1 is strictly a diagnostic R&amp;D investigation to establish empirical ground truth, isolate rate-limiting softening barriers, and discriminate across 10 competing scientific hypotheses. Treatment development (Phase 2) and industrial plant FEED (Phase 4) are formally bounded as gated downstream stages.</w:t>
        <w:br/>
        <w:br/>
        <w:t>2. Reconciles First-Principles Mass Balances: Independently resolves the pre-dryer moisture and solids-loss contradictions in the provisional 15 MT/day processing scenario, documenting both Scenario B1 (true 28.0% WB; 3,678 kg/day evap) and Scenario B2 (18,590 kg/day wet stream; 28.77% WB; 3,878 kg/day evap) and confirming that industrial sizing remains provisional pending empirical Phase 1 laboratory data.</w:t>
        <w:br/>
        <w:br/>
        <w:t>3. Segregates Chemical Reagents &amp; Dosing: Separates sodium bicarbonate (INS 500(ii)), sodium carbonate (INS 500(i)), trisodium citrate (INS 331(iii)), and hydrothermal conditioning with exact solution and grain-basis dosing specifications, labeling all candidate formulations as untested Phase 2 research hypotheses.</w:t>
        <w:br/>
        <w:br/>
        <w:t>4. Confirms Commercial Baseline: Fully validates the indicative professional fee of ₹1,73,000 + applicable GST (ceiling up to ₹2,00,000 + GST), the 20–25 business day timeline, and the 40% / 40% / 20% milestone schedule.</w:t>
        <w:br/>
        <w:br/>
        <w:t>To initiate project mobilization, Harakutir is requested to review Section 18 of the proposal, confirm selection of Option 1 (Baseline ₹1.73L) or Option 2 (Multi-Lot Variation ₹2.85L), and dispatch the requisite 2.5–3.0 kg sample consignments accompanied by the enclosed Metadata Form.</w:t>
        <w:br/>
        <w:br/>
        <w:t>We thank you for the opportunity to partner on this foundational R&amp;D initiative.</w:t>
        <w:br/>
        <w:br/>
        <w:t>Sincerely,</w:t>
        <w:br/>
        <w:br/>
        <w:t>Sourish Senapati</w:t>
        <w:br/>
        <w:t>Lead Chemical &amp; Process Engineer</w:t>
        <w:br/>
        <w:t>FinnoaQ Agro-Industrial Technologies Ltd.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