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2"/>
        </w:rPr>
        <w:t>FINNOAQ AGRO-INDUSTRIAL TECHNOLOGIES LTD.</w:t>
        <w:br/>
      </w:r>
      <w:r>
        <w:rPr>
          <w:rFonts w:ascii="Calibri" w:hAnsi="Calibri"/>
          <w:b/>
          <w:color w:val="1A365D"/>
          <w:sz w:val="32"/>
        </w:rPr>
        <w:t>PHASE 1 SCOPE OF WORK &amp; TECHNICAL-COMMERCIAL PROPOSAL</w:t>
        <w:br/>
      </w:r>
      <w:r>
        <w:rPr>
          <w:rFonts w:ascii="Calibri" w:hAnsi="Calibri"/>
          <w:color w:val="2D3748"/>
          <w:sz w:val="22"/>
        </w:rPr>
        <w:t>Comparative Diagnostic R&amp;D Study of Tanzanian Imported Split Toor Dal vs. Indian Benchmark Toor Dal</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68"/>
        <w:gridCol w:w="6912"/>
      </w:tblGrid>
      <w:tr>
        <w:trPr>
          <w:cantSplit/>
        </w:trPr>
        <w:tc>
          <w:tcPr>
            <w:tcW w:type="dxa" w:w="5040"/>
            <w:tcMar>
              <w:top w:w="65" w:type="dxa"/>
              <w:bottom w:w="65" w:type="dxa"/>
              <w:left w:w="100" w:type="dxa"/>
              <w:right w:w="100" w:type="dxa"/>
            </w:tcMar>
          </w:tcPr>
          <w:p>
            <w:r>
              <w:rPr>
                <w:rFonts w:ascii="Calibri" w:hAnsi="Calibri"/>
                <w:b/>
                <w:color w:val="2D3748"/>
                <w:sz w:val="16"/>
              </w:rPr>
              <w:t>Project Reference &amp; Document Ref:</w:t>
            </w:r>
          </w:p>
        </w:tc>
        <w:tc>
          <w:tcPr>
            <w:tcW w:type="dxa" w:w="5040"/>
            <w:tcMar>
              <w:top w:w="65" w:type="dxa"/>
              <w:bottom w:w="65" w:type="dxa"/>
              <w:left w:w="100" w:type="dxa"/>
              <w:right w:w="100" w:type="dxa"/>
            </w:tcMar>
          </w:tcPr>
          <w:p>
            <w:r>
              <w:rPr>
                <w:rFonts w:ascii="Calibri" w:hAnsi="Calibri"/>
                <w:color w:val="2D3748"/>
                <w:sz w:val="16"/>
              </w:rPr>
              <w:t>FNQ-PR-2026-001 | SOW Rev V10 (Evidence-Gated Baseline)</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Client Organization:</w:t>
            </w:r>
          </w:p>
        </w:tc>
        <w:tc>
          <w:tcPr>
            <w:tcW w:type="dxa" w:w="5040"/>
            <w:shd w:fill="F7FAFC"/>
            <w:tcMar>
              <w:top w:w="65" w:type="dxa"/>
              <w:bottom w:w="65" w:type="dxa"/>
              <w:left w:w="100" w:type="dxa"/>
              <w:right w:w="100" w:type="dxa"/>
            </w:tcMar>
          </w:tcPr>
          <w:p>
            <w:r>
              <w:rPr>
                <w:rFonts w:ascii="Calibri" w:hAnsi="Calibri"/>
                <w:color w:val="2D3748"/>
                <w:sz w:val="16"/>
              </w:rPr>
              <w:t>Harakutir (53, Pathuriaghata Street, Kolkata – 700006, West Bengal, India)</w:t>
            </w:r>
          </w:p>
        </w:tc>
      </w:tr>
      <w:tr>
        <w:trPr>
          <w:cantSplit/>
        </w:trPr>
        <w:tc>
          <w:tcPr>
            <w:tcW w:type="dxa" w:w="5040"/>
            <w:tcMar>
              <w:top w:w="65" w:type="dxa"/>
              <w:bottom w:w="65" w:type="dxa"/>
              <w:left w:w="100" w:type="dxa"/>
              <w:right w:w="100" w:type="dxa"/>
            </w:tcMar>
          </w:tcPr>
          <w:p>
            <w:r>
              <w:rPr>
                <w:rFonts w:ascii="Calibri" w:hAnsi="Calibri"/>
                <w:b/>
                <w:color w:val="2D3748"/>
                <w:sz w:val="16"/>
              </w:rPr>
              <w:t>Client Project Contact &amp; Principal:</w:t>
            </w:r>
          </w:p>
        </w:tc>
        <w:tc>
          <w:tcPr>
            <w:tcW w:type="dxa" w:w="5040"/>
            <w:tcMar>
              <w:top w:w="65" w:type="dxa"/>
              <w:bottom w:w="65" w:type="dxa"/>
              <w:left w:w="100" w:type="dxa"/>
              <w:right w:w="100" w:type="dxa"/>
            </w:tcMar>
          </w:tcPr>
          <w:p>
            <w:r>
              <w:rPr>
                <w:rFonts w:ascii="Calibri" w:hAnsi="Calibri"/>
                <w:color w:val="2D3748"/>
                <w:sz w:val="16"/>
              </w:rPr>
              <w:t>Dr. Archisman Ray (CEO &amp; Director, Harakutir; Senior Research Fellow, IIT Kharagpur)</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Executing R&amp;D Contractor:</w:t>
            </w:r>
          </w:p>
        </w:tc>
        <w:tc>
          <w:tcPr>
            <w:tcW w:type="dxa" w:w="5040"/>
            <w:shd w:fill="F7FAFC"/>
            <w:tcMar>
              <w:top w:w="65" w:type="dxa"/>
              <w:bottom w:w="65" w:type="dxa"/>
              <w:left w:w="100" w:type="dxa"/>
              <w:right w:w="100" w:type="dxa"/>
            </w:tcMar>
          </w:tcPr>
          <w:p>
            <w:r>
              <w:rPr>
                <w:rFonts w:ascii="Calibri" w:hAnsi="Calibri"/>
                <w:color w:val="2D3748"/>
                <w:sz w:val="16"/>
              </w:rPr>
              <w:t>FinnoaQ Agro-Industrial Technologies Ltd.</w:t>
            </w:r>
          </w:p>
        </w:tc>
      </w:tr>
      <w:tr>
        <w:trPr>
          <w:cantSplit/>
        </w:trPr>
        <w:tc>
          <w:tcPr>
            <w:tcW w:type="dxa" w:w="5040"/>
            <w:tcMar>
              <w:top w:w="65" w:type="dxa"/>
              <w:bottom w:w="65" w:type="dxa"/>
              <w:left w:w="100" w:type="dxa"/>
              <w:right w:w="100" w:type="dxa"/>
            </w:tcMar>
          </w:tcPr>
          <w:p>
            <w:r>
              <w:rPr>
                <w:rFonts w:ascii="Calibri" w:hAnsi="Calibri"/>
                <w:b/>
                <w:color w:val="2D3748"/>
                <w:sz w:val="16"/>
              </w:rPr>
              <w:t>Lead Chemical &amp; Process Engineer:</w:t>
            </w:r>
          </w:p>
        </w:tc>
        <w:tc>
          <w:tcPr>
            <w:tcW w:type="dxa" w:w="5040"/>
            <w:tcMar>
              <w:top w:w="65" w:type="dxa"/>
              <w:bottom w:w="65" w:type="dxa"/>
              <w:left w:w="100" w:type="dxa"/>
              <w:right w:w="100" w:type="dxa"/>
            </w:tcMar>
          </w:tcPr>
          <w:p>
            <w:r>
              <w:rPr>
                <w:rFonts w:ascii="Calibri" w:hAnsi="Calibri"/>
                <w:color w:val="2D3748"/>
                <w:sz w:val="16"/>
              </w:rPr>
              <w:t>Sourish Senapati (Lead Process Engineer, FinnoaQ)</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Academic Guidance &amp; Research Advisory:</w:t>
            </w:r>
          </w:p>
        </w:tc>
        <w:tc>
          <w:tcPr>
            <w:tcW w:type="dxa" w:w="5040"/>
            <w:shd w:fill="F7FAFC"/>
            <w:tcMar>
              <w:top w:w="65" w:type="dxa"/>
              <w:bottom w:w="65" w:type="dxa"/>
              <w:left w:w="100" w:type="dxa"/>
              <w:right w:w="100" w:type="dxa"/>
            </w:tcMar>
          </w:tcPr>
          <w:p>
            <w:r>
              <w:rPr>
                <w:rFonts w:ascii="Calibri" w:hAnsi="Calibri"/>
                <w:color w:val="2D3748"/>
                <w:sz w:val="16"/>
              </w:rPr>
              <w:t>Dr. Archisman Ray (Department of Chemical Engineering, IIT Kharagpur)</w:t>
            </w:r>
          </w:p>
        </w:tc>
      </w:tr>
      <w:tr>
        <w:trPr>
          <w:cantSplit/>
        </w:trPr>
        <w:tc>
          <w:tcPr>
            <w:tcW w:type="dxa" w:w="5040"/>
            <w:tcMar>
              <w:top w:w="65" w:type="dxa"/>
              <w:bottom w:w="65" w:type="dxa"/>
              <w:left w:w="100" w:type="dxa"/>
              <w:right w:w="100" w:type="dxa"/>
            </w:tcMar>
          </w:tcPr>
          <w:p>
            <w:r>
              <w:rPr>
                <w:rFonts w:ascii="Calibri" w:hAnsi="Calibri"/>
                <w:b/>
                <w:color w:val="2D3748"/>
                <w:sz w:val="16"/>
              </w:rPr>
              <w:t>Issue Date &amp; Commercial Status:</w:t>
            </w:r>
          </w:p>
        </w:tc>
        <w:tc>
          <w:tcPr>
            <w:tcW w:type="dxa" w:w="5040"/>
            <w:tcMar>
              <w:top w:w="65" w:type="dxa"/>
              <w:bottom w:w="65" w:type="dxa"/>
              <w:left w:w="100" w:type="dxa"/>
              <w:right w:w="100" w:type="dxa"/>
            </w:tcMar>
          </w:tcPr>
          <w:p>
            <w:r>
              <w:rPr>
                <w:rFonts w:ascii="Calibri" w:hAnsi="Calibri"/>
                <w:color w:val="2D3748"/>
                <w:sz w:val="16"/>
              </w:rPr>
              <w:t>19 October 2026 | Official Proposal Issued for Client Approval &amp; Project Commissioning</w:t>
            </w:r>
          </w:p>
        </w:tc>
      </w:tr>
    </w:tbl>
    <w:p>
      <w:pPr>
        <w:spacing w:before="0" w:after="80" w:line="276" w:lineRule="auto"/>
      </w:pPr>
      <w:r>
        <w:rPr>
          <w:rFonts w:ascii="Calibri" w:hAnsi="Calibri"/>
          <w:color w:val="2D3748"/>
          <w:sz w:val="17"/>
        </w:rPr>
      </w:r>
    </w:p>
    <w:p>
      <w:pPr>
        <w:keepNext/>
        <w:spacing w:before="260" w:after="60"/>
      </w:pPr>
      <w:r>
        <w:rPr>
          <w:rFonts w:ascii="Calibri" w:hAnsi="Calibri"/>
          <w:b/>
          <w:color w:val="1A365D"/>
          <w:sz w:val="23"/>
        </w:rPr>
        <w:t>1. Executive Decision Summary</w:t>
      </w:r>
    </w:p>
    <w:p>
      <w:pPr>
        <w:spacing w:before="0" w:after="60" w:line="276" w:lineRule="auto"/>
      </w:pPr>
      <w:r>
        <w:rPr>
          <w:rFonts w:ascii="Calibri" w:hAnsi="Calibri"/>
          <w:color w:val="2D3748"/>
          <w:sz w:val="17"/>
        </w:rPr>
        <w:t>This technical-commercial proposal is submitted by FinnoaQ Agro-Industrial Technologies Ltd. ('FinnoaQ') to Harakutir ('Client') to initiate a structured, evidence-gated Phase 1 Comparative Diagnostic R&amp;D Study. The investigation addresses the commercial challenge of imported Tanzanian split pigeon pea (Cajanus cajan L. Millsp., 'toor dal'), which reportedly exhibits substantial cooking delay compared to domestic Indian benchmark dal under household preparation conditions.</w:t>
      </w:r>
    </w:p>
    <w:p>
      <w:pPr>
        <w:spacing w:before="0" w:after="60" w:line="276" w:lineRule="auto"/>
      </w:pPr>
      <w:r>
        <w:rPr>
          <w:rFonts w:ascii="Calibri" w:hAnsi="Calibri"/>
          <w:color w:val="2D3748"/>
          <w:sz w:val="17"/>
        </w:rPr>
        <w:t>The objective of Phase 1 is not to guarantee an immediate cooking-time reduction or to commercialize an unverified chemical treatment. Rather, Phase 1 establishes a rigorous, standardized scientific baseline to replace uncontrolled domestic observations with instrumented physical, chemical, microstructural, thermal, hydration, and cooking measurements. By systematically discriminating across ten competing hypotheses, Phase 1 isolates the primary rate-limiting barriers to softening and provides an objective technical foundation for subsequent Phase 2 formulation and process development.</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68"/>
        <w:gridCol w:w="6912"/>
      </w:tblGrid>
      <w:tr>
        <w:trPr>
          <w:cantSplit/>
        </w:trPr>
        <w:tc>
          <w:tcPr>
            <w:tcW w:type="dxa" w:w="5040"/>
            <w:tcMar>
              <w:top w:w="65" w:type="dxa"/>
              <w:bottom w:w="65" w:type="dxa"/>
              <w:left w:w="100" w:type="dxa"/>
              <w:right w:w="100" w:type="dxa"/>
            </w:tcMar>
          </w:tcPr>
          <w:p>
            <w:r>
              <w:rPr>
                <w:rFonts w:ascii="Calibri" w:hAnsi="Calibri"/>
                <w:b/>
                <w:color w:val="2D3748"/>
                <w:sz w:val="16"/>
              </w:rPr>
              <w:t>Core Research Problem</w:t>
            </w:r>
          </w:p>
        </w:tc>
        <w:tc>
          <w:tcPr>
            <w:tcW w:type="dxa" w:w="5040"/>
            <w:tcMar>
              <w:top w:w="65" w:type="dxa"/>
              <w:bottom w:w="65" w:type="dxa"/>
              <w:left w:w="100" w:type="dxa"/>
              <w:right w:w="100" w:type="dxa"/>
            </w:tcMar>
          </w:tcPr>
          <w:p>
            <w:r>
              <w:rPr>
                <w:rFonts w:ascii="Calibri" w:hAnsi="Calibri"/>
                <w:color w:val="2D3748"/>
                <w:sz w:val="16"/>
              </w:rPr>
              <w:t>Tanzanian imported toor dal exhibits prolonged cooking latency (~6 household whistles vs ~3 whistles for Indian benchmark).</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Phase 1 Scientific Objective</w:t>
            </w:r>
          </w:p>
        </w:tc>
        <w:tc>
          <w:tcPr>
            <w:tcW w:type="dxa" w:w="5040"/>
            <w:shd w:fill="F7FAFC"/>
            <w:tcMar>
              <w:top w:w="65" w:type="dxa"/>
              <w:bottom w:w="65" w:type="dxa"/>
              <w:left w:w="100" w:type="dxa"/>
              <w:right w:w="100" w:type="dxa"/>
            </w:tcMar>
          </w:tcPr>
          <w:p>
            <w:r>
              <w:rPr>
                <w:rFonts w:ascii="Calibri" w:hAnsi="Calibri"/>
                <w:color w:val="2D3748"/>
                <w:sz w:val="16"/>
              </w:rPr>
              <w:t>Standardized diagnostic comparison across 9 analytical modules to isolate rate-limiting mechanisms and discriminate 10 hypotheses.</w:t>
            </w:r>
          </w:p>
        </w:tc>
      </w:tr>
      <w:tr>
        <w:trPr>
          <w:cantSplit/>
        </w:trPr>
        <w:tc>
          <w:tcPr>
            <w:tcW w:type="dxa" w:w="5040"/>
            <w:tcMar>
              <w:top w:w="65" w:type="dxa"/>
              <w:bottom w:w="65" w:type="dxa"/>
              <w:left w:w="100" w:type="dxa"/>
              <w:right w:w="100" w:type="dxa"/>
            </w:tcMar>
          </w:tcPr>
          <w:p>
            <w:r>
              <w:rPr>
                <w:rFonts w:ascii="Calibri" w:hAnsi="Calibri"/>
                <w:b/>
                <w:color w:val="2D3748"/>
                <w:sz w:val="16"/>
              </w:rPr>
              <w:t>Proposed Professional Fee</w:t>
            </w:r>
          </w:p>
        </w:tc>
        <w:tc>
          <w:tcPr>
            <w:tcW w:type="dxa" w:w="5040"/>
            <w:tcMar>
              <w:top w:w="65" w:type="dxa"/>
              <w:bottom w:w="65" w:type="dxa"/>
              <w:left w:w="100" w:type="dxa"/>
              <w:right w:w="100" w:type="dxa"/>
            </w:tcMar>
          </w:tcPr>
          <w:p>
            <w:r>
              <w:rPr>
                <w:rFonts w:ascii="Calibri" w:hAnsi="Calibri"/>
                <w:color w:val="2D3748"/>
                <w:sz w:val="16"/>
              </w:rPr>
              <w:t>₹1,73,000 plus applicable GST (fixed-price diagnostic scope; commercial ceiling up to ₹2,00,000 + GST).</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Indicative Turnaround</w:t>
            </w:r>
          </w:p>
        </w:tc>
        <w:tc>
          <w:tcPr>
            <w:tcW w:type="dxa" w:w="5040"/>
            <w:shd w:fill="F7FAFC"/>
            <w:tcMar>
              <w:top w:w="65" w:type="dxa"/>
              <w:bottom w:w="65" w:type="dxa"/>
              <w:left w:w="100" w:type="dxa"/>
              <w:right w:w="100" w:type="dxa"/>
            </w:tcMar>
          </w:tcPr>
          <w:p>
            <w:r>
              <w:rPr>
                <w:rFonts w:ascii="Calibri" w:hAnsi="Calibri"/>
                <w:color w:val="2D3748"/>
                <w:sz w:val="16"/>
              </w:rPr>
              <w:t>20–25 business days across 5 structured operational stages upon sample receipt and project mobilization.</w:t>
            </w:r>
          </w:p>
        </w:tc>
      </w:tr>
      <w:tr>
        <w:trPr>
          <w:cantSplit/>
        </w:trPr>
        <w:tc>
          <w:tcPr>
            <w:tcW w:type="dxa" w:w="5040"/>
            <w:tcMar>
              <w:top w:w="65" w:type="dxa"/>
              <w:bottom w:w="65" w:type="dxa"/>
              <w:left w:w="100" w:type="dxa"/>
              <w:right w:w="100" w:type="dxa"/>
            </w:tcMar>
          </w:tcPr>
          <w:p>
            <w:r>
              <w:rPr>
                <w:rFonts w:ascii="Calibri" w:hAnsi="Calibri"/>
                <w:b/>
                <w:color w:val="2D3748"/>
                <w:sz w:val="16"/>
              </w:rPr>
              <w:t>Key Deliverables</w:t>
            </w:r>
          </w:p>
        </w:tc>
        <w:tc>
          <w:tcPr>
            <w:tcW w:type="dxa" w:w="5040"/>
            <w:tcMar>
              <w:top w:w="65" w:type="dxa"/>
              <w:bottom w:w="65" w:type="dxa"/>
              <w:left w:w="100" w:type="dxa"/>
              <w:right w:w="100" w:type="dxa"/>
            </w:tcMar>
          </w:tcPr>
          <w:p>
            <w:r>
              <w:rPr>
                <w:rFonts w:ascii="Calibri" w:hAnsi="Calibri"/>
                <w:color w:val="2D3748"/>
                <w:sz w:val="16"/>
              </w:rPr>
              <w:t>14 discrete deliverables including 9 analytical reports, benchmark matrix, root-cause assessment, and Phase 2 roadmap.</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Action Requested from Client</w:t>
            </w:r>
          </w:p>
        </w:tc>
        <w:tc>
          <w:tcPr>
            <w:tcW w:type="dxa" w:w="5040"/>
            <w:shd w:fill="F7FAFC"/>
            <w:tcMar>
              <w:top w:w="65" w:type="dxa"/>
              <w:bottom w:w="65" w:type="dxa"/>
              <w:left w:w="100" w:type="dxa"/>
              <w:right w:w="100" w:type="dxa"/>
            </w:tcMar>
          </w:tcPr>
          <w:p>
            <w:r>
              <w:rPr>
                <w:rFonts w:ascii="Calibri" w:hAnsi="Calibri"/>
                <w:color w:val="2D3748"/>
                <w:sz w:val="16"/>
              </w:rPr>
              <w:t>Approve Phase 1 Scope of Work (Option 1 baseline or Option 2 multi-lot), authorize Milestone 1 advance (₹69,200 + GST), and dispatch sample lots.</w:t>
            </w:r>
          </w:p>
        </w:tc>
      </w:tr>
    </w:tbl>
    <w:tbl>
      <w:tblPr>
        <w:tblW w:type="auto" w:w="0"/>
        <w:jc w:val="center"/>
        <w:tblLayout w:type="fixed"/>
        <w:tblLook w:firstColumn="1" w:firstRow="1" w:lastColumn="0" w:lastRow="0" w:noHBand="0" w:noVBand="1" w:val="04A0"/>
      </w:tblPr>
      <w:tblGrid>
        <w:gridCol w:w="10080"/>
      </w:tblGrid>
      <w:tr>
        <w:tc>
          <w:tcPr>
            <w:tcW w:type="dxa" w:w="10080"/>
            <w:shd w:fill="EDF2F7"/>
            <w:tcMar>
              <w:top w:w="90" w:type="dxa"/>
              <w:bottom w:w="90" w:type="dxa"/>
              <w:left w:w="150" w:type="dxa"/>
              <w:right w:w="120" w:type="dxa"/>
            </w:tcMar>
            <w:tcBorders>
              <w:left w:val="single" w:sz="24" w:space="0" w:color="3182CE"/>
              <w:top w:val="none"/>
              <w:right w:val="none"/>
              <w:bottom w:val="none"/>
            </w:tcBorders>
          </w:tcPr>
          <w:p>
            <w:pPr>
              <w:spacing w:before="0" w:after="40"/>
            </w:pPr>
            <w:r>
              <w:rPr>
                <w:rFonts w:ascii="Calibri" w:hAnsi="Calibri"/>
                <w:b/>
                <w:color w:val="1A365D"/>
                <w:sz w:val="16"/>
              </w:rPr>
              <w:t>[MANDATORY SCOPE BOUNDARY &amp; SCIENTIFIC PRINCIPLE]</w:t>
              <w:br/>
            </w:r>
            <w:r>
              <w:rPr>
                <w:rFonts w:ascii="Calibri" w:hAnsi="Calibri"/>
                <w:i/>
                <w:color w:val="2D3748"/>
                <w:sz w:val="16"/>
              </w:rPr>
              <w:t>Phase 1 is strictly a diagnostic R&amp;D investigation. It does not promise, warrant, or guarantee a final fast-cooking commercial product, an optimized chemical treatment, or a construction-ready industrial facility. Phase 1 provides the empirical ground truth required to make defensible commercial and engineering decisions. All treatment development (Phase 2), pilot production (Phase 3), and commercial plant FEED (Phase 4) are separately scoped, budgeted, and approved future stages.</w:t>
            </w:r>
          </w:p>
        </w:tc>
      </w:tr>
    </w:tbl>
    <w:p>
      <w:pPr>
        <w:keepNext/>
        <w:spacing w:before="260" w:after="60"/>
      </w:pPr>
      <w:r>
        <w:rPr>
          <w:rFonts w:ascii="Calibri" w:hAnsi="Calibri"/>
          <w:b/>
          <w:color w:val="1A365D"/>
          <w:sz w:val="23"/>
        </w:rPr>
        <w:t>2. Problem Background &amp; Commercial Context</w:t>
      </w:r>
    </w:p>
    <w:p>
      <w:pPr>
        <w:spacing w:before="0" w:after="60" w:line="276" w:lineRule="auto"/>
      </w:pPr>
      <w:r>
        <w:rPr>
          <w:rFonts w:ascii="Calibri" w:hAnsi="Calibri"/>
          <w:color w:val="2D3748"/>
          <w:sz w:val="17"/>
        </w:rPr>
        <w:t>Imported pulses represent a critical raw material buffer for the Indian milling, processing, and retail industry. Tanzanian split pigeon pea offers significant logistical and raw material cost advantages. However, commercial millers, distributors, and consumers frequently report substantial cooking resistance in Tanzanian dal compared to traditional Indian benchmarks (such as Maharashtra Latur or Karnataka Gulbarga varieties). In domestic pressure-cooking observations, Tanzanian dal is reported to require approximately six whistles to achieve acceptable palatability, whereas Indian benchmark dal reaches softness in approximately three whistles.</w:t>
      </w:r>
    </w:p>
    <w:p>
      <w:pPr>
        <w:spacing w:before="0" w:after="60" w:line="276" w:lineRule="auto"/>
      </w:pPr>
      <w:r>
        <w:rPr>
          <w:rFonts w:ascii="Calibri" w:hAnsi="Calibri"/>
          <w:color w:val="2D3748"/>
          <w:sz w:val="17"/>
        </w:rPr>
        <w:t>Crucial Scientific Qualification on Whistle Count: In domestic cookers, a 'whistle' is a periodic pressure-relief event governed by steam generation rate, cooker volume, deadweight mass, stove heat flux, water-to-grain ratio, and venturi geometry. It is an uncalibrated, non-linear proxy that conflates heat transfer with intrinsic grain softening kinetics. While serving as valid commercial context, whistle count cannot serve as an engineering endpoint. Phase 1 replaces qualitative whistling with instrumented time-temperature-pressure logging and objective texture analyzer load-cell shear/compression measurements.</w:t>
      </w:r>
    </w:p>
    <w:p>
      <w:pPr>
        <w:keepNext/>
        <w:spacing w:before="260" w:after="60"/>
      </w:pPr>
      <w:r>
        <w:rPr>
          <w:rFonts w:ascii="Calibri" w:hAnsi="Calibri"/>
          <w:b/>
          <w:color w:val="1A365D"/>
          <w:sz w:val="23"/>
        </w:rPr>
        <w:t>3. Diagnostic Objectives &amp; Success Definition</w:t>
      </w:r>
    </w:p>
    <w:p>
      <w:pPr>
        <w:spacing w:before="0" w:after="60" w:line="276" w:lineRule="auto"/>
      </w:pPr>
      <w:r>
        <w:rPr>
          <w:rFonts w:ascii="Calibri" w:hAnsi="Calibri"/>
          <w:color w:val="2D3748"/>
          <w:sz w:val="17"/>
        </w:rPr>
        <w:t>The Phase 1 R&amp;D study is designed to achieve the following specific technical milestones:</w:t>
      </w:r>
    </w:p>
    <w:p>
      <w:pPr>
        <w:spacing w:before="0" w:after="60" w:line="276" w:lineRule="auto"/>
      </w:pPr>
      <w:r>
        <w:rPr>
          <w:rFonts w:ascii="Calibri" w:hAnsi="Calibri"/>
          <w:b/>
          <w:color w:val="1A365D"/>
          <w:sz w:val="17"/>
        </w:rPr>
        <w:t xml:space="preserve">1. </w:t>
      </w:r>
      <w:r>
        <w:rPr>
          <w:rFonts w:ascii="Calibri" w:hAnsi="Calibri"/>
          <w:color w:val="2D3748"/>
          <w:sz w:val="17"/>
        </w:rPr>
        <w:t>• Standardized Comparative Profiling: Quantify physical geometry, proximate composition, starch pasting/gelatinization, hydration kinetics, microstructural integrity, pectin solubility, and mineral interactions for Tanzanian dal versus Indian benchmark.</w:t>
      </w:r>
    </w:p>
    <w:p>
      <w:pPr>
        <w:spacing w:before="0" w:after="60" w:line="276" w:lineRule="auto"/>
      </w:pPr>
      <w:r>
        <w:rPr>
          <w:rFonts w:ascii="Calibri" w:hAnsi="Calibri"/>
          <w:b/>
          <w:color w:val="1A365D"/>
          <w:sz w:val="17"/>
        </w:rPr>
        <w:t xml:space="preserve">2. </w:t>
      </w:r>
      <w:r>
        <w:rPr>
          <w:rFonts w:ascii="Calibri" w:hAnsi="Calibri"/>
          <w:color w:val="2D3748"/>
          <w:sz w:val="17"/>
        </w:rPr>
        <w:t>• Objective Cooking Protocol: Establish a reproducible, instrumented cooking protocol utilizing a calibrated compression/shear endpoint to measure exact softening kinetics and hard-core persistence rates.</w:t>
      </w:r>
    </w:p>
    <w:p>
      <w:pPr>
        <w:spacing w:before="0" w:after="60" w:line="276" w:lineRule="auto"/>
      </w:pPr>
      <w:r>
        <w:rPr>
          <w:rFonts w:ascii="Calibri" w:hAnsi="Calibri"/>
          <w:b/>
          <w:color w:val="1A365D"/>
          <w:sz w:val="17"/>
        </w:rPr>
        <w:t xml:space="preserve">3. </w:t>
      </w:r>
      <w:r>
        <w:rPr>
          <w:rFonts w:ascii="Calibri" w:hAnsi="Calibri"/>
          <w:color w:val="2D3748"/>
          <w:sz w:val="17"/>
        </w:rPr>
        <w:t>• Hypothesis Discrimination: Systematically test ten competing scientific hypotheses to isolate primary rate-limiting mechanisms from secondary statistical associations.</w:t>
      </w:r>
    </w:p>
    <w:p>
      <w:pPr>
        <w:spacing w:before="0" w:after="60" w:line="276" w:lineRule="auto"/>
      </w:pPr>
      <w:r>
        <w:rPr>
          <w:rFonts w:ascii="Calibri" w:hAnsi="Calibri"/>
          <w:b/>
          <w:color w:val="1A365D"/>
          <w:sz w:val="17"/>
        </w:rPr>
        <w:t xml:space="preserve">4. </w:t>
      </w:r>
      <w:r>
        <w:rPr>
          <w:rFonts w:ascii="Calibri" w:hAnsi="Calibri"/>
          <w:color w:val="2D3748"/>
          <w:sz w:val="17"/>
        </w:rPr>
        <w:t>• Commercial Gatekeeping: Deliver an auditable technical foundation and prioritized roadmap for Phase 2 treatment trials, protecting the client against premature capital investment in unproven processing technologies.</w:t>
      </w:r>
    </w:p>
    <w:p>
      <w:pPr>
        <w:spacing w:before="0" w:after="60" w:line="276" w:lineRule="auto"/>
      </w:pPr>
      <w:r>
        <w:rPr>
          <w:rFonts w:ascii="Calibri" w:hAnsi="Calibri"/>
          <w:color w:val="2D3748"/>
          <w:sz w:val="17"/>
        </w:rPr>
        <w:t>Scientific Definition of Success: Under Section 33 of the source SOW, success in Phase 1 is defined by the quality, reproducibility, and defensibility of the diagnostic evidence. Phase 1 is successful when it delivers definitive comparative data, quantified measurement uncertainty, and prioritized root causes—regardless of whether the Tanzanian dal demonstrates fast cooking in its unconditioned state.</w:t>
      </w:r>
    </w:p>
    <w:p>
      <w:pPr>
        <w:keepNext/>
        <w:spacing w:before="260" w:after="60"/>
      </w:pPr>
      <w:r>
        <w:rPr>
          <w:rFonts w:ascii="Calibri" w:hAnsi="Calibri"/>
          <w:b/>
          <w:color w:val="1A365D"/>
          <w:sz w:val="23"/>
        </w:rPr>
        <w:t>4. Phase Architecture &amp; Scope Boundaries</w:t>
      </w:r>
    </w:p>
    <w:p>
      <w:pPr>
        <w:spacing w:before="0" w:after="60" w:line="276" w:lineRule="auto"/>
      </w:pPr>
      <w:r>
        <w:rPr>
          <w:rFonts w:ascii="Calibri" w:hAnsi="Calibri"/>
          <w:color w:val="2D3748"/>
          <w:sz w:val="17"/>
        </w:rPr>
        <w:t>To protect project governance and ensure commercial clarity, the overall technology roadmap is structured into four distinct, sequentially gated phases. Only Phase 1 is offered for commissioning under this proposal.</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2592"/>
        <w:gridCol w:w="3600"/>
        <w:gridCol w:w="2592"/>
      </w:tblGrid>
      <w:tr>
        <w:trPr>
          <w:tblHeader/>
          <w:cantSplit/>
        </w:trPr>
        <w:tc>
          <w:tcPr>
            <w:tcW w:type="dxa" w:w="2520"/>
            <w:shd w:fill="1A365D"/>
            <w:tcMar>
              <w:top w:w="100" w:type="dxa"/>
              <w:bottom w:w="100" w:type="dxa"/>
              <w:left w:w="100" w:type="dxa"/>
              <w:right w:w="100" w:type="dxa"/>
            </w:tcMar>
          </w:tcPr>
          <w:p>
            <w:pPr>
              <w:jc w:val="left"/>
            </w:pPr>
            <w:r>
              <w:t>Phase</w:t>
            </w:r>
          </w:p>
        </w:tc>
        <w:tc>
          <w:tcPr>
            <w:tcW w:type="dxa" w:w="2520"/>
            <w:shd w:fill="1A365D"/>
            <w:tcMar>
              <w:top w:w="100" w:type="dxa"/>
              <w:bottom w:w="100" w:type="dxa"/>
              <w:left w:w="100" w:type="dxa"/>
              <w:right w:w="100" w:type="dxa"/>
            </w:tcMar>
          </w:tcPr>
          <w:p>
            <w:pPr>
              <w:jc w:val="left"/>
            </w:pPr>
            <w:r>
              <w:t>Designation &amp; Scope</w:t>
            </w:r>
          </w:p>
        </w:tc>
        <w:tc>
          <w:tcPr>
            <w:tcW w:type="dxa" w:w="2520"/>
            <w:shd w:fill="1A365D"/>
            <w:tcMar>
              <w:top w:w="100" w:type="dxa"/>
              <w:bottom w:w="100" w:type="dxa"/>
              <w:left w:w="100" w:type="dxa"/>
              <w:right w:w="100" w:type="dxa"/>
            </w:tcMar>
          </w:tcPr>
          <w:p>
            <w:pPr>
              <w:jc w:val="left"/>
            </w:pPr>
            <w:r>
              <w:t>Core Technical Deliverables</w:t>
            </w:r>
          </w:p>
        </w:tc>
        <w:tc>
          <w:tcPr>
            <w:tcW w:type="dxa" w:w="2520"/>
            <w:shd w:fill="1A365D"/>
            <w:tcMar>
              <w:top w:w="100" w:type="dxa"/>
              <w:bottom w:w="100" w:type="dxa"/>
              <w:left w:w="100" w:type="dxa"/>
              <w:right w:w="100" w:type="dxa"/>
            </w:tcMar>
          </w:tcPr>
          <w:p>
            <w:pPr>
              <w:jc w:val="left"/>
            </w:pPr>
            <w:r>
              <w:t>Commercial Status</w:t>
            </w:r>
          </w:p>
        </w:tc>
      </w:tr>
      <w:tr>
        <w:trPr>
          <w:cantSplit/>
        </w:trPr>
        <w:tc>
          <w:tcPr>
            <w:tcW w:type="dxa" w:w="2520"/>
            <w:tcMar>
              <w:top w:w="65" w:type="dxa"/>
              <w:bottom w:w="65" w:type="dxa"/>
              <w:left w:w="100" w:type="dxa"/>
              <w:right w:w="100" w:type="dxa"/>
            </w:tcMar>
          </w:tcPr>
          <w:p>
            <w:r>
              <w:rPr>
                <w:rFonts w:ascii="Calibri" w:hAnsi="Calibri"/>
                <w:b/>
                <w:color w:val="2D3748"/>
                <w:sz w:val="15"/>
              </w:rPr>
              <w:t>Phase 1</w:t>
            </w:r>
          </w:p>
        </w:tc>
        <w:tc>
          <w:tcPr>
            <w:tcW w:type="dxa" w:w="2520"/>
            <w:tcMar>
              <w:top w:w="65" w:type="dxa"/>
              <w:bottom w:w="65" w:type="dxa"/>
              <w:left w:w="100" w:type="dxa"/>
              <w:right w:w="100" w:type="dxa"/>
            </w:tcMar>
          </w:tcPr>
          <w:p>
            <w:r>
              <w:rPr>
                <w:rFonts w:ascii="Calibri" w:hAnsi="Calibri"/>
                <w:color w:val="2D3748"/>
                <w:sz w:val="15"/>
              </w:rPr>
              <w:t>Comparative Diagnostic R&amp;D Study</w:t>
            </w:r>
          </w:p>
        </w:tc>
        <w:tc>
          <w:tcPr>
            <w:tcW w:type="dxa" w:w="2520"/>
            <w:tcMar>
              <w:top w:w="65" w:type="dxa"/>
              <w:bottom w:w="65" w:type="dxa"/>
              <w:left w:w="100" w:type="dxa"/>
              <w:right w:w="100" w:type="dxa"/>
            </w:tcMar>
          </w:tcPr>
          <w:p>
            <w:r>
              <w:rPr>
                <w:rFonts w:ascii="Calibri" w:hAnsi="Calibri"/>
                <w:color w:val="2D3748"/>
                <w:sz w:val="15"/>
              </w:rPr>
              <w:t>Standardized baseline comparison, 9 analytical modules, objective cooking protocol, 10-hypothesis discrimination, Phase 2 roadmap.</w:t>
            </w:r>
          </w:p>
        </w:tc>
        <w:tc>
          <w:tcPr>
            <w:tcW w:type="dxa" w:w="2520"/>
            <w:tcMar>
              <w:top w:w="65" w:type="dxa"/>
              <w:bottom w:w="65" w:type="dxa"/>
              <w:left w:w="100" w:type="dxa"/>
              <w:right w:w="100" w:type="dxa"/>
            </w:tcMar>
          </w:tcPr>
          <w:p>
            <w:r>
              <w:rPr>
                <w:rFonts w:ascii="Calibri" w:hAnsi="Calibri"/>
                <w:color w:val="2D3748"/>
                <w:sz w:val="15"/>
              </w:rPr>
              <w:t>CURRENT OFFERING (₹1,73,000 + GST; 20–25 Days)</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Phase 2</w:t>
            </w:r>
          </w:p>
        </w:tc>
        <w:tc>
          <w:tcPr>
            <w:tcW w:type="dxa" w:w="2520"/>
            <w:shd w:fill="F7FAFC"/>
            <w:tcMar>
              <w:top w:w="65" w:type="dxa"/>
              <w:bottom w:w="65" w:type="dxa"/>
              <w:left w:w="100" w:type="dxa"/>
              <w:right w:w="100" w:type="dxa"/>
            </w:tcMar>
          </w:tcPr>
          <w:p>
            <w:r>
              <w:rPr>
                <w:rFonts w:ascii="Calibri" w:hAnsi="Calibri"/>
                <w:color w:val="2D3748"/>
                <w:sz w:val="15"/>
              </w:rPr>
              <w:t>Treatment Development &amp; Mechanistic Validation</w:t>
            </w:r>
          </w:p>
        </w:tc>
        <w:tc>
          <w:tcPr>
            <w:tcW w:type="dxa" w:w="2520"/>
            <w:shd w:fill="F7FAFC"/>
            <w:tcMar>
              <w:top w:w="65" w:type="dxa"/>
              <w:bottom w:w="65" w:type="dxa"/>
              <w:left w:w="100" w:type="dxa"/>
              <w:right w:w="100" w:type="dxa"/>
            </w:tcMar>
          </w:tcPr>
          <w:p>
            <w:r>
              <w:rPr>
                <w:rFonts w:ascii="Calibri" w:hAnsi="Calibri"/>
                <w:color w:val="2D3748"/>
                <w:sz w:val="15"/>
              </w:rPr>
              <w:t>Bench-scale screening of conditioning formulations (bicarbonate, citrate, hydrothermal), dose-response, pH, washing, drying, storage stability.</w:t>
            </w:r>
          </w:p>
        </w:tc>
        <w:tc>
          <w:tcPr>
            <w:tcW w:type="dxa" w:w="2520"/>
            <w:shd w:fill="F7FAFC"/>
            <w:tcMar>
              <w:top w:w="65" w:type="dxa"/>
              <w:bottom w:w="65" w:type="dxa"/>
              <w:left w:w="100" w:type="dxa"/>
              <w:right w:w="100" w:type="dxa"/>
            </w:tcMar>
          </w:tcPr>
          <w:p>
            <w:r>
              <w:rPr>
                <w:rFonts w:ascii="Calibri" w:hAnsi="Calibri"/>
                <w:color w:val="2D3748"/>
                <w:sz w:val="15"/>
              </w:rPr>
              <w:t>Gated Future Scope (Budget defined post-Phase 1)</w:t>
            </w:r>
          </w:p>
        </w:tc>
      </w:tr>
      <w:tr>
        <w:trPr>
          <w:cantSplit/>
        </w:trPr>
        <w:tc>
          <w:tcPr>
            <w:tcW w:type="dxa" w:w="2520"/>
            <w:tcMar>
              <w:top w:w="65" w:type="dxa"/>
              <w:bottom w:w="65" w:type="dxa"/>
              <w:left w:w="100" w:type="dxa"/>
              <w:right w:w="100" w:type="dxa"/>
            </w:tcMar>
          </w:tcPr>
          <w:p>
            <w:r>
              <w:rPr>
                <w:rFonts w:ascii="Calibri" w:hAnsi="Calibri"/>
                <w:b/>
                <w:color w:val="2D3748"/>
                <w:sz w:val="15"/>
              </w:rPr>
              <w:t>Phase 3</w:t>
            </w:r>
          </w:p>
        </w:tc>
        <w:tc>
          <w:tcPr>
            <w:tcW w:type="dxa" w:w="2520"/>
            <w:tcMar>
              <w:top w:w="65" w:type="dxa"/>
              <w:bottom w:w="65" w:type="dxa"/>
              <w:left w:w="100" w:type="dxa"/>
              <w:right w:w="100" w:type="dxa"/>
            </w:tcMar>
          </w:tcPr>
          <w:p>
            <w:r>
              <w:rPr>
                <w:rFonts w:ascii="Calibri" w:hAnsi="Calibri"/>
                <w:color w:val="2D3748"/>
                <w:sz w:val="15"/>
              </w:rPr>
              <w:t>Pilot Scale-Up &amp; Shelf-Life Verification</w:t>
            </w:r>
          </w:p>
        </w:tc>
        <w:tc>
          <w:tcPr>
            <w:tcW w:type="dxa" w:w="2520"/>
            <w:tcMar>
              <w:top w:w="65" w:type="dxa"/>
              <w:bottom w:w="65" w:type="dxa"/>
              <w:left w:w="100" w:type="dxa"/>
              <w:right w:w="100" w:type="dxa"/>
            </w:tcMar>
          </w:tcPr>
          <w:p>
            <w:r>
              <w:rPr>
                <w:rFonts w:ascii="Calibri" w:hAnsi="Calibri"/>
                <w:color w:val="2D3748"/>
                <w:sz w:val="15"/>
              </w:rPr>
              <w:t>Continuous pilot trials, empirical effluent load, microbial hold-time validation, packaging qualification, commercial shelf-life testing.</w:t>
            </w:r>
          </w:p>
        </w:tc>
        <w:tc>
          <w:tcPr>
            <w:tcW w:type="dxa" w:w="2520"/>
            <w:tcMar>
              <w:top w:w="65" w:type="dxa"/>
              <w:bottom w:w="65" w:type="dxa"/>
              <w:left w:w="100" w:type="dxa"/>
              <w:right w:w="100" w:type="dxa"/>
            </w:tcMar>
          </w:tcPr>
          <w:p>
            <w:r>
              <w:rPr>
                <w:rFonts w:ascii="Calibri" w:hAnsi="Calibri"/>
                <w:color w:val="2D3748"/>
                <w:sz w:val="15"/>
              </w:rPr>
              <w:t>Gated Future Milestone (Contingent on Phase 2)</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Phase 4</w:t>
            </w:r>
          </w:p>
        </w:tc>
        <w:tc>
          <w:tcPr>
            <w:tcW w:type="dxa" w:w="2520"/>
            <w:shd w:fill="F7FAFC"/>
            <w:tcMar>
              <w:top w:w="65" w:type="dxa"/>
              <w:bottom w:w="65" w:type="dxa"/>
              <w:left w:w="100" w:type="dxa"/>
              <w:right w:w="100" w:type="dxa"/>
            </w:tcMar>
          </w:tcPr>
          <w:p>
            <w:r>
              <w:rPr>
                <w:rFonts w:ascii="Calibri" w:hAnsi="Calibri"/>
                <w:color w:val="2D3748"/>
                <w:sz w:val="15"/>
              </w:rPr>
              <w:t>15,000 kg/day Plant Design &amp; Execution</w:t>
            </w:r>
          </w:p>
        </w:tc>
        <w:tc>
          <w:tcPr>
            <w:tcW w:type="dxa" w:w="2520"/>
            <w:shd w:fill="F7FAFC"/>
            <w:tcMar>
              <w:top w:w="65" w:type="dxa"/>
              <w:bottom w:w="65" w:type="dxa"/>
              <w:left w:w="100" w:type="dxa"/>
              <w:right w:w="100" w:type="dxa"/>
            </w:tcMar>
          </w:tcPr>
          <w:p>
            <w:r>
              <w:rPr>
                <w:rFonts w:ascii="Calibri" w:hAnsi="Calibri"/>
                <w:color w:val="2D3748"/>
                <w:sz w:val="15"/>
              </w:rPr>
              <w:t>Detailed FEED package, frozen PFD/P&amp;IDs, equipment specifications, civil/structural layouts, procurement support, plant commissioning.</w:t>
            </w:r>
          </w:p>
        </w:tc>
        <w:tc>
          <w:tcPr>
            <w:tcW w:type="dxa" w:w="2520"/>
            <w:shd w:fill="F7FAFC"/>
            <w:tcMar>
              <w:top w:w="65" w:type="dxa"/>
              <w:bottom w:w="65" w:type="dxa"/>
              <w:left w:w="100" w:type="dxa"/>
              <w:right w:w="100" w:type="dxa"/>
            </w:tcMar>
          </w:tcPr>
          <w:p>
            <w:r>
              <w:rPr>
                <w:rFonts w:ascii="Calibri" w:hAnsi="Calibri"/>
                <w:color w:val="2D3748"/>
                <w:sz w:val="15"/>
              </w:rPr>
              <w:t>Long-Term Investment (Provisional conceptual annexure)</w:t>
            </w:r>
          </w:p>
        </w:tc>
      </w:tr>
    </w:tbl>
    <w:p>
      <w:pPr>
        <w:spacing w:before="0" w:after="60" w:line="276" w:lineRule="auto"/>
      </w:pPr>
      <w:r>
        <w:rPr>
          <w:rFonts w:ascii="Calibri" w:hAnsi="Calibri"/>
          <w:color w:val="2D3748"/>
          <w:sz w:val="17"/>
        </w:rPr>
        <w:t>Explicit Exclusions from Phase 1 Scope: Unless approved via written change order, Phase 1 strictly excludes: (1) Formulating, optimizing, or validating commercial chemical treatments; (2) Conducting pilot-scale processing or machinery fabrication; (3) Guaranteeing finished cooking-time reduction; (4) Packaging or multi-month shelf-life stability trials; (5) Issuing construction-ready drawings or detailed FEED for the 15 MT/day facility; (6) Filing regulatory or FSSAI product clearance applications.</w:t>
      </w:r>
    </w:p>
    <w:p>
      <w:pPr>
        <w:keepNext/>
        <w:spacing w:before="260" w:after="60"/>
      </w:pPr>
      <w:r>
        <w:rPr>
          <w:rFonts w:ascii="Calibri" w:hAnsi="Calibri"/>
          <w:b/>
          <w:color w:val="1A365D"/>
          <w:sz w:val="23"/>
        </w:rPr>
        <w:t>5. Overall Technical Approach &amp; Work Packages</w:t>
      </w:r>
    </w:p>
    <w:p>
      <w:pPr>
        <w:spacing w:before="0" w:after="60" w:line="276" w:lineRule="auto"/>
      </w:pPr>
      <w:r>
        <w:rPr>
          <w:rFonts w:ascii="Calibri" w:hAnsi="Calibri"/>
          <w:color w:val="2D3748"/>
          <w:sz w:val="17"/>
        </w:rPr>
        <w:t>The Phase 1 investigation is executed through five inter-dependent Work Packages (WPs) structured to move logically from raw material verification to advanced root-cause synthesis: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84"/>
        <w:gridCol w:w="3168"/>
        <w:gridCol w:w="5328"/>
      </w:tblGrid>
      <w:tr>
        <w:trPr>
          <w:tblHeader/>
          <w:cantSplit/>
        </w:trPr>
        <w:tc>
          <w:tcPr>
            <w:tcW w:type="dxa" w:w="3360"/>
            <w:shd w:fill="1A365D"/>
            <w:tcMar>
              <w:top w:w="100" w:type="dxa"/>
              <w:bottom w:w="100" w:type="dxa"/>
              <w:left w:w="100" w:type="dxa"/>
              <w:right w:w="100" w:type="dxa"/>
            </w:tcMar>
          </w:tcPr>
          <w:p>
            <w:pPr>
              <w:jc w:val="left"/>
            </w:pPr>
            <w:r>
              <w:t>Work Package</w:t>
            </w:r>
          </w:p>
        </w:tc>
        <w:tc>
          <w:tcPr>
            <w:tcW w:type="dxa" w:w="3360"/>
            <w:shd w:fill="1A365D"/>
            <w:tcMar>
              <w:top w:w="100" w:type="dxa"/>
              <w:bottom w:w="100" w:type="dxa"/>
              <w:left w:w="100" w:type="dxa"/>
              <w:right w:w="100" w:type="dxa"/>
            </w:tcMar>
          </w:tcPr>
          <w:p>
            <w:pPr>
              <w:jc w:val="left"/>
            </w:pPr>
            <w:r>
              <w:t>Title &amp; Focus</w:t>
            </w:r>
          </w:p>
        </w:tc>
        <w:tc>
          <w:tcPr>
            <w:tcW w:type="dxa" w:w="3360"/>
            <w:shd w:fill="1A365D"/>
            <w:tcMar>
              <w:top w:w="100" w:type="dxa"/>
              <w:bottom w:w="100" w:type="dxa"/>
              <w:left w:w="100" w:type="dxa"/>
              <w:right w:w="100" w:type="dxa"/>
            </w:tcMar>
          </w:tcPr>
          <w:p>
            <w:pPr>
              <w:jc w:val="left"/>
            </w:pPr>
            <w:r>
              <w:t>Key Operational Activities &amp; Methods</w:t>
            </w:r>
          </w:p>
        </w:tc>
      </w:tr>
      <w:tr>
        <w:trPr>
          <w:cantSplit/>
        </w:trPr>
        <w:tc>
          <w:tcPr>
            <w:tcW w:type="dxa" w:w="3360"/>
            <w:tcMar>
              <w:top w:w="65" w:type="dxa"/>
              <w:bottom w:w="65" w:type="dxa"/>
              <w:left w:w="100" w:type="dxa"/>
              <w:right w:w="100" w:type="dxa"/>
            </w:tcMar>
          </w:tcPr>
          <w:p>
            <w:r>
              <w:rPr>
                <w:rFonts w:ascii="Calibri" w:hAnsi="Calibri"/>
                <w:b/>
                <w:color w:val="2D3748"/>
                <w:sz w:val="15"/>
              </w:rPr>
              <w:t>WP-01</w:t>
            </w:r>
          </w:p>
        </w:tc>
        <w:tc>
          <w:tcPr>
            <w:tcW w:type="dxa" w:w="3360"/>
            <w:tcMar>
              <w:top w:w="65" w:type="dxa"/>
              <w:bottom w:w="65" w:type="dxa"/>
              <w:left w:w="100" w:type="dxa"/>
              <w:right w:w="100" w:type="dxa"/>
            </w:tcMar>
          </w:tcPr>
          <w:p>
            <w:r>
              <w:rPr>
                <w:rFonts w:ascii="Calibri" w:hAnsi="Calibri"/>
                <w:color w:val="2D3748"/>
                <w:sz w:val="15"/>
              </w:rPr>
              <w:t>Sample Intake, Physical &amp; Proximate Screening</w:t>
            </w:r>
          </w:p>
        </w:tc>
        <w:tc>
          <w:tcPr>
            <w:tcW w:type="dxa" w:w="3360"/>
            <w:tcMar>
              <w:top w:w="65" w:type="dxa"/>
              <w:bottom w:w="65" w:type="dxa"/>
              <w:left w:w="100" w:type="dxa"/>
              <w:right w:w="100" w:type="dxa"/>
            </w:tcMar>
          </w:tcPr>
          <w:p>
            <w:r>
              <w:rPr>
                <w:rFonts w:ascii="Calibri" w:hAnsi="Calibri"/>
                <w:color w:val="2D3748"/>
                <w:sz w:val="15"/>
              </w:rPr>
              <w:t>Visual inspection, foreign matter, 1000-grain weight, bulk density, seed-coat ratio, AOAC moisture, protein, fat, ash, and fibre.</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WP-02</w:t>
            </w:r>
          </w:p>
        </w:tc>
        <w:tc>
          <w:tcPr>
            <w:tcW w:type="dxa" w:w="3360"/>
            <w:shd w:fill="F7FAFC"/>
            <w:tcMar>
              <w:top w:w="65" w:type="dxa"/>
              <w:bottom w:w="65" w:type="dxa"/>
              <w:left w:w="100" w:type="dxa"/>
              <w:right w:w="100" w:type="dxa"/>
            </w:tcMar>
          </w:tcPr>
          <w:p>
            <w:r>
              <w:rPr>
                <w:rFonts w:ascii="Calibri" w:hAnsi="Calibri"/>
                <w:color w:val="2D3748"/>
                <w:sz w:val="15"/>
              </w:rPr>
              <w:t>Starch &amp; Thermal Gelatinization Profiling</w:t>
            </w:r>
          </w:p>
        </w:tc>
        <w:tc>
          <w:tcPr>
            <w:tcW w:type="dxa" w:w="3360"/>
            <w:shd w:fill="F7FAFC"/>
            <w:tcMar>
              <w:top w:w="65" w:type="dxa"/>
              <w:bottom w:w="65" w:type="dxa"/>
              <w:left w:w="100" w:type="dxa"/>
              <w:right w:w="100" w:type="dxa"/>
            </w:tcMar>
          </w:tcPr>
          <w:p>
            <w:r>
              <w:rPr>
                <w:rFonts w:ascii="Calibri" w:hAnsi="Calibri"/>
                <w:color w:val="2D3748"/>
                <w:sz w:val="15"/>
              </w:rPr>
              <w:t>Total starch, amylose/amylopectin ratio via Megazyme assay, Differential Scanning Calorimetry (DSC) for onset, peak, conclusion temp and enthalpy.</w:t>
            </w:r>
          </w:p>
        </w:tc>
      </w:tr>
      <w:tr>
        <w:trPr>
          <w:cantSplit/>
        </w:trPr>
        <w:tc>
          <w:tcPr>
            <w:tcW w:type="dxa" w:w="3360"/>
            <w:tcMar>
              <w:top w:w="65" w:type="dxa"/>
              <w:bottom w:w="65" w:type="dxa"/>
              <w:left w:w="100" w:type="dxa"/>
              <w:right w:w="100" w:type="dxa"/>
            </w:tcMar>
          </w:tcPr>
          <w:p>
            <w:r>
              <w:rPr>
                <w:rFonts w:ascii="Calibri" w:hAnsi="Calibri"/>
                <w:b/>
                <w:color w:val="2D3748"/>
                <w:sz w:val="15"/>
              </w:rPr>
              <w:t>WP-03</w:t>
            </w:r>
          </w:p>
        </w:tc>
        <w:tc>
          <w:tcPr>
            <w:tcW w:type="dxa" w:w="3360"/>
            <w:tcMar>
              <w:top w:w="65" w:type="dxa"/>
              <w:bottom w:w="65" w:type="dxa"/>
              <w:left w:w="100" w:type="dxa"/>
              <w:right w:w="100" w:type="dxa"/>
            </w:tcMar>
          </w:tcPr>
          <w:p>
            <w:r>
              <w:rPr>
                <w:rFonts w:ascii="Calibri" w:hAnsi="Calibri"/>
                <w:color w:val="2D3748"/>
                <w:sz w:val="15"/>
              </w:rPr>
              <w:t>Hydration Kinetics &amp; Absorption Modeling</w:t>
            </w:r>
          </w:p>
        </w:tc>
        <w:tc>
          <w:tcPr>
            <w:tcW w:type="dxa" w:w="3360"/>
            <w:tcMar>
              <w:top w:w="65" w:type="dxa"/>
              <w:bottom w:w="65" w:type="dxa"/>
              <w:left w:w="100" w:type="dxa"/>
              <w:right w:w="100" w:type="dxa"/>
            </w:tcMar>
          </w:tcPr>
          <w:p>
            <w:r>
              <w:rPr>
                <w:rFonts w:ascii="Calibri" w:hAnsi="Calibri"/>
                <w:color w:val="2D3748"/>
                <w:sz w:val="15"/>
              </w:rPr>
              <w:t>Gravimetric time-course water absorption at 25°C, 40°C, and 60°C (0–360 min), initial absorption rate, saturation capacity, and leaching losses.</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WP-04</w:t>
            </w:r>
          </w:p>
        </w:tc>
        <w:tc>
          <w:tcPr>
            <w:tcW w:type="dxa" w:w="3360"/>
            <w:shd w:fill="F7FAFC"/>
            <w:tcMar>
              <w:top w:w="65" w:type="dxa"/>
              <w:bottom w:w="65" w:type="dxa"/>
              <w:left w:w="100" w:type="dxa"/>
              <w:right w:w="100" w:type="dxa"/>
            </w:tcMar>
          </w:tcPr>
          <w:p>
            <w:r>
              <w:rPr>
                <w:rFonts w:ascii="Calibri" w:hAnsi="Calibri"/>
                <w:color w:val="2D3748"/>
                <w:sz w:val="15"/>
              </w:rPr>
              <w:t>Structural, Microstructural &amp; Pectin Analysis</w:t>
            </w:r>
          </w:p>
        </w:tc>
        <w:tc>
          <w:tcPr>
            <w:tcW w:type="dxa" w:w="3360"/>
            <w:shd w:fill="F7FAFC"/>
            <w:tcMar>
              <w:top w:w="65" w:type="dxa"/>
              <w:bottom w:w="65" w:type="dxa"/>
              <w:left w:w="100" w:type="dxa"/>
              <w:right w:w="100" w:type="dxa"/>
            </w:tcMar>
          </w:tcPr>
          <w:p>
            <w:r>
              <w:rPr>
                <w:rFonts w:ascii="Calibri" w:hAnsi="Calibri"/>
                <w:color w:val="2D3748"/>
                <w:sz w:val="15"/>
              </w:rPr>
              <w:t>Cotyledon cellular density, seed-coat thickness, chemical fractionation of water-, oxalate-, and alkali-soluble pectin, degree of esterification, ICP-OES mineral profiling.</w:t>
            </w:r>
          </w:p>
        </w:tc>
      </w:tr>
      <w:tr>
        <w:trPr>
          <w:cantSplit/>
        </w:trPr>
        <w:tc>
          <w:tcPr>
            <w:tcW w:type="dxa" w:w="3360"/>
            <w:tcMar>
              <w:top w:w="65" w:type="dxa"/>
              <w:bottom w:w="65" w:type="dxa"/>
              <w:left w:w="100" w:type="dxa"/>
              <w:right w:w="100" w:type="dxa"/>
            </w:tcMar>
          </w:tcPr>
          <w:p>
            <w:r>
              <w:rPr>
                <w:rFonts w:ascii="Calibri" w:hAnsi="Calibri"/>
                <w:b/>
                <w:color w:val="2D3748"/>
                <w:sz w:val="15"/>
              </w:rPr>
              <w:t>WP-05</w:t>
            </w:r>
          </w:p>
        </w:tc>
        <w:tc>
          <w:tcPr>
            <w:tcW w:type="dxa" w:w="3360"/>
            <w:tcMar>
              <w:top w:w="65" w:type="dxa"/>
              <w:bottom w:w="65" w:type="dxa"/>
              <w:left w:w="100" w:type="dxa"/>
              <w:right w:w="100" w:type="dxa"/>
            </w:tcMar>
          </w:tcPr>
          <w:p>
            <w:r>
              <w:rPr>
                <w:rFonts w:ascii="Calibri" w:hAnsi="Calibri"/>
                <w:color w:val="2D3748"/>
                <w:sz w:val="15"/>
              </w:rPr>
              <w:t>Standardized Cooking, Texture &amp; Root-Cause Synthesis</w:t>
            </w:r>
          </w:p>
        </w:tc>
        <w:tc>
          <w:tcPr>
            <w:tcW w:type="dxa" w:w="3360"/>
            <w:tcMar>
              <w:top w:w="65" w:type="dxa"/>
              <w:bottom w:w="65" w:type="dxa"/>
              <w:left w:w="100" w:type="dxa"/>
              <w:right w:w="100" w:type="dxa"/>
            </w:tcMar>
          </w:tcPr>
          <w:p>
            <w:r>
              <w:rPr>
                <w:rFonts w:ascii="Calibri" w:hAnsi="Calibri"/>
                <w:color w:val="2D3748"/>
                <w:sz w:val="15"/>
              </w:rPr>
              <w:t>Instrumented pressurized cooking trials, objective texture analyzer compression/shear force, hard-core rate scoring, multivariate correlation, Phase 2 roadmap.</w:t>
            </w:r>
          </w:p>
        </w:tc>
      </w:tr>
    </w:tbl>
    <w:p>
      <w:pPr>
        <w:keepNext/>
        <w:spacing w:before="260" w:after="60"/>
      </w:pPr>
      <w:r>
        <w:rPr>
          <w:rFonts w:ascii="Calibri" w:hAnsi="Calibri"/>
          <w:b/>
          <w:color w:val="1A365D"/>
          <w:sz w:val="23"/>
        </w:rPr>
        <w:t>6. Comprehensive 10-Hypothesis Register</w:t>
      </w:r>
    </w:p>
    <w:p>
      <w:pPr>
        <w:spacing w:before="0" w:after="60" w:line="276" w:lineRule="auto"/>
      </w:pPr>
      <w:r>
        <w:rPr>
          <w:rFonts w:ascii="Calibri" w:hAnsi="Calibri"/>
          <w:color w:val="2D3748"/>
          <w:sz w:val="17"/>
        </w:rPr>
        <w:t>To correct the scientific deficiencies of prior drafts (Review Finding A), pectin–mineral interactions are no longer assumed to be the sole or established mechanism. Phase 1 investigates a comprehensive register of ten competing hypotheses. Each hypothesis defines observable predictions, discriminating tests, and experimental boundaries: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2592"/>
        <w:gridCol w:w="3456"/>
        <w:gridCol w:w="2880"/>
      </w:tblGrid>
      <w:tr>
        <w:trPr>
          <w:tblHeader/>
          <w:cantSplit/>
        </w:trPr>
        <w:tc>
          <w:tcPr>
            <w:tcW w:type="dxa" w:w="2520"/>
            <w:shd w:fill="1A365D"/>
            <w:tcMar>
              <w:top w:w="100" w:type="dxa"/>
              <w:bottom w:w="100" w:type="dxa"/>
              <w:left w:w="100" w:type="dxa"/>
              <w:right w:w="100" w:type="dxa"/>
            </w:tcMar>
          </w:tcPr>
          <w:p>
            <w:pPr>
              <w:jc w:val="left"/>
            </w:pPr>
            <w:r>
              <w:t>Hypothesis</w:t>
            </w:r>
          </w:p>
        </w:tc>
        <w:tc>
          <w:tcPr>
            <w:tcW w:type="dxa" w:w="2520"/>
            <w:shd w:fill="1A365D"/>
            <w:tcMar>
              <w:top w:w="100" w:type="dxa"/>
              <w:bottom w:w="100" w:type="dxa"/>
              <w:left w:w="100" w:type="dxa"/>
              <w:right w:w="100" w:type="dxa"/>
            </w:tcMar>
          </w:tcPr>
          <w:p>
            <w:pPr>
              <w:jc w:val="left"/>
            </w:pPr>
            <w:r>
              <w:t>Candidate Mechanism</w:t>
            </w:r>
          </w:p>
        </w:tc>
        <w:tc>
          <w:tcPr>
            <w:tcW w:type="dxa" w:w="2520"/>
            <w:shd w:fill="1A365D"/>
            <w:tcMar>
              <w:top w:w="100" w:type="dxa"/>
              <w:bottom w:w="100" w:type="dxa"/>
              <w:left w:w="100" w:type="dxa"/>
              <w:right w:w="100" w:type="dxa"/>
            </w:tcMar>
          </w:tcPr>
          <w:p>
            <w:pPr>
              <w:jc w:val="left"/>
            </w:pPr>
            <w:r>
              <w:t>Observable Predictions &amp; Test</w:t>
            </w:r>
          </w:p>
        </w:tc>
        <w:tc>
          <w:tcPr>
            <w:tcW w:type="dxa" w:w="2520"/>
            <w:shd w:fill="1A365D"/>
            <w:tcMar>
              <w:top w:w="100" w:type="dxa"/>
              <w:bottom w:w="100" w:type="dxa"/>
              <w:left w:w="100" w:type="dxa"/>
              <w:right w:w="100" w:type="dxa"/>
            </w:tcMar>
          </w:tcPr>
          <w:p>
            <w:pPr>
              <w:jc w:val="left"/>
            </w:pPr>
            <w:r>
              <w:t>Discriminating Status &amp; Limits</w:t>
            </w:r>
          </w:p>
        </w:tc>
      </w:tr>
      <w:tr>
        <w:trPr>
          <w:cantSplit/>
        </w:trPr>
        <w:tc>
          <w:tcPr>
            <w:tcW w:type="dxa" w:w="2520"/>
            <w:tcMar>
              <w:top w:w="65" w:type="dxa"/>
              <w:bottom w:w="65" w:type="dxa"/>
              <w:left w:w="100" w:type="dxa"/>
              <w:right w:w="100" w:type="dxa"/>
            </w:tcMar>
          </w:tcPr>
          <w:p>
            <w:r>
              <w:rPr>
                <w:rFonts w:ascii="Calibri" w:hAnsi="Calibri"/>
                <w:b/>
                <w:color w:val="2D3748"/>
                <w:sz w:val="14"/>
              </w:rPr>
              <w:t>H1</w:t>
            </w:r>
          </w:p>
        </w:tc>
        <w:tc>
          <w:tcPr>
            <w:tcW w:type="dxa" w:w="2520"/>
            <w:tcMar>
              <w:top w:w="65" w:type="dxa"/>
              <w:bottom w:w="65" w:type="dxa"/>
              <w:left w:w="100" w:type="dxa"/>
              <w:right w:w="100" w:type="dxa"/>
            </w:tcMar>
          </w:tcPr>
          <w:p>
            <w:r>
              <w:rPr>
                <w:rFonts w:ascii="Calibri" w:hAnsi="Calibri"/>
                <w:color w:val="2D3748"/>
                <w:sz w:val="14"/>
              </w:rPr>
              <w:t>Hydration Kinetics / Diffusion Barrier</w:t>
            </w:r>
          </w:p>
        </w:tc>
        <w:tc>
          <w:tcPr>
            <w:tcW w:type="dxa" w:w="2520"/>
            <w:tcMar>
              <w:top w:w="65" w:type="dxa"/>
              <w:bottom w:w="65" w:type="dxa"/>
              <w:left w:w="100" w:type="dxa"/>
              <w:right w:w="100" w:type="dxa"/>
            </w:tcMar>
          </w:tcPr>
          <w:p>
            <w:r>
              <w:rPr>
                <w:rFonts w:ascii="Calibri" w:hAnsi="Calibri"/>
                <w:color w:val="2D3748"/>
                <w:sz w:val="14"/>
              </w:rPr>
              <w:t>Slower water uptake curve, lower initial hydration rate (k), delayed moisture penetration into cotyledon core.</w:t>
            </w:r>
          </w:p>
        </w:tc>
        <w:tc>
          <w:tcPr>
            <w:tcW w:type="dxa" w:w="2520"/>
            <w:tcMar>
              <w:top w:w="65" w:type="dxa"/>
              <w:bottom w:w="65" w:type="dxa"/>
              <w:left w:w="100" w:type="dxa"/>
              <w:right w:w="100" w:type="dxa"/>
            </w:tcMar>
          </w:tcPr>
          <w:p>
            <w:r>
              <w:rPr>
                <w:rFonts w:ascii="Calibri" w:hAnsi="Calibri"/>
                <w:color w:val="2D3748"/>
                <w:sz w:val="14"/>
              </w:rPr>
              <w:t>WP-03 gravimetric time-course; separates diffusion limits from cooking limits.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H2</w:t>
            </w:r>
          </w:p>
        </w:tc>
        <w:tc>
          <w:tcPr>
            <w:tcW w:type="dxa" w:w="2520"/>
            <w:shd w:fill="F7FAFC"/>
            <w:tcMar>
              <w:top w:w="65" w:type="dxa"/>
              <w:bottom w:w="65" w:type="dxa"/>
              <w:left w:w="100" w:type="dxa"/>
              <w:right w:w="100" w:type="dxa"/>
            </w:tcMar>
          </w:tcPr>
          <w:p>
            <w:r>
              <w:rPr>
                <w:rFonts w:ascii="Calibri" w:hAnsi="Calibri"/>
                <w:color w:val="2D3748"/>
                <w:sz w:val="14"/>
              </w:rPr>
              <w:t>Seed-Coat &amp; Microstructural Resistance</w:t>
            </w:r>
          </w:p>
        </w:tc>
        <w:tc>
          <w:tcPr>
            <w:tcW w:type="dxa" w:w="2520"/>
            <w:shd w:fill="F7FAFC"/>
            <w:tcMar>
              <w:top w:w="65" w:type="dxa"/>
              <w:bottom w:w="65" w:type="dxa"/>
              <w:left w:w="100" w:type="dxa"/>
              <w:right w:w="100" w:type="dxa"/>
            </w:tcMar>
          </w:tcPr>
          <w:p>
            <w:r>
              <w:rPr>
                <w:rFonts w:ascii="Calibri" w:hAnsi="Calibri"/>
                <w:color w:val="2D3748"/>
                <w:sz w:val="14"/>
              </w:rPr>
              <w:t>Residual seed-coat fragments, thicker hylar boundary, or dense outer cotyledon cell packing restricting fluid flow.</w:t>
            </w:r>
          </w:p>
        </w:tc>
        <w:tc>
          <w:tcPr>
            <w:tcW w:type="dxa" w:w="2520"/>
            <w:shd w:fill="F7FAFC"/>
            <w:tcMar>
              <w:top w:w="65" w:type="dxa"/>
              <w:bottom w:w="65" w:type="dxa"/>
              <w:left w:w="100" w:type="dxa"/>
              <w:right w:w="100" w:type="dxa"/>
            </w:tcMar>
          </w:tcPr>
          <w:p>
            <w:r>
              <w:rPr>
                <w:rFonts w:ascii="Calibri" w:hAnsi="Calibri"/>
                <w:color w:val="2D3748"/>
                <w:sz w:val="14"/>
              </w:rPr>
              <w:t>WP-01 seed-coat ratio &amp; WP-04 light microscopy; evaluates physical milling scouring.</w:t>
            </w:r>
          </w:p>
        </w:tc>
      </w:tr>
      <w:tr>
        <w:trPr>
          <w:cantSplit/>
        </w:trPr>
        <w:tc>
          <w:tcPr>
            <w:tcW w:type="dxa" w:w="2520"/>
            <w:tcMar>
              <w:top w:w="65" w:type="dxa"/>
              <w:bottom w:w="65" w:type="dxa"/>
              <w:left w:w="100" w:type="dxa"/>
              <w:right w:w="100" w:type="dxa"/>
            </w:tcMar>
          </w:tcPr>
          <w:p>
            <w:r>
              <w:rPr>
                <w:rFonts w:ascii="Calibri" w:hAnsi="Calibri"/>
                <w:b/>
                <w:color w:val="2D3748"/>
                <w:sz w:val="14"/>
              </w:rPr>
              <w:t>H3</w:t>
            </w:r>
          </w:p>
        </w:tc>
        <w:tc>
          <w:tcPr>
            <w:tcW w:type="dxa" w:w="2520"/>
            <w:tcMar>
              <w:top w:w="65" w:type="dxa"/>
              <w:bottom w:w="65" w:type="dxa"/>
              <w:left w:w="100" w:type="dxa"/>
              <w:right w:w="100" w:type="dxa"/>
            </w:tcMar>
          </w:tcPr>
          <w:p>
            <w:r>
              <w:rPr>
                <w:rFonts w:ascii="Calibri" w:hAnsi="Calibri"/>
                <w:color w:val="2D3748"/>
                <w:sz w:val="14"/>
              </w:rPr>
              <w:t>Cell-Wall Pectin &amp; Mineral Crosslinking</w:t>
            </w:r>
          </w:p>
        </w:tc>
        <w:tc>
          <w:tcPr>
            <w:tcW w:type="dxa" w:w="2520"/>
            <w:tcMar>
              <w:top w:w="65" w:type="dxa"/>
              <w:bottom w:w="65" w:type="dxa"/>
              <w:left w:w="100" w:type="dxa"/>
              <w:right w:w="100" w:type="dxa"/>
            </w:tcMar>
          </w:tcPr>
          <w:p>
            <w:r>
              <w:rPr>
                <w:rFonts w:ascii="Calibri" w:hAnsi="Calibri"/>
                <w:color w:val="2D3748"/>
                <w:sz w:val="14"/>
              </w:rPr>
              <w:t>Higher insoluble pectin fraction, elevated calcium/magnesium crosslinks, lower phytate-to-mineral molar ratio.</w:t>
            </w:r>
          </w:p>
        </w:tc>
        <w:tc>
          <w:tcPr>
            <w:tcW w:type="dxa" w:w="2520"/>
            <w:tcMar>
              <w:top w:w="65" w:type="dxa"/>
              <w:bottom w:w="65" w:type="dxa"/>
              <w:left w:w="100" w:type="dxa"/>
              <w:right w:w="100" w:type="dxa"/>
            </w:tcMar>
          </w:tcPr>
          <w:p>
            <w:r>
              <w:rPr>
                <w:rFonts w:ascii="Calibri" w:hAnsi="Calibri"/>
                <w:color w:val="2D3748"/>
                <w:sz w:val="14"/>
              </w:rPr>
              <w:t>WP-04 pectin fractions &amp; ICP-OES minerals; plausible biochemical hypothesis.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H4</w:t>
            </w:r>
          </w:p>
        </w:tc>
        <w:tc>
          <w:tcPr>
            <w:tcW w:type="dxa" w:w="2520"/>
            <w:shd w:fill="F7FAFC"/>
            <w:tcMar>
              <w:top w:w="65" w:type="dxa"/>
              <w:bottom w:w="65" w:type="dxa"/>
              <w:left w:w="100" w:type="dxa"/>
              <w:right w:w="100" w:type="dxa"/>
            </w:tcMar>
          </w:tcPr>
          <w:p>
            <w:r>
              <w:rPr>
                <w:rFonts w:ascii="Calibri" w:hAnsi="Calibri"/>
                <w:color w:val="2D3748"/>
                <w:sz w:val="14"/>
              </w:rPr>
              <w:t>Starch Gelatinization &amp; Thermal Impedance</w:t>
            </w:r>
          </w:p>
        </w:tc>
        <w:tc>
          <w:tcPr>
            <w:tcW w:type="dxa" w:w="2520"/>
            <w:shd w:fill="F7FAFC"/>
            <w:tcMar>
              <w:top w:w="65" w:type="dxa"/>
              <w:bottom w:w="65" w:type="dxa"/>
              <w:left w:w="100" w:type="dxa"/>
              <w:right w:w="100" w:type="dxa"/>
            </w:tcMar>
          </w:tcPr>
          <w:p>
            <w:r>
              <w:rPr>
                <w:rFonts w:ascii="Calibri" w:hAnsi="Calibri"/>
                <w:color w:val="2D3748"/>
                <w:sz w:val="14"/>
              </w:rPr>
              <w:t>Elevated DSC gelatinization peak temperature (Tp &gt; 78°C) or higher transition enthalpy requiring prolonged heat input.</w:t>
            </w:r>
          </w:p>
        </w:tc>
        <w:tc>
          <w:tcPr>
            <w:tcW w:type="dxa" w:w="2520"/>
            <w:shd w:fill="F7FAFC"/>
            <w:tcMar>
              <w:top w:w="65" w:type="dxa"/>
              <w:bottom w:w="65" w:type="dxa"/>
              <w:left w:w="100" w:type="dxa"/>
              <w:right w:w="100" w:type="dxa"/>
            </w:tcMar>
          </w:tcPr>
          <w:p>
            <w:r>
              <w:rPr>
                <w:rFonts w:ascii="Calibri" w:hAnsi="Calibri"/>
                <w:color w:val="2D3748"/>
                <w:sz w:val="14"/>
              </w:rPr>
              <w:t>WP-02 DSC thermal assay; identifies intrinsic starch cooking resistance.</w:t>
            </w:r>
          </w:p>
        </w:tc>
      </w:tr>
      <w:tr>
        <w:trPr>
          <w:cantSplit/>
        </w:trPr>
        <w:tc>
          <w:tcPr>
            <w:tcW w:type="dxa" w:w="2520"/>
            <w:tcMar>
              <w:top w:w="65" w:type="dxa"/>
              <w:bottom w:w="65" w:type="dxa"/>
              <w:left w:w="100" w:type="dxa"/>
              <w:right w:w="100" w:type="dxa"/>
            </w:tcMar>
          </w:tcPr>
          <w:p>
            <w:r>
              <w:rPr>
                <w:rFonts w:ascii="Calibri" w:hAnsi="Calibri"/>
                <w:b/>
                <w:color w:val="2D3748"/>
                <w:sz w:val="14"/>
              </w:rPr>
              <w:t>H5</w:t>
            </w:r>
          </w:p>
        </w:tc>
        <w:tc>
          <w:tcPr>
            <w:tcW w:type="dxa" w:w="2520"/>
            <w:tcMar>
              <w:top w:w="65" w:type="dxa"/>
              <w:bottom w:w="65" w:type="dxa"/>
              <w:left w:w="100" w:type="dxa"/>
              <w:right w:w="100" w:type="dxa"/>
            </w:tcMar>
          </w:tcPr>
          <w:p>
            <w:r>
              <w:rPr>
                <w:rFonts w:ascii="Calibri" w:hAnsi="Calibri"/>
                <w:color w:val="2D3748"/>
                <w:sz w:val="14"/>
              </w:rPr>
              <w:t>Cultivar Genetics &amp; Agronomic Origin</w:t>
            </w:r>
          </w:p>
        </w:tc>
        <w:tc>
          <w:tcPr>
            <w:tcW w:type="dxa" w:w="2520"/>
            <w:tcMar>
              <w:top w:w="65" w:type="dxa"/>
              <w:bottom w:w="65" w:type="dxa"/>
              <w:left w:w="100" w:type="dxa"/>
              <w:right w:w="100" w:type="dxa"/>
            </w:tcMar>
          </w:tcPr>
          <w:p>
            <w:r>
              <w:rPr>
                <w:rFonts w:ascii="Calibri" w:hAnsi="Calibri"/>
                <w:color w:val="2D3748"/>
                <w:sz w:val="14"/>
              </w:rPr>
              <w:t>Distinct genetic variety, protein matrix density, or soil mineral accumulation unique to East African agro-climates.</w:t>
            </w:r>
          </w:p>
        </w:tc>
        <w:tc>
          <w:tcPr>
            <w:tcW w:type="dxa" w:w="2520"/>
            <w:tcMar>
              <w:top w:w="65" w:type="dxa"/>
              <w:bottom w:w="65" w:type="dxa"/>
              <w:left w:w="100" w:type="dxa"/>
              <w:right w:w="100" w:type="dxa"/>
            </w:tcMar>
          </w:tcPr>
          <w:p>
            <w:r>
              <w:rPr>
                <w:rFonts w:ascii="Calibri" w:hAnsi="Calibri"/>
                <w:color w:val="2D3748"/>
                <w:sz w:val="14"/>
              </w:rPr>
              <w:t>Requires sample lot metadata; Phase 1 identifies phenotypic expression only.</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H6</w:t>
            </w:r>
          </w:p>
        </w:tc>
        <w:tc>
          <w:tcPr>
            <w:tcW w:type="dxa" w:w="2520"/>
            <w:shd w:fill="F7FAFC"/>
            <w:tcMar>
              <w:top w:w="65" w:type="dxa"/>
              <w:bottom w:w="65" w:type="dxa"/>
              <w:left w:w="100" w:type="dxa"/>
              <w:right w:w="100" w:type="dxa"/>
            </w:tcMar>
          </w:tcPr>
          <w:p>
            <w:r>
              <w:rPr>
                <w:rFonts w:ascii="Calibri" w:hAnsi="Calibri"/>
                <w:color w:val="2D3748"/>
                <w:sz w:val="14"/>
              </w:rPr>
              <w:t>Commercial Dehulling &amp; Processing History</w:t>
            </w:r>
          </w:p>
        </w:tc>
        <w:tc>
          <w:tcPr>
            <w:tcW w:type="dxa" w:w="2520"/>
            <w:shd w:fill="F7FAFC"/>
            <w:tcMar>
              <w:top w:w="65" w:type="dxa"/>
              <w:bottom w:w="65" w:type="dxa"/>
              <w:left w:w="100" w:type="dxa"/>
              <w:right w:w="100" w:type="dxa"/>
            </w:tcMar>
          </w:tcPr>
          <w:p>
            <w:r>
              <w:rPr>
                <w:rFonts w:ascii="Calibri" w:hAnsi="Calibri"/>
                <w:color w:val="2D3748"/>
                <w:sz w:val="14"/>
              </w:rPr>
              <w:t>Thermal case-hardening from dry milling, excessive frictional heat during emery scouring, or residual polishing oil.</w:t>
            </w:r>
          </w:p>
        </w:tc>
        <w:tc>
          <w:tcPr>
            <w:tcW w:type="dxa" w:w="2520"/>
            <w:shd w:fill="F7FAFC"/>
            <w:tcMar>
              <w:top w:w="65" w:type="dxa"/>
              <w:bottom w:w="65" w:type="dxa"/>
              <w:left w:w="100" w:type="dxa"/>
              <w:right w:w="100" w:type="dxa"/>
            </w:tcMar>
          </w:tcPr>
          <w:p>
            <w:r>
              <w:rPr>
                <w:rFonts w:ascii="Calibri" w:hAnsi="Calibri"/>
                <w:color w:val="2D3748"/>
                <w:sz w:val="14"/>
              </w:rPr>
              <w:t>Surface lipid assay &amp; microstructural examination; identifies commercial processing damage.</w:t>
            </w:r>
          </w:p>
        </w:tc>
      </w:tr>
      <w:tr>
        <w:trPr>
          <w:cantSplit/>
        </w:trPr>
        <w:tc>
          <w:tcPr>
            <w:tcW w:type="dxa" w:w="2520"/>
            <w:tcMar>
              <w:top w:w="65" w:type="dxa"/>
              <w:bottom w:w="65" w:type="dxa"/>
              <w:left w:w="100" w:type="dxa"/>
              <w:right w:w="100" w:type="dxa"/>
            </w:tcMar>
          </w:tcPr>
          <w:p>
            <w:r>
              <w:rPr>
                <w:rFonts w:ascii="Calibri" w:hAnsi="Calibri"/>
                <w:b/>
                <w:color w:val="2D3748"/>
                <w:sz w:val="14"/>
              </w:rPr>
              <w:t>H7</w:t>
            </w:r>
          </w:p>
        </w:tc>
        <w:tc>
          <w:tcPr>
            <w:tcW w:type="dxa" w:w="2520"/>
            <w:tcMar>
              <w:top w:w="65" w:type="dxa"/>
              <w:bottom w:w="65" w:type="dxa"/>
              <w:left w:w="100" w:type="dxa"/>
              <w:right w:w="100" w:type="dxa"/>
            </w:tcMar>
          </w:tcPr>
          <w:p>
            <w:r>
              <w:rPr>
                <w:rFonts w:ascii="Calibri" w:hAnsi="Calibri"/>
                <w:color w:val="2D3748"/>
                <w:sz w:val="14"/>
              </w:rPr>
              <w:t>Storage Age &amp; Hard-to-Cook (HTC) Defect</w:t>
            </w:r>
          </w:p>
        </w:tc>
        <w:tc>
          <w:tcPr>
            <w:tcW w:type="dxa" w:w="2520"/>
            <w:tcMar>
              <w:top w:w="65" w:type="dxa"/>
              <w:bottom w:w="65" w:type="dxa"/>
              <w:left w:w="100" w:type="dxa"/>
              <w:right w:w="100" w:type="dxa"/>
            </w:tcMar>
          </w:tcPr>
          <w:p>
            <w:r>
              <w:rPr>
                <w:rFonts w:ascii="Calibri" w:hAnsi="Calibri"/>
                <w:color w:val="2D3748"/>
                <w:sz w:val="14"/>
              </w:rPr>
              <w:t>Prolonged transit/storage under high temperature (&gt;30°C) and RH (&gt;70%) inducing phytase loss and pectin crosslinking.</w:t>
            </w:r>
          </w:p>
        </w:tc>
        <w:tc>
          <w:tcPr>
            <w:tcW w:type="dxa" w:w="2520"/>
            <w:tcMar>
              <w:top w:w="65" w:type="dxa"/>
              <w:bottom w:w="65" w:type="dxa"/>
              <w:left w:w="100" w:type="dxa"/>
              <w:right w:w="100" w:type="dxa"/>
            </w:tcMar>
          </w:tcPr>
          <w:p>
            <w:r>
              <w:rPr>
                <w:rFonts w:ascii="Calibri" w:hAnsi="Calibri"/>
                <w:color w:val="2D3748"/>
                <w:sz w:val="14"/>
              </w:rPr>
              <w:t>Standard legume aging marker; correlated with storage records and ion leakage.</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H8</w:t>
            </w:r>
          </w:p>
        </w:tc>
        <w:tc>
          <w:tcPr>
            <w:tcW w:type="dxa" w:w="2520"/>
            <w:shd w:fill="F7FAFC"/>
            <w:tcMar>
              <w:top w:w="65" w:type="dxa"/>
              <w:bottom w:w="65" w:type="dxa"/>
              <w:left w:w="100" w:type="dxa"/>
              <w:right w:w="100" w:type="dxa"/>
            </w:tcMar>
          </w:tcPr>
          <w:p>
            <w:r>
              <w:rPr>
                <w:rFonts w:ascii="Calibri" w:hAnsi="Calibri"/>
                <w:color w:val="2D3748"/>
                <w:sz w:val="14"/>
              </w:rPr>
              <w:t>Grain Physical Geometry &amp; Split Uniformity</w:t>
            </w:r>
          </w:p>
        </w:tc>
        <w:tc>
          <w:tcPr>
            <w:tcW w:type="dxa" w:w="2520"/>
            <w:shd w:fill="F7FAFC"/>
            <w:tcMar>
              <w:top w:w="65" w:type="dxa"/>
              <w:bottom w:w="65" w:type="dxa"/>
              <w:left w:w="100" w:type="dxa"/>
              <w:right w:w="100" w:type="dxa"/>
            </w:tcMar>
          </w:tcPr>
          <w:p>
            <w:r>
              <w:rPr>
                <w:rFonts w:ascii="Calibri" w:hAnsi="Calibri"/>
                <w:color w:val="2D3748"/>
                <w:sz w:val="14"/>
              </w:rPr>
              <w:t>Larger cotyledon thickness, lower surface-area-to-volume ratio, or higher broken grain fraction skewing water distribution.</w:t>
            </w:r>
          </w:p>
        </w:tc>
        <w:tc>
          <w:tcPr>
            <w:tcW w:type="dxa" w:w="2520"/>
            <w:shd w:fill="F7FAFC"/>
            <w:tcMar>
              <w:top w:w="65" w:type="dxa"/>
              <w:bottom w:w="65" w:type="dxa"/>
              <w:left w:w="100" w:type="dxa"/>
              <w:right w:w="100" w:type="dxa"/>
            </w:tcMar>
          </w:tcPr>
          <w:p>
            <w:r>
              <w:rPr>
                <w:rFonts w:ascii="Calibri" w:hAnsi="Calibri"/>
                <w:color w:val="2D3748"/>
                <w:sz w:val="14"/>
              </w:rPr>
              <w:t>WP-01 caliper dimensions and 1000-grain mass; isolates geometric confounders.</w:t>
            </w:r>
          </w:p>
        </w:tc>
      </w:tr>
      <w:tr>
        <w:trPr>
          <w:cantSplit/>
        </w:trPr>
        <w:tc>
          <w:tcPr>
            <w:tcW w:type="dxa" w:w="2520"/>
            <w:tcMar>
              <w:top w:w="65" w:type="dxa"/>
              <w:bottom w:w="65" w:type="dxa"/>
              <w:left w:w="100" w:type="dxa"/>
              <w:right w:w="100" w:type="dxa"/>
            </w:tcMar>
          </w:tcPr>
          <w:p>
            <w:r>
              <w:rPr>
                <w:rFonts w:ascii="Calibri" w:hAnsi="Calibri"/>
                <w:b/>
                <w:color w:val="2D3748"/>
                <w:sz w:val="14"/>
              </w:rPr>
              <w:t>H9</w:t>
            </w:r>
          </w:p>
        </w:tc>
        <w:tc>
          <w:tcPr>
            <w:tcW w:type="dxa" w:w="2520"/>
            <w:tcMar>
              <w:top w:w="65" w:type="dxa"/>
              <w:bottom w:w="65" w:type="dxa"/>
              <w:left w:w="100" w:type="dxa"/>
              <w:right w:w="100" w:type="dxa"/>
            </w:tcMar>
          </w:tcPr>
          <w:p>
            <w:r>
              <w:rPr>
                <w:rFonts w:ascii="Calibri" w:hAnsi="Calibri"/>
                <w:color w:val="2D3748"/>
                <w:sz w:val="14"/>
              </w:rPr>
              <w:t>Cooking Apparatus &amp; Measurement Confounders</w:t>
            </w:r>
          </w:p>
        </w:tc>
        <w:tc>
          <w:tcPr>
            <w:tcW w:type="dxa" w:w="2520"/>
            <w:tcMar>
              <w:top w:w="65" w:type="dxa"/>
              <w:bottom w:w="65" w:type="dxa"/>
              <w:left w:w="100" w:type="dxa"/>
              <w:right w:w="100" w:type="dxa"/>
            </w:tcMar>
          </w:tcPr>
          <w:p>
            <w:r>
              <w:rPr>
                <w:rFonts w:ascii="Calibri" w:hAnsi="Calibri"/>
                <w:color w:val="2D3748"/>
                <w:sz w:val="14"/>
              </w:rPr>
              <w:t>Apparatus heat transfer, pressure vessel venting variability, or whistle-counting bias in domestic observation.</w:t>
            </w:r>
          </w:p>
        </w:tc>
        <w:tc>
          <w:tcPr>
            <w:tcW w:type="dxa" w:w="2520"/>
            <w:tcMar>
              <w:top w:w="65" w:type="dxa"/>
              <w:bottom w:w="65" w:type="dxa"/>
              <w:left w:w="100" w:type="dxa"/>
              <w:right w:w="100" w:type="dxa"/>
            </w:tcMar>
          </w:tcPr>
          <w:p>
            <w:r>
              <w:rPr>
                <w:rFonts w:ascii="Calibri" w:hAnsi="Calibri"/>
                <w:color w:val="2D3748"/>
                <w:sz w:val="14"/>
              </w:rPr>
              <w:t>WP-05 standardized cooking protocol eliminates domestic apparatus artefacts.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H10</w:t>
            </w:r>
          </w:p>
        </w:tc>
        <w:tc>
          <w:tcPr>
            <w:tcW w:type="dxa" w:w="2520"/>
            <w:shd w:fill="F7FAFC"/>
            <w:tcMar>
              <w:top w:w="65" w:type="dxa"/>
              <w:bottom w:w="65" w:type="dxa"/>
              <w:left w:w="100" w:type="dxa"/>
              <w:right w:w="100" w:type="dxa"/>
            </w:tcMar>
          </w:tcPr>
          <w:p>
            <w:r>
              <w:rPr>
                <w:rFonts w:ascii="Calibri" w:hAnsi="Calibri"/>
                <w:color w:val="2D3748"/>
                <w:sz w:val="14"/>
              </w:rPr>
              <w:t>Multi-Factorial Synergistic Interaction</w:t>
            </w:r>
          </w:p>
        </w:tc>
        <w:tc>
          <w:tcPr>
            <w:tcW w:type="dxa" w:w="2520"/>
            <w:shd w:fill="F7FAFC"/>
            <w:tcMar>
              <w:top w:w="65" w:type="dxa"/>
              <w:bottom w:w="65" w:type="dxa"/>
              <w:left w:w="100" w:type="dxa"/>
              <w:right w:w="100" w:type="dxa"/>
            </w:tcMar>
          </w:tcPr>
          <w:p>
            <w:r>
              <w:rPr>
                <w:rFonts w:ascii="Calibri" w:hAnsi="Calibri"/>
                <w:color w:val="2D3748"/>
                <w:sz w:val="14"/>
              </w:rPr>
              <w:t>Simultaneous interaction of slow hydration (H1) and cell-wall pectin resistance (H3) amplifying total cooking latency.</w:t>
            </w:r>
          </w:p>
        </w:tc>
        <w:tc>
          <w:tcPr>
            <w:tcW w:type="dxa" w:w="2520"/>
            <w:shd w:fill="F7FAFC"/>
            <w:tcMar>
              <w:top w:w="65" w:type="dxa"/>
              <w:bottom w:w="65" w:type="dxa"/>
              <w:left w:w="100" w:type="dxa"/>
              <w:right w:w="100" w:type="dxa"/>
            </w:tcMar>
          </w:tcPr>
          <w:p>
            <w:r>
              <w:rPr>
                <w:rFonts w:ascii="Calibri" w:hAnsi="Calibri"/>
                <w:color w:val="2D3748"/>
                <w:sz w:val="14"/>
              </w:rPr>
              <w:t>Multivariate correlation &amp; regression modeling in WP-05 final synthesis.</w:t>
            </w:r>
          </w:p>
        </w:tc>
      </w:tr>
    </w:tbl>
    <w:p>
      <w:pPr>
        <w:spacing w:before="0" w:after="60" w:line="276" w:lineRule="auto"/>
      </w:pPr>
      <w:r>
        <w:rPr>
          <w:rFonts w:ascii="Calibri" w:hAnsi="Calibri"/>
          <w:color w:val="2D3748"/>
          <w:sz w:val="17"/>
        </w:rPr>
        <w:t>Evidence Language Ladder: To maintain scientific integrity, Phase 1 conclusions strictly observe the following four-tier hierarchy: (1) Measured Difference: Directly observed analytical variance between samples; (2) Statistical Association: Correlation supported by data but not establishing directionality; (3) Plausible Hypothesis: Literature-compatible mechanism not yet causally proven for the target lot; (4) Controlled Causal Effect: Established only when controlled intervention trials isolate the mechanism in Phase 2.</w:t>
      </w:r>
    </w:p>
    <w:p>
      <w:pPr>
        <w:keepNext/>
        <w:spacing w:before="260" w:after="60"/>
      </w:pPr>
      <w:r>
        <w:rPr>
          <w:rFonts w:ascii="Calibri" w:hAnsi="Calibri"/>
          <w:b/>
          <w:color w:val="1A365D"/>
          <w:sz w:val="23"/>
        </w:rPr>
        <w:t>7. Sample Requirements, Allocation Budget &amp; Multi-Lot Options</w:t>
      </w:r>
    </w:p>
    <w:p>
      <w:pPr>
        <w:spacing w:before="0" w:after="60" w:line="276" w:lineRule="auto"/>
      </w:pPr>
      <w:r>
        <w:rPr>
          <w:rFonts w:ascii="Calibri" w:hAnsi="Calibri"/>
          <w:color w:val="2D3748"/>
          <w:sz w:val="17"/>
        </w:rPr>
        <w:t>Under Section 3 of the source SOW, the recommended sample mass is approximately 2.5–3.0 kg per lot. To address Review Finding D, a rigorous physical sample allocation budget was performed across all analytical modules: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28"/>
        <w:gridCol w:w="4320"/>
        <w:gridCol w:w="2016"/>
        <w:gridCol w:w="2016"/>
      </w:tblGrid>
      <w:tr>
        <w:trPr>
          <w:tblHeader/>
          <w:cantSplit/>
        </w:trPr>
        <w:tc>
          <w:tcPr>
            <w:tcW w:type="dxa" w:w="2520"/>
            <w:shd w:fill="1A365D"/>
            <w:tcMar>
              <w:top w:w="100" w:type="dxa"/>
              <w:bottom w:w="100" w:type="dxa"/>
              <w:left w:w="100" w:type="dxa"/>
              <w:right w:w="100" w:type="dxa"/>
            </w:tcMar>
          </w:tcPr>
          <w:p>
            <w:pPr>
              <w:jc w:val="left"/>
            </w:pPr>
            <w:r>
              <w:t>Module / Allocation</w:t>
            </w:r>
          </w:p>
        </w:tc>
        <w:tc>
          <w:tcPr>
            <w:tcW w:type="dxa" w:w="2520"/>
            <w:shd w:fill="1A365D"/>
            <w:tcMar>
              <w:top w:w="100" w:type="dxa"/>
              <w:bottom w:w="100" w:type="dxa"/>
              <w:left w:w="100" w:type="dxa"/>
              <w:right w:w="100" w:type="dxa"/>
            </w:tcMar>
          </w:tcPr>
          <w:p>
            <w:pPr>
              <w:jc w:val="left"/>
            </w:pPr>
            <w:r>
              <w:t>Analytical Activity &amp; Replicate Structure</w:t>
            </w:r>
          </w:p>
        </w:tc>
        <w:tc>
          <w:tcPr>
            <w:tcW w:type="dxa" w:w="2520"/>
            <w:shd w:fill="1A365D"/>
            <w:tcMar>
              <w:top w:w="100" w:type="dxa"/>
              <w:bottom w:w="100" w:type="dxa"/>
              <w:left w:w="100" w:type="dxa"/>
              <w:right w:w="100" w:type="dxa"/>
            </w:tcMar>
          </w:tcPr>
          <w:p>
            <w:pPr>
              <w:jc w:val="left"/>
            </w:pPr>
            <w:r>
              <w:t>Mass Budget (g)</w:t>
            </w:r>
          </w:p>
        </w:tc>
        <w:tc>
          <w:tcPr>
            <w:tcW w:type="dxa" w:w="2520"/>
            <w:shd w:fill="1A365D"/>
            <w:tcMar>
              <w:top w:w="100" w:type="dxa"/>
              <w:bottom w:w="100" w:type="dxa"/>
              <w:left w:w="100" w:type="dxa"/>
              <w:right w:w="100" w:type="dxa"/>
            </w:tcMar>
          </w:tcPr>
          <w:p>
            <w:pPr>
              <w:jc w:val="left"/>
            </w:pPr>
            <w:r>
              <w:t>Allocation Basis</w:t>
            </w:r>
          </w:p>
        </w:tc>
      </w:tr>
      <w:tr>
        <w:trPr>
          <w:cantSplit/>
        </w:trPr>
        <w:tc>
          <w:tcPr>
            <w:tcW w:type="dxa" w:w="2520"/>
            <w:tcMar>
              <w:top w:w="65" w:type="dxa"/>
              <w:bottom w:w="65" w:type="dxa"/>
              <w:left w:w="100" w:type="dxa"/>
              <w:right w:w="100" w:type="dxa"/>
            </w:tcMar>
          </w:tcPr>
          <w:p>
            <w:r>
              <w:rPr>
                <w:rFonts w:ascii="Calibri" w:hAnsi="Calibri"/>
                <w:color w:val="2D3748"/>
                <w:sz w:val="15"/>
              </w:rPr>
              <w:t>MOD-01</w:t>
            </w:r>
          </w:p>
        </w:tc>
        <w:tc>
          <w:tcPr>
            <w:tcW w:type="dxa" w:w="2520"/>
            <w:tcMar>
              <w:top w:w="65" w:type="dxa"/>
              <w:bottom w:w="65" w:type="dxa"/>
              <w:left w:w="100" w:type="dxa"/>
              <w:right w:w="100" w:type="dxa"/>
            </w:tcMar>
          </w:tcPr>
          <w:p>
            <w:r>
              <w:rPr>
                <w:rFonts w:ascii="Calibri" w:hAnsi="Calibri"/>
                <w:color w:val="2D3748"/>
                <w:sz w:val="15"/>
              </w:rPr>
              <w:t>Physical &amp; Preliminary Grain Integrity Characterization</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3 batches x 3 repeats + reserve</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MOD-02</w:t>
            </w:r>
          </w:p>
        </w:tc>
        <w:tc>
          <w:tcPr>
            <w:tcW w:type="dxa" w:w="2520"/>
            <w:shd w:fill="F7FAFC"/>
            <w:tcMar>
              <w:top w:w="65" w:type="dxa"/>
              <w:bottom w:w="65" w:type="dxa"/>
              <w:left w:w="100" w:type="dxa"/>
              <w:right w:w="100" w:type="dxa"/>
            </w:tcMar>
          </w:tcPr>
          <w:p>
            <w:r>
              <w:rPr>
                <w:rFonts w:ascii="Calibri" w:hAnsi="Calibri"/>
                <w:color w:val="2D3748"/>
                <w:sz w:val="15"/>
              </w:rPr>
              <w:t>Proximate Chemical Composition (Moisture, Protein, Fat, Ash, Fibre)</w:t>
            </w:r>
          </w:p>
        </w:tc>
        <w:tc>
          <w:tcPr>
            <w:tcW w:type="dxa" w:w="2520"/>
            <w:shd w:fill="F7FAFC"/>
            <w:tcMar>
              <w:top w:w="65" w:type="dxa"/>
              <w:bottom w:w="65" w:type="dxa"/>
              <w:left w:w="100" w:type="dxa"/>
              <w:right w:w="100" w:type="dxa"/>
            </w:tcMar>
          </w:tcPr>
          <w:p>
            <w:r>
              <w:rPr>
                <w:rFonts w:ascii="Calibri" w:hAnsi="Calibri"/>
                <w:color w:val="2D3748"/>
                <w:sz w:val="15"/>
              </w:rPr>
              <w:t>250 g</w:t>
            </w:r>
          </w:p>
        </w:tc>
        <w:tc>
          <w:tcPr>
            <w:tcW w:type="dxa" w:w="2520"/>
            <w:shd w:fill="F7FAFC"/>
            <w:tcMar>
              <w:top w:w="65" w:type="dxa"/>
              <w:bottom w:w="65" w:type="dxa"/>
              <w:left w:w="100" w:type="dxa"/>
              <w:right w:w="100" w:type="dxa"/>
            </w:tcMar>
          </w:tcPr>
          <w:p>
            <w:r>
              <w:rPr>
                <w:rFonts w:ascii="Calibri" w:hAnsi="Calibri"/>
                <w:color w:val="2D3748"/>
                <w:sz w:val="15"/>
              </w:rPr>
              <w:t>Triplicate AOAC external lab minimum</w:t>
            </w:r>
          </w:p>
        </w:tc>
      </w:tr>
      <w:tr>
        <w:trPr>
          <w:cantSplit/>
        </w:trPr>
        <w:tc>
          <w:tcPr>
            <w:tcW w:type="dxa" w:w="2520"/>
            <w:tcMar>
              <w:top w:w="65" w:type="dxa"/>
              <w:bottom w:w="65" w:type="dxa"/>
              <w:left w:w="100" w:type="dxa"/>
              <w:right w:w="100" w:type="dxa"/>
            </w:tcMar>
          </w:tcPr>
          <w:p>
            <w:r>
              <w:rPr>
                <w:rFonts w:ascii="Calibri" w:hAnsi="Calibri"/>
                <w:color w:val="2D3748"/>
                <w:sz w:val="15"/>
              </w:rPr>
              <w:t>MOD-03</w:t>
            </w:r>
          </w:p>
        </w:tc>
        <w:tc>
          <w:tcPr>
            <w:tcW w:type="dxa" w:w="2520"/>
            <w:tcMar>
              <w:top w:w="65" w:type="dxa"/>
              <w:bottom w:w="65" w:type="dxa"/>
              <w:left w:w="100" w:type="dxa"/>
              <w:right w:w="100" w:type="dxa"/>
            </w:tcMar>
          </w:tcPr>
          <w:p>
            <w:r>
              <w:rPr>
                <w:rFonts w:ascii="Calibri" w:hAnsi="Calibri"/>
                <w:color w:val="2D3748"/>
                <w:sz w:val="15"/>
              </w:rPr>
              <w:t>Starch &amp; Amylose / Amylopectin Spectrophotometric Assay</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Triplicate Megazyme assay + reserve</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MOD-04</w:t>
            </w:r>
          </w:p>
        </w:tc>
        <w:tc>
          <w:tcPr>
            <w:tcW w:type="dxa" w:w="2520"/>
            <w:shd w:fill="F7FAFC"/>
            <w:tcMar>
              <w:top w:w="65" w:type="dxa"/>
              <w:bottom w:w="65" w:type="dxa"/>
              <w:left w:w="100" w:type="dxa"/>
              <w:right w:w="100" w:type="dxa"/>
            </w:tcMar>
          </w:tcPr>
          <w:p>
            <w:r>
              <w:rPr>
                <w:rFonts w:ascii="Calibri" w:hAnsi="Calibri"/>
                <w:color w:val="2D3748"/>
                <w:sz w:val="15"/>
              </w:rPr>
              <w:t>DSC Thermal Gelatinization &amp; Transition Enthalpy</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Triplicate micro-sample DSC runs</w:t>
            </w:r>
          </w:p>
        </w:tc>
      </w:tr>
      <w:tr>
        <w:trPr>
          <w:cantSplit/>
        </w:trPr>
        <w:tc>
          <w:tcPr>
            <w:tcW w:type="dxa" w:w="2520"/>
            <w:tcMar>
              <w:top w:w="65" w:type="dxa"/>
              <w:bottom w:w="65" w:type="dxa"/>
              <w:left w:w="100" w:type="dxa"/>
              <w:right w:w="100" w:type="dxa"/>
            </w:tcMar>
          </w:tcPr>
          <w:p>
            <w:r>
              <w:rPr>
                <w:rFonts w:ascii="Calibri" w:hAnsi="Calibri"/>
                <w:color w:val="2D3748"/>
                <w:sz w:val="15"/>
              </w:rPr>
              <w:t>MOD-05</w:t>
            </w:r>
          </w:p>
        </w:tc>
        <w:tc>
          <w:tcPr>
            <w:tcW w:type="dxa" w:w="2520"/>
            <w:tcMar>
              <w:top w:w="65" w:type="dxa"/>
              <w:bottom w:w="65" w:type="dxa"/>
              <w:left w:w="100" w:type="dxa"/>
              <w:right w:w="100" w:type="dxa"/>
            </w:tcMar>
          </w:tcPr>
          <w:p>
            <w:r>
              <w:rPr>
                <w:rFonts w:ascii="Calibri" w:hAnsi="Calibri"/>
                <w:color w:val="2D3748"/>
                <w:sz w:val="15"/>
              </w:rPr>
              <w:t>Hydration Kinetics &amp; Time-Course Water Absorption (25°C, 40°C, 60°C)</w:t>
            </w:r>
          </w:p>
        </w:tc>
        <w:tc>
          <w:tcPr>
            <w:tcW w:type="dxa" w:w="2520"/>
            <w:tcMar>
              <w:top w:w="65" w:type="dxa"/>
              <w:bottom w:w="65" w:type="dxa"/>
              <w:left w:w="100" w:type="dxa"/>
              <w:right w:w="100" w:type="dxa"/>
            </w:tcMar>
          </w:tcPr>
          <w:p>
            <w:r>
              <w:rPr>
                <w:rFonts w:ascii="Calibri" w:hAnsi="Calibri"/>
                <w:color w:val="2D3748"/>
                <w:sz w:val="15"/>
              </w:rPr>
              <w:t>300 g</w:t>
            </w:r>
          </w:p>
        </w:tc>
        <w:tc>
          <w:tcPr>
            <w:tcW w:type="dxa" w:w="2520"/>
            <w:tcMar>
              <w:top w:w="65" w:type="dxa"/>
              <w:bottom w:w="65" w:type="dxa"/>
              <w:left w:w="100" w:type="dxa"/>
              <w:right w:w="100" w:type="dxa"/>
            </w:tcMar>
          </w:tcPr>
          <w:p>
            <w:r>
              <w:rPr>
                <w:rFonts w:ascii="Calibri" w:hAnsi="Calibri"/>
                <w:color w:val="2D3748"/>
                <w:sz w:val="15"/>
              </w:rPr>
              <w:t>Full kinetic curves across 3 temperatures</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MOD-06</w:t>
            </w:r>
          </w:p>
        </w:tc>
        <w:tc>
          <w:tcPr>
            <w:tcW w:type="dxa" w:w="2520"/>
            <w:shd w:fill="F7FAFC"/>
            <w:tcMar>
              <w:top w:w="65" w:type="dxa"/>
              <w:bottom w:w="65" w:type="dxa"/>
              <w:left w:w="100" w:type="dxa"/>
              <w:right w:w="100" w:type="dxa"/>
            </w:tcMar>
          </w:tcPr>
          <w:p>
            <w:r>
              <w:rPr>
                <w:rFonts w:ascii="Calibri" w:hAnsi="Calibri"/>
                <w:color w:val="2D3748"/>
                <w:sz w:val="15"/>
              </w:rPr>
              <w:t>Pectin &amp; Cell-Wall Chemical Fractionation</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Triplicate chemical sequential extraction</w:t>
            </w:r>
          </w:p>
        </w:tc>
      </w:tr>
      <w:tr>
        <w:trPr>
          <w:cantSplit/>
        </w:trPr>
        <w:tc>
          <w:tcPr>
            <w:tcW w:type="dxa" w:w="2520"/>
            <w:tcMar>
              <w:top w:w="65" w:type="dxa"/>
              <w:bottom w:w="65" w:type="dxa"/>
              <w:left w:w="100" w:type="dxa"/>
              <w:right w:w="100" w:type="dxa"/>
            </w:tcMar>
          </w:tcPr>
          <w:p>
            <w:r>
              <w:rPr>
                <w:rFonts w:ascii="Calibri" w:hAnsi="Calibri"/>
                <w:color w:val="2D3748"/>
                <w:sz w:val="15"/>
              </w:rPr>
              <w:t>MOD-07</w:t>
            </w:r>
          </w:p>
        </w:tc>
        <w:tc>
          <w:tcPr>
            <w:tcW w:type="dxa" w:w="2520"/>
            <w:tcMar>
              <w:top w:w="65" w:type="dxa"/>
              <w:bottom w:w="65" w:type="dxa"/>
              <w:left w:w="100" w:type="dxa"/>
              <w:right w:w="100" w:type="dxa"/>
            </w:tcMar>
          </w:tcPr>
          <w:p>
            <w:r>
              <w:rPr>
                <w:rFonts w:ascii="Calibri" w:hAnsi="Calibri"/>
                <w:color w:val="2D3748"/>
                <w:sz w:val="15"/>
              </w:rPr>
              <w:t>Mineral &amp; Phytate Profile (ICP-OES / AAS)</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External accredited laboratory minimum</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MOD-08</w:t>
            </w:r>
          </w:p>
        </w:tc>
        <w:tc>
          <w:tcPr>
            <w:tcW w:type="dxa" w:w="2520"/>
            <w:shd w:fill="F7FAFC"/>
            <w:tcMar>
              <w:top w:w="65" w:type="dxa"/>
              <w:bottom w:w="65" w:type="dxa"/>
              <w:left w:w="100" w:type="dxa"/>
              <w:right w:w="100" w:type="dxa"/>
            </w:tcMar>
          </w:tcPr>
          <w:p>
            <w:r>
              <w:rPr>
                <w:rFonts w:ascii="Calibri" w:hAnsi="Calibri"/>
                <w:color w:val="2D3748"/>
                <w:sz w:val="15"/>
              </w:rPr>
              <w:t>Grain Hardness &amp; Structural Texture Analysis (Load Cell)</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Raw &amp; soaked texture profile runs</w:t>
            </w:r>
          </w:p>
        </w:tc>
      </w:tr>
      <w:tr>
        <w:trPr>
          <w:cantSplit/>
        </w:trPr>
        <w:tc>
          <w:tcPr>
            <w:tcW w:type="dxa" w:w="2520"/>
            <w:tcMar>
              <w:top w:w="65" w:type="dxa"/>
              <w:bottom w:w="65" w:type="dxa"/>
              <w:left w:w="100" w:type="dxa"/>
              <w:right w:w="100" w:type="dxa"/>
            </w:tcMar>
          </w:tcPr>
          <w:p>
            <w:r>
              <w:rPr>
                <w:rFonts w:ascii="Calibri" w:hAnsi="Calibri"/>
                <w:color w:val="2D3748"/>
                <w:sz w:val="15"/>
              </w:rPr>
              <w:t>MOD-09</w:t>
            </w:r>
          </w:p>
        </w:tc>
        <w:tc>
          <w:tcPr>
            <w:tcW w:type="dxa" w:w="2520"/>
            <w:tcMar>
              <w:top w:w="65" w:type="dxa"/>
              <w:bottom w:w="65" w:type="dxa"/>
              <w:left w:w="100" w:type="dxa"/>
              <w:right w:w="100" w:type="dxa"/>
            </w:tcMar>
          </w:tcPr>
          <w:p>
            <w:r>
              <w:rPr>
                <w:rFonts w:ascii="Calibri" w:hAnsi="Calibri"/>
                <w:color w:val="2D3748"/>
                <w:sz w:val="15"/>
              </w:rPr>
              <w:t>Standardized Pressurized Cooking Performance Study</w:t>
            </w:r>
          </w:p>
        </w:tc>
        <w:tc>
          <w:tcPr>
            <w:tcW w:type="dxa" w:w="2520"/>
            <w:tcMar>
              <w:top w:w="65" w:type="dxa"/>
              <w:bottom w:w="65" w:type="dxa"/>
              <w:left w:w="100" w:type="dxa"/>
              <w:right w:w="100" w:type="dxa"/>
            </w:tcMar>
          </w:tcPr>
          <w:p>
            <w:r>
              <w:rPr>
                <w:rFonts w:ascii="Calibri" w:hAnsi="Calibri"/>
                <w:color w:val="2D3748"/>
                <w:sz w:val="15"/>
              </w:rPr>
              <w:t>400 g</w:t>
            </w:r>
          </w:p>
        </w:tc>
        <w:tc>
          <w:tcPr>
            <w:tcW w:type="dxa" w:w="2520"/>
            <w:tcMar>
              <w:top w:w="65" w:type="dxa"/>
              <w:bottom w:w="65" w:type="dxa"/>
              <w:left w:w="100" w:type="dxa"/>
              <w:right w:w="100" w:type="dxa"/>
            </w:tcMar>
          </w:tcPr>
          <w:p>
            <w:r>
              <w:rPr>
                <w:rFonts w:ascii="Calibri" w:hAnsi="Calibri"/>
                <w:color w:val="2D3748"/>
                <w:sz w:val="15"/>
              </w:rPr>
              <w:t>Multiple pressurized cooking runs</w:t>
            </w:r>
          </w:p>
        </w:tc>
      </w:tr>
      <w:tr>
        <w:trPr>
          <w:cantSplit/>
        </w:trPr>
        <w:tc>
          <w:tcPr>
            <w:tcW w:type="dxa" w:w="2520"/>
            <w:shd w:fill="F7FAFC"/>
            <w:tcMar>
              <w:top w:w="65" w:type="dxa"/>
              <w:bottom w:w="65" w:type="dxa"/>
              <w:left w:w="100" w:type="dxa"/>
              <w:right w:w="100" w:type="dxa"/>
            </w:tcMar>
          </w:tcPr>
          <w:p>
            <w:r>
              <w:rPr>
                <w:rFonts w:ascii="Calibri" w:hAnsi="Calibri"/>
                <w:color w:val="2D3748"/>
                <w:sz w:val="15"/>
              </w:rPr>
              <w:t>SEC-RET</w:t>
            </w:r>
          </w:p>
        </w:tc>
        <w:tc>
          <w:tcPr>
            <w:tcW w:type="dxa" w:w="2520"/>
            <w:shd w:fill="F7FAFC"/>
            <w:tcMar>
              <w:top w:w="65" w:type="dxa"/>
              <w:bottom w:w="65" w:type="dxa"/>
              <w:left w:w="100" w:type="dxa"/>
              <w:right w:w="100" w:type="dxa"/>
            </w:tcMar>
          </w:tcPr>
          <w:p>
            <w:r>
              <w:rPr>
                <w:rFonts w:ascii="Calibri" w:hAnsi="Calibri"/>
                <w:color w:val="2D3748"/>
                <w:sz w:val="15"/>
              </w:rPr>
              <w:t>Sealed Archival Reference Retention Sample (Dispute &amp; Verification)</w:t>
            </w:r>
          </w:p>
        </w:tc>
        <w:tc>
          <w:tcPr>
            <w:tcW w:type="dxa" w:w="2520"/>
            <w:shd w:fill="F7FAFC"/>
            <w:tcMar>
              <w:top w:w="65" w:type="dxa"/>
              <w:bottom w:w="65" w:type="dxa"/>
              <w:left w:w="100" w:type="dxa"/>
              <w:right w:w="100" w:type="dxa"/>
            </w:tcMar>
          </w:tcPr>
          <w:p>
            <w:r>
              <w:rPr>
                <w:rFonts w:ascii="Calibri" w:hAnsi="Calibri"/>
                <w:color w:val="2D3748"/>
                <w:sz w:val="15"/>
              </w:rPr>
              <w:t>500 g</w:t>
            </w:r>
          </w:p>
        </w:tc>
        <w:tc>
          <w:tcPr>
            <w:tcW w:type="dxa" w:w="2520"/>
            <w:shd w:fill="F7FAFC"/>
            <w:tcMar>
              <w:top w:w="65" w:type="dxa"/>
              <w:bottom w:w="65" w:type="dxa"/>
              <w:left w:w="100" w:type="dxa"/>
              <w:right w:w="100" w:type="dxa"/>
            </w:tcMar>
          </w:tcPr>
          <w:p>
            <w:r>
              <w:rPr>
                <w:rFonts w:ascii="Calibri" w:hAnsi="Calibri"/>
                <w:color w:val="2D3748"/>
                <w:sz w:val="15"/>
              </w:rPr>
              <w:t>Mandatory ISO 17025 climate archive</w:t>
            </w:r>
          </w:p>
        </w:tc>
      </w:tr>
      <w:tr>
        <w:trPr>
          <w:cantSplit/>
        </w:trPr>
        <w:tc>
          <w:tcPr>
            <w:tcW w:type="dxa" w:w="2520"/>
            <w:tcMar>
              <w:top w:w="65" w:type="dxa"/>
              <w:bottom w:w="65" w:type="dxa"/>
              <w:left w:w="100" w:type="dxa"/>
              <w:right w:w="100" w:type="dxa"/>
            </w:tcMar>
          </w:tcPr>
          <w:p>
            <w:r>
              <w:rPr>
                <w:rFonts w:ascii="Calibri" w:hAnsi="Calibri"/>
                <w:color w:val="2D3748"/>
                <w:sz w:val="15"/>
              </w:rPr>
              <w:t>SEC-CON</w:t>
            </w:r>
          </w:p>
        </w:tc>
        <w:tc>
          <w:tcPr>
            <w:tcW w:type="dxa" w:w="2520"/>
            <w:tcMar>
              <w:top w:w="65" w:type="dxa"/>
              <w:bottom w:w="65" w:type="dxa"/>
              <w:left w:w="100" w:type="dxa"/>
              <w:right w:w="100" w:type="dxa"/>
            </w:tcMar>
          </w:tcPr>
          <w:p>
            <w:r>
              <w:rPr>
                <w:rFonts w:ascii="Calibri" w:hAnsi="Calibri"/>
                <w:color w:val="2D3748"/>
                <w:sz w:val="15"/>
              </w:rPr>
              <w:t>Grinding Loss, Handling Contingency &amp; Repeat Margin (~15%)</w:t>
            </w:r>
          </w:p>
        </w:tc>
        <w:tc>
          <w:tcPr>
            <w:tcW w:type="dxa" w:w="2520"/>
            <w:tcMar>
              <w:top w:w="65" w:type="dxa"/>
              <w:bottom w:w="65" w:type="dxa"/>
              <w:left w:w="100" w:type="dxa"/>
              <w:right w:w="100" w:type="dxa"/>
            </w:tcMar>
          </w:tcPr>
          <w:p>
            <w:r>
              <w:rPr>
                <w:rFonts w:ascii="Calibri" w:hAnsi="Calibri"/>
                <w:color w:val="2D3748"/>
                <w:sz w:val="15"/>
              </w:rPr>
              <w:t>300 g</w:t>
            </w:r>
          </w:p>
        </w:tc>
        <w:tc>
          <w:tcPr>
            <w:tcW w:type="dxa" w:w="2520"/>
            <w:tcMar>
              <w:top w:w="65" w:type="dxa"/>
              <w:bottom w:w="65" w:type="dxa"/>
              <w:left w:w="100" w:type="dxa"/>
              <w:right w:w="100" w:type="dxa"/>
            </w:tcMar>
          </w:tcPr>
          <w:p>
            <w:r>
              <w:rPr>
                <w:rFonts w:ascii="Calibri" w:hAnsi="Calibri"/>
                <w:color w:val="2D3748"/>
                <w:sz w:val="15"/>
              </w:rPr>
              <w:t>Milling hold-up and operational buffer</w:t>
            </w:r>
          </w:p>
        </w:tc>
      </w:tr>
      <w:tr>
        <w:trPr>
          <w:cantSplit/>
        </w:trPr>
        <w:tc>
          <w:tcPr>
            <w:tcW w:type="dxa" w:w="2520"/>
            <w:shd w:fill="F7FAFC"/>
            <w:tcMar>
              <w:top w:w="65" w:type="dxa"/>
              <w:bottom w:w="65" w:type="dxa"/>
              <w:left w:w="100" w:type="dxa"/>
              <w:right w:w="100" w:type="dxa"/>
            </w:tcMar>
            <w:shd w:fill="EDF2F7"/>
          </w:tcPr>
          <w:p>
            <w:r>
              <w:rPr>
                <w:rFonts w:ascii="Calibri" w:hAnsi="Calibri"/>
                <w:b/>
                <w:color w:val="2D3748"/>
                <w:sz w:val="15"/>
              </w:rPr>
              <w:t>TOTAL LOT BUDGET</w:t>
            </w:r>
          </w:p>
        </w:tc>
        <w:tc>
          <w:tcPr>
            <w:tcW w:type="dxa" w:w="2520"/>
            <w:shd w:fill="F7FAFC"/>
            <w:tcMar>
              <w:top w:w="65" w:type="dxa"/>
              <w:bottom w:w="65" w:type="dxa"/>
              <w:left w:w="100" w:type="dxa"/>
              <w:right w:w="100" w:type="dxa"/>
            </w:tcMar>
            <w:shd w:fill="EDF2F7"/>
          </w:tcPr>
          <w:p>
            <w:r>
              <w:rPr>
                <w:rFonts w:ascii="Calibri" w:hAnsi="Calibri"/>
                <w:b/>
                <w:color w:val="2D3748"/>
                <w:sz w:val="15"/>
              </w:rPr>
              <w:t>Total Requisite Sample Mass per Grain Lot</w:t>
            </w:r>
          </w:p>
        </w:tc>
        <w:tc>
          <w:tcPr>
            <w:tcW w:type="dxa" w:w="2520"/>
            <w:shd w:fill="F7FAFC"/>
            <w:tcMar>
              <w:top w:w="65" w:type="dxa"/>
              <w:bottom w:w="65" w:type="dxa"/>
              <w:left w:w="100" w:type="dxa"/>
              <w:right w:w="100" w:type="dxa"/>
            </w:tcMar>
            <w:shd w:fill="EDF2F7"/>
          </w:tcPr>
          <w:p>
            <w:r>
              <w:rPr>
                <w:rFonts w:ascii="Calibri" w:hAnsi="Calibri"/>
                <w:b/>
                <w:color w:val="2D3748"/>
                <w:sz w:val="15"/>
              </w:rPr>
              <w:t>2,550 g (2.55 kg)</w:t>
            </w:r>
          </w:p>
        </w:tc>
        <w:tc>
          <w:tcPr>
            <w:tcW w:type="dxa" w:w="2520"/>
            <w:shd w:fill="F7FAFC"/>
            <w:tcMar>
              <w:top w:w="65" w:type="dxa"/>
              <w:bottom w:w="65" w:type="dxa"/>
              <w:left w:w="100" w:type="dxa"/>
              <w:right w:w="100" w:type="dxa"/>
            </w:tcMar>
            <w:shd w:fill="EDF2F7"/>
          </w:tcPr>
          <w:p>
            <w:r>
              <w:rPr>
                <w:rFonts w:ascii="Calibri" w:hAnsi="Calibri"/>
                <w:b/>
                <w:color w:val="2D3748"/>
                <w:sz w:val="15"/>
              </w:rPr>
              <w:t>Strictly fits within 2.5–3.0 kg allocation</w:t>
            </w:r>
          </w:p>
        </w:tc>
      </w:tr>
    </w:tbl>
    <w:p>
      <w:pPr>
        <w:spacing w:before="0" w:after="60" w:line="276" w:lineRule="auto"/>
      </w:pPr>
      <w:r>
        <w:rPr>
          <w:rFonts w:ascii="Calibri" w:hAnsi="Calibri"/>
          <w:color w:val="2D3748"/>
          <w:sz w:val="17"/>
        </w:rPr>
        <w:t>Multi-Lot Commercial Options: The source SOW states that two independent lots of each sample should be evaluated where possible. However, arithmetic demonstrates that 2.5 kg of material covers exactly ONE lot evaluated across three preparation batches and technical triplicates. Subsampling a single commercial bag does NOT produce independent lots. To provide total commercial transparency, FinnoaQ offers two structured options for client approval:</w:t>
      </w:r>
    </w:p>
    <w:p>
      <w:pPr>
        <w:spacing w:before="0" w:after="60" w:line="276" w:lineRule="auto"/>
      </w:pPr>
      <w:r>
        <w:rPr>
          <w:rFonts w:ascii="Calibri" w:hAnsi="Calibri"/>
          <w:b/>
          <w:color w:val="1A365D"/>
          <w:sz w:val="17"/>
        </w:rPr>
        <w:t xml:space="preserve">Option 1: </w:t>
      </w:r>
      <w:r>
        <w:rPr>
          <w:rFonts w:ascii="Calibri" w:hAnsi="Calibri"/>
          <w:color w:val="2D3748"/>
          <w:sz w:val="17"/>
        </w:rPr>
        <w:t>• Option 1 (Baseline Scoped SOW — ₹1,73,000 + GST): Two traceable commercial samples (1 Tanzanian Lot + 1 Indian Benchmark Lot), 2.5–3.0 kg each. Provides rigorous, lot-specific diagnostic comparison within the original budget and 20–25 business day timeline.</w:t>
      </w:r>
    </w:p>
    <w:p>
      <w:pPr>
        <w:spacing w:before="0" w:after="60" w:line="276" w:lineRule="auto"/>
      </w:pPr>
      <w:r>
        <w:rPr>
          <w:rFonts w:ascii="Calibri" w:hAnsi="Calibri"/>
          <w:b/>
          <w:color w:val="1A365D"/>
          <w:sz w:val="17"/>
        </w:rPr>
        <w:t xml:space="preserve">Option 2: </w:t>
      </w:r>
      <w:r>
        <w:rPr>
          <w:rFonts w:ascii="Calibri" w:hAnsi="Calibri"/>
          <w:color w:val="2D3748"/>
          <w:sz w:val="17"/>
        </w:rPr>
        <w:t>• Option 2 (Multi-Lot Expanded Variation — ₹2,85,000 + GST): Four independently traceable commercial lots (2 Tanzanian import consignments + 2 Indian regional benchmarks), 2.5–3.0 kg each. Requires doubling analytical laboratory runs, expanding inter-lot statistical variance modeling, and an extended 30–35 business day timeline.</w:t>
      </w:r>
    </w:p>
    <w:p>
      <w:pPr>
        <w:keepNext/>
        <w:spacing w:before="260" w:after="60"/>
      </w:pPr>
      <w:r>
        <w:rPr>
          <w:rFonts w:ascii="Calibri" w:hAnsi="Calibri"/>
          <w:b/>
          <w:color w:val="1A365D"/>
          <w:sz w:val="23"/>
        </w:rPr>
        <w:t>8. Technical Investigation Matrix</w:t>
      </w:r>
    </w:p>
    <w:p>
      <w:pPr>
        <w:spacing w:before="0" w:after="60" w:line="276" w:lineRule="auto"/>
      </w:pPr>
      <w:r>
        <w:rPr>
          <w:rFonts w:ascii="Calibri" w:hAnsi="Calibri"/>
          <w:color w:val="2D3748"/>
          <w:sz w:val="17"/>
        </w:rPr>
        <w:t>The multi-module experimental investigation matrix integrates all physical, chemical, structural, and cooking evaluations across the two comparative samples: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2160"/>
        <w:gridCol w:w="2592"/>
        <w:gridCol w:w="2016"/>
        <w:gridCol w:w="2160"/>
      </w:tblGrid>
      <w:tr>
        <w:trPr>
          <w:tblHeader/>
          <w:cantSplit/>
        </w:trPr>
        <w:tc>
          <w:tcPr>
            <w:tcW w:type="dxa" w:w="2016"/>
            <w:shd w:fill="1A365D"/>
            <w:tcMar>
              <w:top w:w="100" w:type="dxa"/>
              <w:bottom w:w="100" w:type="dxa"/>
              <w:left w:w="100" w:type="dxa"/>
              <w:right w:w="100" w:type="dxa"/>
            </w:tcMar>
          </w:tcPr>
          <w:p>
            <w:pPr>
              <w:jc w:val="left"/>
            </w:pPr>
            <w:r>
              <w:t>Module</w:t>
            </w:r>
          </w:p>
        </w:tc>
        <w:tc>
          <w:tcPr>
            <w:tcW w:type="dxa" w:w="2016"/>
            <w:shd w:fill="1A365D"/>
            <w:tcMar>
              <w:top w:w="100" w:type="dxa"/>
              <w:bottom w:w="100" w:type="dxa"/>
              <w:left w:w="100" w:type="dxa"/>
              <w:right w:w="100" w:type="dxa"/>
            </w:tcMar>
          </w:tcPr>
          <w:p>
            <w:pPr>
              <w:jc w:val="left"/>
            </w:pPr>
            <w:r>
              <w:t>Analytical Domain</w:t>
            </w:r>
          </w:p>
        </w:tc>
        <w:tc>
          <w:tcPr>
            <w:tcW w:type="dxa" w:w="2016"/>
            <w:shd w:fill="1A365D"/>
            <w:tcMar>
              <w:top w:w="100" w:type="dxa"/>
              <w:bottom w:w="100" w:type="dxa"/>
              <w:left w:w="100" w:type="dxa"/>
              <w:right w:w="100" w:type="dxa"/>
            </w:tcMar>
          </w:tcPr>
          <w:p>
            <w:pPr>
              <w:jc w:val="left"/>
            </w:pPr>
            <w:r>
              <w:t>Key Parameters Measured</w:t>
            </w:r>
          </w:p>
        </w:tc>
        <w:tc>
          <w:tcPr>
            <w:tcW w:type="dxa" w:w="2016"/>
            <w:shd w:fill="1A365D"/>
            <w:tcMar>
              <w:top w:w="100" w:type="dxa"/>
              <w:bottom w:w="100" w:type="dxa"/>
              <w:left w:w="100" w:type="dxa"/>
              <w:right w:w="100" w:type="dxa"/>
            </w:tcMar>
          </w:tcPr>
          <w:p>
            <w:pPr>
              <w:jc w:val="left"/>
            </w:pPr>
            <w:r>
              <w:t>Standard Method / Instrument</w:t>
            </w:r>
          </w:p>
        </w:tc>
        <w:tc>
          <w:tcPr>
            <w:tcW w:type="dxa" w:w="2016"/>
            <w:shd w:fill="1A365D"/>
            <w:tcMar>
              <w:top w:w="100" w:type="dxa"/>
              <w:bottom w:w="100" w:type="dxa"/>
              <w:left w:w="100" w:type="dxa"/>
              <w:right w:w="100" w:type="dxa"/>
            </w:tcMar>
          </w:tcPr>
          <w:p>
            <w:pPr>
              <w:jc w:val="left"/>
            </w:pPr>
            <w:r>
              <w:t>Decision Relevance</w:t>
            </w:r>
          </w:p>
        </w:tc>
      </w:tr>
      <w:tr>
        <w:trPr>
          <w:cantSplit/>
        </w:trPr>
        <w:tc>
          <w:tcPr>
            <w:tcW w:type="dxa" w:w="2016"/>
            <w:tcMar>
              <w:top w:w="65" w:type="dxa"/>
              <w:bottom w:w="65" w:type="dxa"/>
              <w:left w:w="100" w:type="dxa"/>
              <w:right w:w="100" w:type="dxa"/>
            </w:tcMar>
          </w:tcPr>
          <w:p>
            <w:r>
              <w:rPr>
                <w:rFonts w:ascii="Calibri" w:hAnsi="Calibri"/>
                <w:b/>
                <w:color w:val="2D3748"/>
                <w:sz w:val="14"/>
              </w:rPr>
              <w:t>MOD-01</w:t>
            </w:r>
          </w:p>
        </w:tc>
        <w:tc>
          <w:tcPr>
            <w:tcW w:type="dxa" w:w="2016"/>
            <w:tcMar>
              <w:top w:w="65" w:type="dxa"/>
              <w:bottom w:w="65" w:type="dxa"/>
              <w:left w:w="100" w:type="dxa"/>
              <w:right w:w="100" w:type="dxa"/>
            </w:tcMar>
          </w:tcPr>
          <w:p>
            <w:r>
              <w:rPr>
                <w:rFonts w:ascii="Calibri" w:hAnsi="Calibri"/>
                <w:color w:val="2D3748"/>
                <w:sz w:val="14"/>
              </w:rPr>
              <w:t>Physical &amp; Integrity</w:t>
            </w:r>
          </w:p>
        </w:tc>
        <w:tc>
          <w:tcPr>
            <w:tcW w:type="dxa" w:w="2016"/>
            <w:tcMar>
              <w:top w:w="65" w:type="dxa"/>
              <w:bottom w:w="65" w:type="dxa"/>
              <w:left w:w="100" w:type="dxa"/>
              <w:right w:w="100" w:type="dxa"/>
            </w:tcMar>
          </w:tcPr>
          <w:p>
            <w:r>
              <w:rPr>
                <w:rFonts w:ascii="Calibri" w:hAnsi="Calibri"/>
                <w:color w:val="2D3748"/>
                <w:sz w:val="14"/>
              </w:rPr>
              <w:t>Dimensions, 1000-grain weight, bulk density, broken grains, seed-coat %.</w:t>
            </w:r>
          </w:p>
        </w:tc>
        <w:tc>
          <w:tcPr>
            <w:tcW w:type="dxa" w:w="2016"/>
            <w:tcMar>
              <w:top w:w="65" w:type="dxa"/>
              <w:bottom w:w="65" w:type="dxa"/>
              <w:left w:w="100" w:type="dxa"/>
              <w:right w:w="100" w:type="dxa"/>
            </w:tcMar>
          </w:tcPr>
          <w:p>
            <w:r>
              <w:rPr>
                <w:rFonts w:ascii="Calibri" w:hAnsi="Calibri"/>
                <w:color w:val="2D3748"/>
                <w:sz w:val="14"/>
              </w:rPr>
              <w:t>IS 4333 / Caliper &amp; Density Flask</w:t>
            </w:r>
          </w:p>
        </w:tc>
        <w:tc>
          <w:tcPr>
            <w:tcW w:type="dxa" w:w="2016"/>
            <w:tcMar>
              <w:top w:w="65" w:type="dxa"/>
              <w:bottom w:w="65" w:type="dxa"/>
              <w:left w:w="100" w:type="dxa"/>
              <w:right w:w="100" w:type="dxa"/>
            </w:tcMar>
          </w:tcPr>
          <w:p>
            <w:r>
              <w:rPr>
                <w:rFonts w:ascii="Calibri" w:hAnsi="Calibri"/>
                <w:color w:val="2D3748"/>
                <w:sz w:val="14"/>
              </w:rPr>
              <w:t>Identifies geometric barriers &amp; milling quality.</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MOD-02</w:t>
            </w:r>
          </w:p>
        </w:tc>
        <w:tc>
          <w:tcPr>
            <w:tcW w:type="dxa" w:w="2016"/>
            <w:shd w:fill="F7FAFC"/>
            <w:tcMar>
              <w:top w:w="65" w:type="dxa"/>
              <w:bottom w:w="65" w:type="dxa"/>
              <w:left w:w="100" w:type="dxa"/>
              <w:right w:w="100" w:type="dxa"/>
            </w:tcMar>
          </w:tcPr>
          <w:p>
            <w:r>
              <w:rPr>
                <w:rFonts w:ascii="Calibri" w:hAnsi="Calibri"/>
                <w:color w:val="2D3748"/>
                <w:sz w:val="14"/>
              </w:rPr>
              <w:t>Proximate Composition</w:t>
            </w:r>
          </w:p>
        </w:tc>
        <w:tc>
          <w:tcPr>
            <w:tcW w:type="dxa" w:w="2016"/>
            <w:shd w:fill="F7FAFC"/>
            <w:tcMar>
              <w:top w:w="65" w:type="dxa"/>
              <w:bottom w:w="65" w:type="dxa"/>
              <w:left w:w="100" w:type="dxa"/>
              <w:right w:w="100" w:type="dxa"/>
            </w:tcMar>
          </w:tcPr>
          <w:p>
            <w:r>
              <w:rPr>
                <w:rFonts w:ascii="Calibri" w:hAnsi="Calibri"/>
                <w:color w:val="2D3748"/>
                <w:sz w:val="14"/>
              </w:rPr>
              <w:t>Moisture (WB), crude protein, crude fat, crude fibre, total ash, carbohydrates.</w:t>
            </w:r>
          </w:p>
        </w:tc>
        <w:tc>
          <w:tcPr>
            <w:tcW w:type="dxa" w:w="2016"/>
            <w:shd w:fill="F7FAFC"/>
            <w:tcMar>
              <w:top w:w="65" w:type="dxa"/>
              <w:bottom w:w="65" w:type="dxa"/>
              <w:left w:w="100" w:type="dxa"/>
              <w:right w:w="100" w:type="dxa"/>
            </w:tcMar>
          </w:tcPr>
          <w:p>
            <w:r>
              <w:rPr>
                <w:rFonts w:ascii="Calibri" w:hAnsi="Calibri"/>
                <w:color w:val="2D3748"/>
                <w:sz w:val="14"/>
              </w:rPr>
              <w:t>AOAC 925.10 / 920.87 / 922.06 / 923.03</w:t>
            </w:r>
          </w:p>
        </w:tc>
        <w:tc>
          <w:tcPr>
            <w:tcW w:type="dxa" w:w="2016"/>
            <w:shd w:fill="F7FAFC"/>
            <w:tcMar>
              <w:top w:w="65" w:type="dxa"/>
              <w:bottom w:w="65" w:type="dxa"/>
              <w:left w:w="100" w:type="dxa"/>
              <w:right w:w="100" w:type="dxa"/>
            </w:tcMar>
          </w:tcPr>
          <w:p>
            <w:r>
              <w:rPr>
                <w:rFonts w:ascii="Calibri" w:hAnsi="Calibri"/>
                <w:color w:val="2D3748"/>
                <w:sz w:val="14"/>
              </w:rPr>
              <w:t>Establishes baseline chemical composition &amp; dry matter.</w:t>
            </w:r>
          </w:p>
        </w:tc>
      </w:tr>
      <w:tr>
        <w:trPr>
          <w:cantSplit/>
        </w:trPr>
        <w:tc>
          <w:tcPr>
            <w:tcW w:type="dxa" w:w="2016"/>
            <w:tcMar>
              <w:top w:w="65" w:type="dxa"/>
              <w:bottom w:w="65" w:type="dxa"/>
              <w:left w:w="100" w:type="dxa"/>
              <w:right w:w="100" w:type="dxa"/>
            </w:tcMar>
          </w:tcPr>
          <w:p>
            <w:r>
              <w:rPr>
                <w:rFonts w:ascii="Calibri" w:hAnsi="Calibri"/>
                <w:b/>
                <w:color w:val="2D3748"/>
                <w:sz w:val="14"/>
              </w:rPr>
              <w:t>MOD-03</w:t>
            </w:r>
          </w:p>
        </w:tc>
        <w:tc>
          <w:tcPr>
            <w:tcW w:type="dxa" w:w="2016"/>
            <w:tcMar>
              <w:top w:w="65" w:type="dxa"/>
              <w:bottom w:w="65" w:type="dxa"/>
              <w:left w:w="100" w:type="dxa"/>
              <w:right w:w="100" w:type="dxa"/>
            </w:tcMar>
          </w:tcPr>
          <w:p>
            <w:r>
              <w:rPr>
                <w:rFonts w:ascii="Calibri" w:hAnsi="Calibri"/>
                <w:color w:val="2D3748"/>
                <w:sz w:val="14"/>
              </w:rPr>
              <w:t>Starch Properties</w:t>
            </w:r>
          </w:p>
        </w:tc>
        <w:tc>
          <w:tcPr>
            <w:tcW w:type="dxa" w:w="2016"/>
            <w:tcMar>
              <w:top w:w="65" w:type="dxa"/>
              <w:bottom w:w="65" w:type="dxa"/>
              <w:left w:w="100" w:type="dxa"/>
              <w:right w:w="100" w:type="dxa"/>
            </w:tcMar>
          </w:tcPr>
          <w:p>
            <w:r>
              <w:rPr>
                <w:rFonts w:ascii="Calibri" w:hAnsi="Calibri"/>
                <w:color w:val="2D3748"/>
                <w:sz w:val="14"/>
              </w:rPr>
              <w:t>Total starch content, amylose percentage, amylopectin ratio.</w:t>
            </w:r>
          </w:p>
        </w:tc>
        <w:tc>
          <w:tcPr>
            <w:tcW w:type="dxa" w:w="2016"/>
            <w:tcMar>
              <w:top w:w="65" w:type="dxa"/>
              <w:bottom w:w="65" w:type="dxa"/>
              <w:left w:w="100" w:type="dxa"/>
              <w:right w:w="100" w:type="dxa"/>
            </w:tcMar>
          </w:tcPr>
          <w:p>
            <w:r>
              <w:rPr>
                <w:rFonts w:ascii="Calibri" w:hAnsi="Calibri"/>
                <w:color w:val="2D3748"/>
                <w:sz w:val="14"/>
              </w:rPr>
              <w:t>Megazyme K-AMYL / Spectrophotometry</w:t>
            </w:r>
          </w:p>
        </w:tc>
        <w:tc>
          <w:tcPr>
            <w:tcW w:type="dxa" w:w="2016"/>
            <w:tcMar>
              <w:top w:w="65" w:type="dxa"/>
              <w:bottom w:w="65" w:type="dxa"/>
              <w:left w:w="100" w:type="dxa"/>
              <w:right w:w="100" w:type="dxa"/>
            </w:tcMar>
          </w:tcPr>
          <w:p>
            <w:r>
              <w:rPr>
                <w:rFonts w:ascii="Calibri" w:hAnsi="Calibri"/>
                <w:color w:val="2D3748"/>
                <w:sz w:val="14"/>
              </w:rPr>
              <w:t>Assesses starch retrogradation &amp; swelling potential.</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MOD-04</w:t>
            </w:r>
          </w:p>
        </w:tc>
        <w:tc>
          <w:tcPr>
            <w:tcW w:type="dxa" w:w="2016"/>
            <w:shd w:fill="F7FAFC"/>
            <w:tcMar>
              <w:top w:w="65" w:type="dxa"/>
              <w:bottom w:w="65" w:type="dxa"/>
              <w:left w:w="100" w:type="dxa"/>
              <w:right w:w="100" w:type="dxa"/>
            </w:tcMar>
          </w:tcPr>
          <w:p>
            <w:r>
              <w:rPr>
                <w:rFonts w:ascii="Calibri" w:hAnsi="Calibri"/>
                <w:color w:val="2D3748"/>
                <w:sz w:val="14"/>
              </w:rPr>
              <w:t>DSC Thermal Behavior</w:t>
            </w:r>
          </w:p>
        </w:tc>
        <w:tc>
          <w:tcPr>
            <w:tcW w:type="dxa" w:w="2016"/>
            <w:shd w:fill="F7FAFC"/>
            <w:tcMar>
              <w:top w:w="65" w:type="dxa"/>
              <w:bottom w:w="65" w:type="dxa"/>
              <w:left w:w="100" w:type="dxa"/>
              <w:right w:w="100" w:type="dxa"/>
            </w:tcMar>
          </w:tcPr>
          <w:p>
            <w:r>
              <w:rPr>
                <w:rFonts w:ascii="Calibri" w:hAnsi="Calibri"/>
                <w:color w:val="2D3748"/>
                <w:sz w:val="14"/>
              </w:rPr>
              <w:t>Gelatinization onset (To), peak (Tp), conclusion (Tc), enthalpy (ΔHgel).</w:t>
            </w:r>
          </w:p>
        </w:tc>
        <w:tc>
          <w:tcPr>
            <w:tcW w:type="dxa" w:w="2016"/>
            <w:shd w:fill="F7FAFC"/>
            <w:tcMar>
              <w:top w:w="65" w:type="dxa"/>
              <w:bottom w:w="65" w:type="dxa"/>
              <w:left w:w="100" w:type="dxa"/>
              <w:right w:w="100" w:type="dxa"/>
            </w:tcMar>
          </w:tcPr>
          <w:p>
            <w:r>
              <w:rPr>
                <w:rFonts w:ascii="Calibri" w:hAnsi="Calibri"/>
                <w:color w:val="2D3748"/>
                <w:sz w:val="14"/>
              </w:rPr>
              <w:t>AACC 56-11.02 / Differential Scanning Calorimeter</w:t>
            </w:r>
          </w:p>
        </w:tc>
        <w:tc>
          <w:tcPr>
            <w:tcW w:type="dxa" w:w="2016"/>
            <w:shd w:fill="F7FAFC"/>
            <w:tcMar>
              <w:top w:w="65" w:type="dxa"/>
              <w:bottom w:w="65" w:type="dxa"/>
              <w:left w:w="100" w:type="dxa"/>
              <w:right w:w="100" w:type="dxa"/>
            </w:tcMar>
          </w:tcPr>
          <w:p>
            <w:r>
              <w:rPr>
                <w:rFonts w:ascii="Calibri" w:hAnsi="Calibri"/>
                <w:color w:val="2D3748"/>
                <w:sz w:val="14"/>
              </w:rPr>
              <w:t>Identifies if starch requires higher cooking temperature.</w:t>
            </w:r>
          </w:p>
        </w:tc>
      </w:tr>
      <w:tr>
        <w:trPr>
          <w:cantSplit/>
        </w:trPr>
        <w:tc>
          <w:tcPr>
            <w:tcW w:type="dxa" w:w="2016"/>
            <w:tcMar>
              <w:top w:w="65" w:type="dxa"/>
              <w:bottom w:w="65" w:type="dxa"/>
              <w:left w:w="100" w:type="dxa"/>
              <w:right w:w="100" w:type="dxa"/>
            </w:tcMar>
          </w:tcPr>
          <w:p>
            <w:r>
              <w:rPr>
                <w:rFonts w:ascii="Calibri" w:hAnsi="Calibri"/>
                <w:b/>
                <w:color w:val="2D3748"/>
                <w:sz w:val="14"/>
              </w:rPr>
              <w:t>MOD-05</w:t>
            </w:r>
          </w:p>
        </w:tc>
        <w:tc>
          <w:tcPr>
            <w:tcW w:type="dxa" w:w="2016"/>
            <w:tcMar>
              <w:top w:w="65" w:type="dxa"/>
              <w:bottom w:w="65" w:type="dxa"/>
              <w:left w:w="100" w:type="dxa"/>
              <w:right w:w="100" w:type="dxa"/>
            </w:tcMar>
          </w:tcPr>
          <w:p>
            <w:r>
              <w:rPr>
                <w:rFonts w:ascii="Calibri" w:hAnsi="Calibri"/>
                <w:color w:val="2D3748"/>
                <w:sz w:val="14"/>
              </w:rPr>
              <w:t>Hydration Kinetics</w:t>
            </w:r>
          </w:p>
        </w:tc>
        <w:tc>
          <w:tcPr>
            <w:tcW w:type="dxa" w:w="2016"/>
            <w:tcMar>
              <w:top w:w="65" w:type="dxa"/>
              <w:bottom w:w="65" w:type="dxa"/>
              <w:left w:w="100" w:type="dxa"/>
              <w:right w:w="100" w:type="dxa"/>
            </w:tcMar>
          </w:tcPr>
          <w:p>
            <w:r>
              <w:rPr>
                <w:rFonts w:ascii="Calibri" w:hAnsi="Calibri"/>
                <w:color w:val="2D3748"/>
                <w:sz w:val="14"/>
              </w:rPr>
              <w:t>Water absorption rate (k), equilibrium capacity, leached solids at 25/40/60°C.</w:t>
            </w:r>
          </w:p>
        </w:tc>
        <w:tc>
          <w:tcPr>
            <w:tcW w:type="dxa" w:w="2016"/>
            <w:tcMar>
              <w:top w:w="65" w:type="dxa"/>
              <w:bottom w:w="65" w:type="dxa"/>
              <w:left w:w="100" w:type="dxa"/>
              <w:right w:w="100" w:type="dxa"/>
            </w:tcMar>
          </w:tcPr>
          <w:p>
            <w:r>
              <w:rPr>
                <w:rFonts w:ascii="Calibri" w:hAnsi="Calibri"/>
                <w:color w:val="2D3748"/>
                <w:sz w:val="14"/>
              </w:rPr>
              <w:t>AACC 56-20 / Gravimetric Kinetic Cell</w:t>
            </w:r>
          </w:p>
        </w:tc>
        <w:tc>
          <w:tcPr>
            <w:tcW w:type="dxa" w:w="2016"/>
            <w:tcMar>
              <w:top w:w="65" w:type="dxa"/>
              <w:bottom w:w="65" w:type="dxa"/>
              <w:left w:w="100" w:type="dxa"/>
              <w:right w:w="100" w:type="dxa"/>
            </w:tcMar>
          </w:tcPr>
          <w:p>
            <w:r>
              <w:rPr>
                <w:rFonts w:ascii="Calibri" w:hAnsi="Calibri"/>
                <w:color w:val="2D3748"/>
                <w:sz w:val="14"/>
              </w:rPr>
              <w:t>Isolates water penetration rate from cooking reactions.</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MOD-06</w:t>
            </w:r>
          </w:p>
        </w:tc>
        <w:tc>
          <w:tcPr>
            <w:tcW w:type="dxa" w:w="2016"/>
            <w:shd w:fill="F7FAFC"/>
            <w:tcMar>
              <w:top w:w="65" w:type="dxa"/>
              <w:bottom w:w="65" w:type="dxa"/>
              <w:left w:w="100" w:type="dxa"/>
              <w:right w:w="100" w:type="dxa"/>
            </w:tcMar>
          </w:tcPr>
          <w:p>
            <w:r>
              <w:rPr>
                <w:rFonts w:ascii="Calibri" w:hAnsi="Calibri"/>
                <w:color w:val="2D3748"/>
                <w:sz w:val="14"/>
              </w:rPr>
              <w:t>Pectin &amp; Cell-Wall</w:t>
            </w:r>
          </w:p>
        </w:tc>
        <w:tc>
          <w:tcPr>
            <w:tcW w:type="dxa" w:w="2016"/>
            <w:shd w:fill="F7FAFC"/>
            <w:tcMar>
              <w:top w:w="65" w:type="dxa"/>
              <w:bottom w:w="65" w:type="dxa"/>
              <w:left w:w="100" w:type="dxa"/>
              <w:right w:w="100" w:type="dxa"/>
            </w:tcMar>
          </w:tcPr>
          <w:p>
            <w:r>
              <w:rPr>
                <w:rFonts w:ascii="Calibri" w:hAnsi="Calibri"/>
                <w:color w:val="2D3748"/>
                <w:sz w:val="14"/>
              </w:rPr>
              <w:t>Water-, oxalate-, alkali-soluble pectin, degree of esterification (DE).</w:t>
            </w:r>
          </w:p>
        </w:tc>
        <w:tc>
          <w:tcPr>
            <w:tcW w:type="dxa" w:w="2016"/>
            <w:shd w:fill="F7FAFC"/>
            <w:tcMar>
              <w:top w:w="65" w:type="dxa"/>
              <w:bottom w:w="65" w:type="dxa"/>
              <w:left w:w="100" w:type="dxa"/>
              <w:right w:w="100" w:type="dxa"/>
            </w:tcMar>
          </w:tcPr>
          <w:p>
            <w:r>
              <w:rPr>
                <w:rFonts w:ascii="Calibri" w:hAnsi="Calibri"/>
                <w:color w:val="2D3748"/>
                <w:sz w:val="14"/>
              </w:rPr>
              <w:t>Carbohydrate Polymers / Chemical Fractionation</w:t>
            </w:r>
          </w:p>
        </w:tc>
        <w:tc>
          <w:tcPr>
            <w:tcW w:type="dxa" w:w="2016"/>
            <w:shd w:fill="F7FAFC"/>
            <w:tcMar>
              <w:top w:w="65" w:type="dxa"/>
              <w:bottom w:w="65" w:type="dxa"/>
              <w:left w:w="100" w:type="dxa"/>
              <w:right w:w="100" w:type="dxa"/>
            </w:tcMar>
          </w:tcPr>
          <w:p>
            <w:r>
              <w:rPr>
                <w:rFonts w:ascii="Calibri" w:hAnsi="Calibri"/>
                <w:color w:val="2D3748"/>
                <w:sz w:val="14"/>
              </w:rPr>
              <w:t>Tests middle lamella pectin solubility &amp; crosslinking.</w:t>
            </w:r>
          </w:p>
        </w:tc>
      </w:tr>
      <w:tr>
        <w:trPr>
          <w:cantSplit/>
        </w:trPr>
        <w:tc>
          <w:tcPr>
            <w:tcW w:type="dxa" w:w="2016"/>
            <w:tcMar>
              <w:top w:w="65" w:type="dxa"/>
              <w:bottom w:w="65" w:type="dxa"/>
              <w:left w:w="100" w:type="dxa"/>
              <w:right w:w="100" w:type="dxa"/>
            </w:tcMar>
          </w:tcPr>
          <w:p>
            <w:r>
              <w:rPr>
                <w:rFonts w:ascii="Calibri" w:hAnsi="Calibri"/>
                <w:b/>
                <w:color w:val="2D3748"/>
                <w:sz w:val="14"/>
              </w:rPr>
              <w:t>MOD-07</w:t>
            </w:r>
          </w:p>
        </w:tc>
        <w:tc>
          <w:tcPr>
            <w:tcW w:type="dxa" w:w="2016"/>
            <w:tcMar>
              <w:top w:w="65" w:type="dxa"/>
              <w:bottom w:w="65" w:type="dxa"/>
              <w:left w:w="100" w:type="dxa"/>
              <w:right w:w="100" w:type="dxa"/>
            </w:tcMar>
          </w:tcPr>
          <w:p>
            <w:r>
              <w:rPr>
                <w:rFonts w:ascii="Calibri" w:hAnsi="Calibri"/>
                <w:color w:val="2D3748"/>
                <w:sz w:val="14"/>
              </w:rPr>
              <w:t>Minerals &amp; Phytate</w:t>
            </w:r>
          </w:p>
        </w:tc>
        <w:tc>
          <w:tcPr>
            <w:tcW w:type="dxa" w:w="2016"/>
            <w:tcMar>
              <w:top w:w="65" w:type="dxa"/>
              <w:bottom w:w="65" w:type="dxa"/>
              <w:left w:w="100" w:type="dxa"/>
              <w:right w:w="100" w:type="dxa"/>
            </w:tcMar>
          </w:tcPr>
          <w:p>
            <w:r>
              <w:rPr>
                <w:rFonts w:ascii="Calibri" w:hAnsi="Calibri"/>
                <w:color w:val="2D3748"/>
                <w:sz w:val="14"/>
              </w:rPr>
              <w:t>Calcium, magnesium, iron, phosphorus, potassium, phytic acid, Ca:phytate ratio.</w:t>
            </w:r>
          </w:p>
        </w:tc>
        <w:tc>
          <w:tcPr>
            <w:tcW w:type="dxa" w:w="2016"/>
            <w:tcMar>
              <w:top w:w="65" w:type="dxa"/>
              <w:bottom w:w="65" w:type="dxa"/>
              <w:left w:w="100" w:type="dxa"/>
              <w:right w:w="100" w:type="dxa"/>
            </w:tcMar>
          </w:tcPr>
          <w:p>
            <w:r>
              <w:rPr>
                <w:rFonts w:ascii="Calibri" w:hAnsi="Calibri"/>
                <w:color w:val="2D3748"/>
                <w:sz w:val="14"/>
              </w:rPr>
              <w:t>AOAC 999.11 / ICP-OES &amp; Wade Reagent</w:t>
            </w:r>
          </w:p>
        </w:tc>
        <w:tc>
          <w:tcPr>
            <w:tcW w:type="dxa" w:w="2016"/>
            <w:tcMar>
              <w:top w:w="65" w:type="dxa"/>
              <w:bottom w:w="65" w:type="dxa"/>
              <w:left w:w="100" w:type="dxa"/>
              <w:right w:w="100" w:type="dxa"/>
            </w:tcMar>
          </w:tcPr>
          <w:p>
            <w:r>
              <w:rPr>
                <w:rFonts w:ascii="Calibri" w:hAnsi="Calibri"/>
                <w:color w:val="2D3748"/>
                <w:sz w:val="14"/>
              </w:rPr>
              <w:t>Quantifies divalent cation availability for pectate bridges.</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MOD-08</w:t>
            </w:r>
          </w:p>
        </w:tc>
        <w:tc>
          <w:tcPr>
            <w:tcW w:type="dxa" w:w="2016"/>
            <w:shd w:fill="F7FAFC"/>
            <w:tcMar>
              <w:top w:w="65" w:type="dxa"/>
              <w:bottom w:w="65" w:type="dxa"/>
              <w:left w:w="100" w:type="dxa"/>
              <w:right w:w="100" w:type="dxa"/>
            </w:tcMar>
          </w:tcPr>
          <w:p>
            <w:r>
              <w:rPr>
                <w:rFonts w:ascii="Calibri" w:hAnsi="Calibri"/>
                <w:color w:val="2D3748"/>
                <w:sz w:val="14"/>
              </w:rPr>
              <w:t>Hardness &amp; Texture</w:t>
            </w:r>
          </w:p>
        </w:tc>
        <w:tc>
          <w:tcPr>
            <w:tcW w:type="dxa" w:w="2016"/>
            <w:shd w:fill="F7FAFC"/>
            <w:tcMar>
              <w:top w:w="65" w:type="dxa"/>
              <w:bottom w:w="65" w:type="dxa"/>
              <w:left w:w="100" w:type="dxa"/>
              <w:right w:w="100" w:type="dxa"/>
            </w:tcMar>
          </w:tcPr>
          <w:p>
            <w:r>
              <w:rPr>
                <w:rFonts w:ascii="Calibri" w:hAnsi="Calibri"/>
                <w:color w:val="2D3748"/>
                <w:sz w:val="14"/>
              </w:rPr>
              <w:t>Raw grain puncture resistance, soaked firmness, peak compression force.</w:t>
            </w:r>
          </w:p>
        </w:tc>
        <w:tc>
          <w:tcPr>
            <w:tcW w:type="dxa" w:w="2016"/>
            <w:shd w:fill="F7FAFC"/>
            <w:tcMar>
              <w:top w:w="65" w:type="dxa"/>
              <w:bottom w:w="65" w:type="dxa"/>
              <w:left w:w="100" w:type="dxa"/>
              <w:right w:w="100" w:type="dxa"/>
            </w:tcMar>
          </w:tcPr>
          <w:p>
            <w:r>
              <w:rPr>
                <w:rFonts w:ascii="Calibri" w:hAnsi="Calibri"/>
                <w:color w:val="2D3748"/>
                <w:sz w:val="14"/>
              </w:rPr>
              <w:t>TA.XT Plus Texture Analyzer / 50kg Load Cell</w:t>
            </w:r>
          </w:p>
        </w:tc>
        <w:tc>
          <w:tcPr>
            <w:tcW w:type="dxa" w:w="2016"/>
            <w:shd w:fill="F7FAFC"/>
            <w:tcMar>
              <w:top w:w="65" w:type="dxa"/>
              <w:bottom w:w="65" w:type="dxa"/>
              <w:left w:w="100" w:type="dxa"/>
              <w:right w:w="100" w:type="dxa"/>
            </w:tcMar>
          </w:tcPr>
          <w:p>
            <w:r>
              <w:rPr>
                <w:rFonts w:ascii="Calibri" w:hAnsi="Calibri"/>
                <w:color w:val="2D3748"/>
                <w:sz w:val="14"/>
              </w:rPr>
              <w:t>Establishes objective mechanical firmness baseline.</w:t>
            </w:r>
          </w:p>
        </w:tc>
      </w:tr>
      <w:tr>
        <w:trPr>
          <w:cantSplit/>
        </w:trPr>
        <w:tc>
          <w:tcPr>
            <w:tcW w:type="dxa" w:w="2016"/>
            <w:tcMar>
              <w:top w:w="65" w:type="dxa"/>
              <w:bottom w:w="65" w:type="dxa"/>
              <w:left w:w="100" w:type="dxa"/>
              <w:right w:w="100" w:type="dxa"/>
            </w:tcMar>
          </w:tcPr>
          <w:p>
            <w:r>
              <w:rPr>
                <w:rFonts w:ascii="Calibri" w:hAnsi="Calibri"/>
                <w:b/>
                <w:color w:val="2D3748"/>
                <w:sz w:val="14"/>
              </w:rPr>
              <w:t>MOD-09</w:t>
            </w:r>
          </w:p>
        </w:tc>
        <w:tc>
          <w:tcPr>
            <w:tcW w:type="dxa" w:w="2016"/>
            <w:tcMar>
              <w:top w:w="65" w:type="dxa"/>
              <w:bottom w:w="65" w:type="dxa"/>
              <w:left w:w="100" w:type="dxa"/>
              <w:right w:w="100" w:type="dxa"/>
            </w:tcMar>
          </w:tcPr>
          <w:p>
            <w:r>
              <w:rPr>
                <w:rFonts w:ascii="Calibri" w:hAnsi="Calibri"/>
                <w:color w:val="2D3748"/>
                <w:sz w:val="14"/>
              </w:rPr>
              <w:t>Standardized Cooking</w:t>
            </w:r>
          </w:p>
        </w:tc>
        <w:tc>
          <w:tcPr>
            <w:tcW w:type="dxa" w:w="2016"/>
            <w:tcMar>
              <w:top w:w="65" w:type="dxa"/>
              <w:bottom w:w="65" w:type="dxa"/>
              <w:left w:w="100" w:type="dxa"/>
              <w:right w:w="100" w:type="dxa"/>
            </w:tcMar>
          </w:tcPr>
          <w:p>
            <w:r>
              <w:rPr>
                <w:rFonts w:ascii="Calibri" w:hAnsi="Calibri"/>
                <w:color w:val="2D3748"/>
                <w:sz w:val="14"/>
              </w:rPr>
              <w:t>Cooking curve (0–60 min), objective time-to-softness, hard-core rate, solids loss.</w:t>
            </w:r>
          </w:p>
        </w:tc>
        <w:tc>
          <w:tcPr>
            <w:tcW w:type="dxa" w:w="2016"/>
            <w:tcMar>
              <w:top w:w="65" w:type="dxa"/>
              <w:bottom w:w="65" w:type="dxa"/>
              <w:left w:w="100" w:type="dxa"/>
              <w:right w:w="100" w:type="dxa"/>
            </w:tcMar>
          </w:tcPr>
          <w:p>
            <w:r>
              <w:rPr>
                <w:rFonts w:ascii="Calibri" w:hAnsi="Calibri"/>
                <w:color w:val="2D3748"/>
                <w:sz w:val="14"/>
              </w:rPr>
              <w:t>Pressurized Vessel / Instrumented Load Cell</w:t>
            </w:r>
          </w:p>
        </w:tc>
        <w:tc>
          <w:tcPr>
            <w:tcW w:type="dxa" w:w="2016"/>
            <w:tcMar>
              <w:top w:w="65" w:type="dxa"/>
              <w:bottom w:w="65" w:type="dxa"/>
              <w:left w:w="100" w:type="dxa"/>
              <w:right w:w="100" w:type="dxa"/>
            </w:tcMar>
          </w:tcPr>
          <w:p>
            <w:r>
              <w:rPr>
                <w:rFonts w:ascii="Calibri" w:hAnsi="Calibri"/>
                <w:color w:val="2D3748"/>
                <w:sz w:val="14"/>
              </w:rPr>
              <w:t>Replaces domestic whistle counting with objective kinetics.</w:t>
            </w:r>
          </w:p>
        </w:tc>
      </w:tr>
    </w:tbl>
    <w:p>
      <w:pPr>
        <w:keepNext/>
        <w:spacing w:before="260" w:after="60"/>
      </w:pPr>
      <w:r>
        <w:rPr>
          <w:rFonts w:ascii="Calibri" w:hAnsi="Calibri"/>
          <w:b/>
          <w:color w:val="1A365D"/>
          <w:sz w:val="23"/>
        </w:rPr>
        <w:t>9. Experimental Design, Replication Hierarchy &amp; Statistical Plan</w:t>
      </w:r>
    </w:p>
    <w:p>
      <w:pPr>
        <w:spacing w:before="0" w:after="60" w:line="276" w:lineRule="auto"/>
      </w:pPr>
      <w:r>
        <w:rPr>
          <w:rFonts w:ascii="Calibri" w:hAnsi="Calibri"/>
          <w:color w:val="2D3748"/>
          <w:sz w:val="17"/>
        </w:rPr>
        <w:t>Under Review Finding D, prior conflation of experimental units is corrected. Experimental units adhere strictly to the following four-tier statistical governance hierarchy:</w:t>
      </w:r>
    </w:p>
    <w:p>
      <w:pPr>
        <w:spacing w:before="0" w:after="60" w:line="276" w:lineRule="auto"/>
      </w:pPr>
      <w:r>
        <w:rPr>
          <w:rFonts w:ascii="Calibri" w:hAnsi="Calibri"/>
          <w:b/>
          <w:color w:val="1A365D"/>
          <w:sz w:val="17"/>
        </w:rPr>
        <w:t xml:space="preserve">Tier 1: </w:t>
      </w:r>
      <w:r>
        <w:rPr>
          <w:rFonts w:ascii="Calibri" w:hAnsi="Calibri"/>
          <w:color w:val="2D3748"/>
          <w:sz w:val="17"/>
        </w:rPr>
        <w:t>• Independent Commercial Grain Lot: A distinct physical consignment with separate origin, harvest, processing, or custody documentation.</w:t>
      </w:r>
    </w:p>
    <w:p>
      <w:pPr>
        <w:spacing w:before="0" w:after="60" w:line="276" w:lineRule="auto"/>
      </w:pPr>
      <w:r>
        <w:rPr>
          <w:rFonts w:ascii="Calibri" w:hAnsi="Calibri"/>
          <w:b/>
          <w:color w:val="1A365D"/>
          <w:sz w:val="17"/>
        </w:rPr>
        <w:t xml:space="preserve">Tier 2: </w:t>
      </w:r>
      <w:r>
        <w:rPr>
          <w:rFonts w:ascii="Calibri" w:hAnsi="Calibri"/>
          <w:color w:val="2D3748"/>
          <w:sz w:val="17"/>
        </w:rPr>
        <w:t>• Independent Preparation Batch: Material weighed, hydrated, or processed in separate vessels on separate occasions (n = 3 independent batches).</w:t>
      </w:r>
    </w:p>
    <w:p>
      <w:pPr>
        <w:spacing w:before="0" w:after="60" w:line="276" w:lineRule="auto"/>
      </w:pPr>
      <w:r>
        <w:rPr>
          <w:rFonts w:ascii="Calibri" w:hAnsi="Calibri"/>
          <w:b/>
          <w:color w:val="1A365D"/>
          <w:sz w:val="17"/>
        </w:rPr>
        <w:t xml:space="preserve">Tier 3: </w:t>
      </w:r>
      <w:r>
        <w:rPr>
          <w:rFonts w:ascii="Calibri" w:hAnsi="Calibri"/>
          <w:color w:val="2D3748"/>
          <w:sz w:val="17"/>
        </w:rPr>
        <w:t>• Technical Replicate: Repeated instrumental measurement of the same prepared batch to quantify instrument repeatability (n = 3 technical repeats).</w:t>
      </w:r>
    </w:p>
    <w:p>
      <w:pPr>
        <w:spacing w:before="0" w:after="60" w:line="276" w:lineRule="auto"/>
      </w:pPr>
      <w:r>
        <w:rPr>
          <w:rFonts w:ascii="Calibri" w:hAnsi="Calibri"/>
          <w:b/>
          <w:color w:val="1A365D"/>
          <w:sz w:val="17"/>
        </w:rPr>
        <w:t xml:space="preserve">Tier 4: </w:t>
      </w:r>
      <w:r>
        <w:rPr>
          <w:rFonts w:ascii="Calibri" w:hAnsi="Calibri"/>
          <w:color w:val="2D3748"/>
          <w:sz w:val="17"/>
        </w:rPr>
        <w:t>• Subsample: Analytical split of a single batch; subsamples are never treated as independent biological replicates.</w:t>
      </w:r>
    </w:p>
    <w:p>
      <w:pPr>
        <w:spacing w:before="0" w:after="60" w:line="276" w:lineRule="auto"/>
      </w:pPr>
      <w:r>
        <w:rPr>
          <w:rFonts w:ascii="Calibri" w:hAnsi="Calibri"/>
          <w:color w:val="2D3748"/>
          <w:sz w:val="17"/>
        </w:rPr>
        <w:t>Standardized Cooking Protocol &amp; Objective Endpoint: Pressurized cooking trials are conducted in a standardized, instrumented cooking chamber using a fixed 1:4 dal-to-water ratio (distilled water, TDS &lt; 10 ppm) at a regulated internal pressure of 1.05 bar gauge (121°C). Samples are withdrawn at controlled intervals (10, 15, 20, 25, 30, 40 min). The primary endpoint is defined as the cooking duration required for 90% of grains to exhibit peak compression force &lt;= 8.0 N on a calibrated texture analyzer. Residual ungelatinized hard-core percentage is quantified via optical glass plate compression.</w:t>
      </w:r>
    </w:p>
    <w:p>
      <w:pPr>
        <w:spacing w:before="0" w:after="60" w:line="276" w:lineRule="auto"/>
      </w:pPr>
      <w:r>
        <w:rPr>
          <w:rFonts w:ascii="Calibri" w:hAnsi="Calibri"/>
          <w:color w:val="2D3748"/>
          <w:sz w:val="17"/>
        </w:rPr>
        <w:t>Statistical Testing Discipline: All data are reported as Mean ± Standard Deviation with 95% Confidence Intervals. Differences between Tanzanian dal and Indian benchmark are evaluated using two-sample Welch's t-test (accounting for unequal variances) and one-way ANOVA with Tukey's HSD post-hoc test. No exaggerated statistical certainty or universal population claims are made from single-lot triplicates; Phase 1 observations establish baseline variance to power subsequent Phase 2 confirmatory trials.</w:t>
      </w:r>
    </w:p>
    <w:p>
      <w:pPr>
        <w:keepNext/>
        <w:spacing w:before="260" w:after="60"/>
      </w:pPr>
      <w:r>
        <w:rPr>
          <w:rFonts w:ascii="Calibri" w:hAnsi="Calibri"/>
          <w:b/>
          <w:color w:val="1A365D"/>
          <w:sz w:val="23"/>
        </w:rPr>
        <w:t>10. Future Treatment-Candidate Pathway (Phase 2 Gated Scope)</w:t>
      </w:r>
    </w:p>
    <w:p>
      <w:pPr>
        <w:spacing w:before="0" w:after="60" w:line="276" w:lineRule="auto"/>
      </w:pPr>
      <w:r>
        <w:rPr>
          <w:rFonts w:ascii="Calibri" w:hAnsi="Calibri"/>
          <w:color w:val="2D3748"/>
          <w:sz w:val="17"/>
        </w:rPr>
        <w:t>To resolve Review Finding C, all chemical conditioning agents and physical treatments are rigorously segregated. Reagents are identified by precise chemical formula, CAS registry, food additive INS number, and concentration basis: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2592"/>
        <w:gridCol w:w="2160"/>
        <w:gridCol w:w="2016"/>
        <w:gridCol w:w="2016"/>
      </w:tblGrid>
      <w:tr>
        <w:trPr>
          <w:tblHeader/>
          <w:cantSplit/>
        </w:trPr>
        <w:tc>
          <w:tcPr>
            <w:tcW w:type="dxa" w:w="2016"/>
            <w:shd w:fill="1A365D"/>
            <w:tcMar>
              <w:top w:w="100" w:type="dxa"/>
              <w:bottom w:w="100" w:type="dxa"/>
              <w:left w:w="100" w:type="dxa"/>
              <w:right w:w="100" w:type="dxa"/>
            </w:tcMar>
          </w:tcPr>
          <w:p>
            <w:pPr>
              <w:jc w:val="left"/>
            </w:pPr>
            <w:r>
              <w:t>Treatment ID</w:t>
            </w:r>
          </w:p>
        </w:tc>
        <w:tc>
          <w:tcPr>
            <w:tcW w:type="dxa" w:w="2016"/>
            <w:shd w:fill="1A365D"/>
            <w:tcMar>
              <w:top w:w="100" w:type="dxa"/>
              <w:bottom w:w="100" w:type="dxa"/>
              <w:left w:w="100" w:type="dxa"/>
              <w:right w:w="100" w:type="dxa"/>
            </w:tcMar>
          </w:tcPr>
          <w:p>
            <w:pPr>
              <w:jc w:val="left"/>
            </w:pPr>
            <w:r>
              <w:t>Reagent &amp; Formula</w:t>
            </w:r>
          </w:p>
        </w:tc>
        <w:tc>
          <w:tcPr>
            <w:tcW w:type="dxa" w:w="2016"/>
            <w:shd w:fill="1A365D"/>
            <w:tcMar>
              <w:top w:w="100" w:type="dxa"/>
              <w:bottom w:w="100" w:type="dxa"/>
              <w:left w:w="100" w:type="dxa"/>
              <w:right w:w="100" w:type="dxa"/>
            </w:tcMar>
          </w:tcPr>
          <w:p>
            <w:pPr>
              <w:jc w:val="left"/>
            </w:pPr>
            <w:r>
              <w:t>Concentration &amp; Dose</w:t>
            </w:r>
          </w:p>
        </w:tc>
        <w:tc>
          <w:tcPr>
            <w:tcW w:type="dxa" w:w="2016"/>
            <w:shd w:fill="1A365D"/>
            <w:tcMar>
              <w:top w:w="100" w:type="dxa"/>
              <w:bottom w:w="100" w:type="dxa"/>
              <w:left w:w="100" w:type="dxa"/>
              <w:right w:w="100" w:type="dxa"/>
            </w:tcMar>
          </w:tcPr>
          <w:p>
            <w:pPr>
              <w:jc w:val="left"/>
            </w:pPr>
            <w:r>
              <w:t>Process Parameters</w:t>
            </w:r>
          </w:p>
        </w:tc>
        <w:tc>
          <w:tcPr>
            <w:tcW w:type="dxa" w:w="2016"/>
            <w:shd w:fill="1A365D"/>
            <w:tcMar>
              <w:top w:w="100" w:type="dxa"/>
              <w:bottom w:w="100" w:type="dxa"/>
              <w:left w:w="100" w:type="dxa"/>
              <w:right w:w="100" w:type="dxa"/>
            </w:tcMar>
          </w:tcPr>
          <w:p>
            <w:pPr>
              <w:jc w:val="left"/>
            </w:pPr>
            <w:r>
              <w:t>Regulatory &amp; Phase Status</w:t>
            </w:r>
          </w:p>
        </w:tc>
      </w:tr>
      <w:tr>
        <w:trPr>
          <w:cantSplit/>
        </w:trPr>
        <w:tc>
          <w:tcPr>
            <w:tcW w:type="dxa" w:w="2016"/>
            <w:tcMar>
              <w:top w:w="65" w:type="dxa"/>
              <w:bottom w:w="65" w:type="dxa"/>
              <w:left w:w="100" w:type="dxa"/>
              <w:right w:w="100" w:type="dxa"/>
            </w:tcMar>
          </w:tcPr>
          <w:p>
            <w:r>
              <w:rPr>
                <w:rFonts w:ascii="Calibri" w:hAnsi="Calibri"/>
                <w:b/>
                <w:color w:val="2D3748"/>
                <w:sz w:val="14"/>
              </w:rPr>
              <w:t>TRT-00</w:t>
            </w:r>
          </w:p>
        </w:tc>
        <w:tc>
          <w:tcPr>
            <w:tcW w:type="dxa" w:w="2016"/>
            <w:tcMar>
              <w:top w:w="65" w:type="dxa"/>
              <w:bottom w:w="65" w:type="dxa"/>
              <w:left w:w="100" w:type="dxa"/>
              <w:right w:w="100" w:type="dxa"/>
            </w:tcMar>
          </w:tcPr>
          <w:p>
            <w:r>
              <w:rPr>
                <w:rFonts w:ascii="Calibri" w:hAnsi="Calibri"/>
                <w:color w:val="2D3748"/>
                <w:sz w:val="14"/>
              </w:rPr>
              <w:t>Untreated Control</w:t>
              <w:br/>
              <w:t>(Raw As-Received)</w:t>
            </w:r>
          </w:p>
        </w:tc>
        <w:tc>
          <w:tcPr>
            <w:tcW w:type="dxa" w:w="2016"/>
            <w:tcMar>
              <w:top w:w="65" w:type="dxa"/>
              <w:bottom w:w="65" w:type="dxa"/>
              <w:left w:w="100" w:type="dxa"/>
              <w:right w:w="100" w:type="dxa"/>
            </w:tcMar>
          </w:tcPr>
          <w:p>
            <w:r>
              <w:rPr>
                <w:rFonts w:ascii="Calibri" w:hAnsi="Calibri"/>
                <w:color w:val="2D3748"/>
                <w:sz w:val="14"/>
              </w:rPr>
              <w:t>0.00% chemical</w:t>
              <w:br/>
              <w:t>0.00% grain dose</w:t>
            </w:r>
          </w:p>
        </w:tc>
        <w:tc>
          <w:tcPr>
            <w:tcW w:type="dxa" w:w="2016"/>
            <w:tcMar>
              <w:top w:w="65" w:type="dxa"/>
              <w:bottom w:w="65" w:type="dxa"/>
              <w:left w:w="100" w:type="dxa"/>
              <w:right w:w="100" w:type="dxa"/>
            </w:tcMar>
          </w:tcPr>
          <w:p>
            <w:r>
              <w:rPr>
                <w:rFonts w:ascii="Calibri" w:hAnsi="Calibri"/>
                <w:color w:val="2D3748"/>
                <w:sz w:val="14"/>
              </w:rPr>
              <w:t>Ambient (25°C), 0 min;</w:t>
              <w:br/>
              <w:t>as-received 10.5% WB.</w:t>
            </w:r>
          </w:p>
        </w:tc>
        <w:tc>
          <w:tcPr>
            <w:tcW w:type="dxa" w:w="2016"/>
            <w:tcMar>
              <w:top w:w="65" w:type="dxa"/>
              <w:bottom w:w="65" w:type="dxa"/>
              <w:left w:w="100" w:type="dxa"/>
              <w:right w:w="100" w:type="dxa"/>
            </w:tcMar>
          </w:tcPr>
          <w:p>
            <w:r>
              <w:rPr>
                <w:rFonts w:ascii="Calibri" w:hAnsi="Calibri"/>
                <w:color w:val="2D3748"/>
                <w:sz w:val="14"/>
              </w:rPr>
              <w:t>FSSAI 2.4.6.15 compliant;</w:t>
              <w:br/>
              <w:t>PHASE 1 DIAGNOSTIC BASELINE</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TRT-01</w:t>
            </w:r>
          </w:p>
        </w:tc>
        <w:tc>
          <w:tcPr>
            <w:tcW w:type="dxa" w:w="2016"/>
            <w:shd w:fill="F7FAFC"/>
            <w:tcMar>
              <w:top w:w="65" w:type="dxa"/>
              <w:bottom w:w="65" w:type="dxa"/>
              <w:left w:w="100" w:type="dxa"/>
              <w:right w:w="100" w:type="dxa"/>
            </w:tcMar>
          </w:tcPr>
          <w:p>
            <w:r>
              <w:rPr>
                <w:rFonts w:ascii="Calibri" w:hAnsi="Calibri"/>
                <w:color w:val="2D3748"/>
                <w:sz w:val="14"/>
              </w:rPr>
              <w:t>Water-Only Soak Control</w:t>
              <w:br/>
              <w:t>(Pure H₂O, CAS 7732-18-5)</w:t>
            </w:r>
          </w:p>
        </w:tc>
        <w:tc>
          <w:tcPr>
            <w:tcW w:type="dxa" w:w="2016"/>
            <w:shd w:fill="F7FAFC"/>
            <w:tcMar>
              <w:top w:w="65" w:type="dxa"/>
              <w:bottom w:w="65" w:type="dxa"/>
              <w:left w:w="100" w:type="dxa"/>
              <w:right w:w="100" w:type="dxa"/>
            </w:tcMar>
          </w:tcPr>
          <w:p>
            <w:r>
              <w:rPr>
                <w:rFonts w:ascii="Calibri" w:hAnsi="Calibri"/>
                <w:color w:val="2D3748"/>
                <w:sz w:val="14"/>
              </w:rPr>
              <w:t>0.00% chemical</w:t>
              <w:br/>
              <w:t>Liquor ratio 3:1</w:t>
            </w:r>
          </w:p>
        </w:tc>
        <w:tc>
          <w:tcPr>
            <w:tcW w:type="dxa" w:w="2016"/>
            <w:shd w:fill="F7FAFC"/>
            <w:tcMar>
              <w:top w:w="65" w:type="dxa"/>
              <w:bottom w:w="65" w:type="dxa"/>
              <w:left w:w="100" w:type="dxa"/>
              <w:right w:w="100" w:type="dxa"/>
            </w:tcMar>
          </w:tcPr>
          <w:p>
            <w:r>
              <w:rPr>
                <w:rFonts w:ascii="Calibri" w:hAnsi="Calibri"/>
                <w:color w:val="2D3748"/>
                <w:sz w:val="14"/>
              </w:rPr>
              <w:t>25°C, 60 min, RO rinse 1:1;</w:t>
              <w:br/>
              <w:t>tray dry 55°C to 10% WB.</w:t>
            </w:r>
          </w:p>
        </w:tc>
        <w:tc>
          <w:tcPr>
            <w:tcW w:type="dxa" w:w="2016"/>
            <w:shd w:fill="F7FAFC"/>
            <w:tcMar>
              <w:top w:w="65" w:type="dxa"/>
              <w:bottom w:w="65" w:type="dxa"/>
              <w:left w:w="100" w:type="dxa"/>
              <w:right w:w="100" w:type="dxa"/>
            </w:tcMar>
          </w:tcPr>
          <w:p>
            <w:r>
              <w:rPr>
                <w:rFonts w:ascii="Calibri" w:hAnsi="Calibri"/>
                <w:color w:val="2D3748"/>
                <w:sz w:val="14"/>
              </w:rPr>
              <w:t>Pure potable water;</w:t>
              <w:br/>
              <w:t>PHASE 2 SCREENING CONTROL</w:t>
            </w:r>
          </w:p>
        </w:tc>
      </w:tr>
      <w:tr>
        <w:trPr>
          <w:cantSplit/>
        </w:trPr>
        <w:tc>
          <w:tcPr>
            <w:tcW w:type="dxa" w:w="2016"/>
            <w:tcMar>
              <w:top w:w="65" w:type="dxa"/>
              <w:bottom w:w="65" w:type="dxa"/>
              <w:left w:w="100" w:type="dxa"/>
              <w:right w:w="100" w:type="dxa"/>
            </w:tcMar>
          </w:tcPr>
          <w:p>
            <w:r>
              <w:rPr>
                <w:rFonts w:ascii="Calibri" w:hAnsi="Calibri"/>
                <w:b/>
                <w:color w:val="2D3748"/>
                <w:sz w:val="14"/>
              </w:rPr>
              <w:t>TRT-02</w:t>
            </w:r>
          </w:p>
        </w:tc>
        <w:tc>
          <w:tcPr>
            <w:tcW w:type="dxa" w:w="2016"/>
            <w:tcMar>
              <w:top w:w="65" w:type="dxa"/>
              <w:bottom w:w="65" w:type="dxa"/>
              <w:left w:w="100" w:type="dxa"/>
              <w:right w:w="100" w:type="dxa"/>
            </w:tcMar>
          </w:tcPr>
          <w:p>
            <w:r>
              <w:rPr>
                <w:rFonts w:ascii="Calibri" w:hAnsi="Calibri"/>
                <w:color w:val="2D3748"/>
                <w:sz w:val="14"/>
              </w:rPr>
              <w:t>Sodium Bicarbonate</w:t>
              <w:br/>
              <w:t>(NaHCO₃, CAS 144-55-8)</w:t>
            </w:r>
          </w:p>
        </w:tc>
        <w:tc>
          <w:tcPr>
            <w:tcW w:type="dxa" w:w="2016"/>
            <w:tcMar>
              <w:top w:w="65" w:type="dxa"/>
              <w:bottom w:w="65" w:type="dxa"/>
              <w:left w:w="100" w:type="dxa"/>
              <w:right w:w="100" w:type="dxa"/>
            </w:tcMar>
          </w:tcPr>
          <w:p>
            <w:r>
              <w:rPr>
                <w:rFonts w:ascii="Calibri" w:hAnsi="Calibri"/>
                <w:color w:val="2D3748"/>
                <w:sz w:val="14"/>
              </w:rPr>
              <w:t>0.25%–0.50% w/w bath</w:t>
              <w:br/>
              <w:t>(0.75%–1.50% as-fed grain)</w:t>
            </w:r>
          </w:p>
        </w:tc>
        <w:tc>
          <w:tcPr>
            <w:tcW w:type="dxa" w:w="2016"/>
            <w:tcMar>
              <w:top w:w="65" w:type="dxa"/>
              <w:bottom w:w="65" w:type="dxa"/>
              <w:left w:w="100" w:type="dxa"/>
              <w:right w:w="100" w:type="dxa"/>
            </w:tcMar>
          </w:tcPr>
          <w:p>
            <w:r>
              <w:rPr>
                <w:rFonts w:ascii="Calibri" w:hAnsi="Calibri"/>
                <w:color w:val="2D3748"/>
                <w:sz w:val="14"/>
              </w:rPr>
              <w:t>25°C, 60 min, pH 8.2–8.4;</w:t>
              <w:br/>
              <w:t>rinse 2:1, dry to 10% WB.</w:t>
            </w:r>
          </w:p>
        </w:tc>
        <w:tc>
          <w:tcPr>
            <w:tcW w:type="dxa" w:w="2016"/>
            <w:tcMar>
              <w:top w:w="65" w:type="dxa"/>
              <w:bottom w:w="65" w:type="dxa"/>
              <w:left w:w="100" w:type="dxa"/>
              <w:right w:w="100" w:type="dxa"/>
            </w:tcMar>
          </w:tcPr>
          <w:p>
            <w:r>
              <w:rPr>
                <w:rFonts w:ascii="Calibri" w:hAnsi="Calibri"/>
                <w:color w:val="2D3748"/>
                <w:sz w:val="14"/>
              </w:rPr>
              <w:t>INS 500(ii) food additive;</w:t>
              <w:br/>
              <w:t>PHASE 2 CANDIDATE — NOT TESTED</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TRT-03</w:t>
            </w:r>
          </w:p>
        </w:tc>
        <w:tc>
          <w:tcPr>
            <w:tcW w:type="dxa" w:w="2016"/>
            <w:shd w:fill="F7FAFC"/>
            <w:tcMar>
              <w:top w:w="65" w:type="dxa"/>
              <w:bottom w:w="65" w:type="dxa"/>
              <w:left w:w="100" w:type="dxa"/>
              <w:right w:w="100" w:type="dxa"/>
            </w:tcMar>
          </w:tcPr>
          <w:p>
            <w:r>
              <w:rPr>
                <w:rFonts w:ascii="Calibri" w:hAnsi="Calibri"/>
                <w:color w:val="2D3748"/>
                <w:sz w:val="14"/>
              </w:rPr>
              <w:t>Trisodium Citrate</w:t>
              <w:br/>
              <w:t>(Na₃C₆H₅O₇·2H₂O, CAS 6132-04-3)</w:t>
            </w:r>
          </w:p>
        </w:tc>
        <w:tc>
          <w:tcPr>
            <w:tcW w:type="dxa" w:w="2016"/>
            <w:shd w:fill="F7FAFC"/>
            <w:tcMar>
              <w:top w:w="65" w:type="dxa"/>
              <w:bottom w:w="65" w:type="dxa"/>
              <w:left w:w="100" w:type="dxa"/>
              <w:right w:w="100" w:type="dxa"/>
            </w:tcMar>
          </w:tcPr>
          <w:p>
            <w:r>
              <w:rPr>
                <w:rFonts w:ascii="Calibri" w:hAnsi="Calibri"/>
                <w:color w:val="2D3748"/>
                <w:sz w:val="14"/>
              </w:rPr>
              <w:t>0.50% w/w bath</w:t>
              <w:br/>
              <w:t>(1.50% w/w as-fed grain)</w:t>
            </w:r>
          </w:p>
        </w:tc>
        <w:tc>
          <w:tcPr>
            <w:tcW w:type="dxa" w:w="2016"/>
            <w:shd w:fill="F7FAFC"/>
            <w:tcMar>
              <w:top w:w="65" w:type="dxa"/>
              <w:bottom w:w="65" w:type="dxa"/>
              <w:left w:w="100" w:type="dxa"/>
              <w:right w:w="100" w:type="dxa"/>
            </w:tcMar>
          </w:tcPr>
          <w:p>
            <w:r>
              <w:rPr>
                <w:rFonts w:ascii="Calibri" w:hAnsi="Calibri"/>
                <w:color w:val="2D3748"/>
                <w:sz w:val="14"/>
              </w:rPr>
              <w:t>25°C, 60 min, pH 7.9–8.2;</w:t>
              <w:br/>
              <w:t>rinse 2:1, dry to 10% WB.</w:t>
            </w:r>
          </w:p>
        </w:tc>
        <w:tc>
          <w:tcPr>
            <w:tcW w:type="dxa" w:w="2016"/>
            <w:shd w:fill="F7FAFC"/>
            <w:tcMar>
              <w:top w:w="65" w:type="dxa"/>
              <w:bottom w:w="65" w:type="dxa"/>
              <w:left w:w="100" w:type="dxa"/>
              <w:right w:w="100" w:type="dxa"/>
            </w:tcMar>
          </w:tcPr>
          <w:p>
            <w:r>
              <w:rPr>
                <w:rFonts w:ascii="Calibri" w:hAnsi="Calibri"/>
                <w:color w:val="2D3748"/>
                <w:sz w:val="14"/>
              </w:rPr>
              <w:t>INS 331(iii) sequestering agent;</w:t>
              <w:br/>
              <w:t>PHASE 2 CANDIDATE — NOT TESTED</w:t>
            </w:r>
          </w:p>
        </w:tc>
      </w:tr>
      <w:tr>
        <w:trPr>
          <w:cantSplit/>
        </w:trPr>
        <w:tc>
          <w:tcPr>
            <w:tcW w:type="dxa" w:w="2016"/>
            <w:tcMar>
              <w:top w:w="65" w:type="dxa"/>
              <w:bottom w:w="65" w:type="dxa"/>
              <w:left w:w="100" w:type="dxa"/>
              <w:right w:w="100" w:type="dxa"/>
            </w:tcMar>
          </w:tcPr>
          <w:p>
            <w:r>
              <w:rPr>
                <w:rFonts w:ascii="Calibri" w:hAnsi="Calibri"/>
                <w:b/>
                <w:color w:val="2D3748"/>
                <w:sz w:val="14"/>
              </w:rPr>
              <w:t>TRT-04</w:t>
            </w:r>
          </w:p>
        </w:tc>
        <w:tc>
          <w:tcPr>
            <w:tcW w:type="dxa" w:w="2016"/>
            <w:tcMar>
              <w:top w:w="65" w:type="dxa"/>
              <w:bottom w:w="65" w:type="dxa"/>
              <w:left w:w="100" w:type="dxa"/>
              <w:right w:w="100" w:type="dxa"/>
            </w:tcMar>
          </w:tcPr>
          <w:p>
            <w:r>
              <w:rPr>
                <w:rFonts w:ascii="Calibri" w:hAnsi="Calibri"/>
                <w:color w:val="2D3748"/>
                <w:sz w:val="14"/>
              </w:rPr>
              <w:t>Citrate Buffer System</w:t>
              <w:br/>
              <w:t>(Citrate + Citric Acid)</w:t>
            </w:r>
          </w:p>
        </w:tc>
        <w:tc>
          <w:tcPr>
            <w:tcW w:type="dxa" w:w="2016"/>
            <w:tcMar>
              <w:top w:w="65" w:type="dxa"/>
              <w:bottom w:w="65" w:type="dxa"/>
              <w:left w:w="100" w:type="dxa"/>
              <w:right w:w="100" w:type="dxa"/>
            </w:tcMar>
          </w:tcPr>
          <w:p>
            <w:r>
              <w:rPr>
                <w:rFonts w:ascii="Calibri" w:hAnsi="Calibri"/>
                <w:color w:val="2D3748"/>
                <w:sz w:val="14"/>
              </w:rPr>
              <w:t>0.40% citrate + 0.05% acid</w:t>
              <w:br/>
              <w:t>(1.20% + 0.15% as-fed grain)</w:t>
            </w:r>
          </w:p>
        </w:tc>
        <w:tc>
          <w:tcPr>
            <w:tcW w:type="dxa" w:w="2016"/>
            <w:tcMar>
              <w:top w:w="65" w:type="dxa"/>
              <w:bottom w:w="65" w:type="dxa"/>
              <w:left w:w="100" w:type="dxa"/>
              <w:right w:w="100" w:type="dxa"/>
            </w:tcMar>
          </w:tcPr>
          <w:p>
            <w:r>
              <w:rPr>
                <w:rFonts w:ascii="Calibri" w:hAnsi="Calibri"/>
                <w:color w:val="2D3748"/>
                <w:sz w:val="14"/>
              </w:rPr>
              <w:t>25°C, 60 min, buffer pH 6.0;</w:t>
              <w:br/>
              <w:t>rinse 2:1, dry to 10% WB.</w:t>
            </w:r>
          </w:p>
        </w:tc>
        <w:tc>
          <w:tcPr>
            <w:tcW w:type="dxa" w:w="2016"/>
            <w:tcMar>
              <w:top w:w="65" w:type="dxa"/>
              <w:bottom w:w="65" w:type="dxa"/>
              <w:left w:w="100" w:type="dxa"/>
              <w:right w:w="100" w:type="dxa"/>
            </w:tcMar>
          </w:tcPr>
          <w:p>
            <w:r>
              <w:rPr>
                <w:rFonts w:ascii="Calibri" w:hAnsi="Calibri"/>
                <w:color w:val="2D3748"/>
                <w:sz w:val="14"/>
              </w:rPr>
              <w:t>INS 331(iii) + INS 330;</w:t>
              <w:br/>
              <w:t>PHASE 2 CANDIDATE — NOT TESTED</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TRT-05</w:t>
            </w:r>
          </w:p>
        </w:tc>
        <w:tc>
          <w:tcPr>
            <w:tcW w:type="dxa" w:w="2016"/>
            <w:shd w:fill="F7FAFC"/>
            <w:tcMar>
              <w:top w:w="65" w:type="dxa"/>
              <w:bottom w:w="65" w:type="dxa"/>
              <w:left w:w="100" w:type="dxa"/>
              <w:right w:w="100" w:type="dxa"/>
            </w:tcMar>
          </w:tcPr>
          <w:p>
            <w:r>
              <w:rPr>
                <w:rFonts w:ascii="Calibri" w:hAnsi="Calibri"/>
                <w:color w:val="2D3748"/>
                <w:sz w:val="14"/>
              </w:rPr>
              <w:t>Sodium Carbonate (Segregated)</w:t>
              <w:br/>
              <w:t>(Na₂CO₃, CAS 497-19-8)</w:t>
            </w:r>
          </w:p>
        </w:tc>
        <w:tc>
          <w:tcPr>
            <w:tcW w:type="dxa" w:w="2016"/>
            <w:shd w:fill="F7FAFC"/>
            <w:tcMar>
              <w:top w:w="65" w:type="dxa"/>
              <w:bottom w:w="65" w:type="dxa"/>
              <w:left w:w="100" w:type="dxa"/>
              <w:right w:w="100" w:type="dxa"/>
            </w:tcMar>
          </w:tcPr>
          <w:p>
            <w:r>
              <w:rPr>
                <w:rFonts w:ascii="Calibri" w:hAnsi="Calibri"/>
                <w:color w:val="2D3748"/>
                <w:sz w:val="14"/>
              </w:rPr>
              <w:t>0.20% w/w bath</w:t>
              <w:br/>
              <w:t>(0.60% w/w as-fed grain)</w:t>
            </w:r>
          </w:p>
        </w:tc>
        <w:tc>
          <w:tcPr>
            <w:tcW w:type="dxa" w:w="2016"/>
            <w:shd w:fill="F7FAFC"/>
            <w:tcMar>
              <w:top w:w="65" w:type="dxa"/>
              <w:bottom w:w="65" w:type="dxa"/>
              <w:left w:w="100" w:type="dxa"/>
              <w:right w:w="100" w:type="dxa"/>
            </w:tcMar>
          </w:tcPr>
          <w:p>
            <w:r>
              <w:rPr>
                <w:rFonts w:ascii="Calibri" w:hAnsi="Calibri"/>
                <w:color w:val="2D3748"/>
                <w:sz w:val="14"/>
              </w:rPr>
              <w:t>25°C, 45 min, pH 10.6–10.9;</w:t>
              <w:br/>
              <w:t>rinse 2.5:1, dry to 10% WB.</w:t>
            </w:r>
          </w:p>
        </w:tc>
        <w:tc>
          <w:tcPr>
            <w:tcW w:type="dxa" w:w="2016"/>
            <w:shd w:fill="F7FAFC"/>
            <w:tcMar>
              <w:top w:w="65" w:type="dxa"/>
              <w:bottom w:w="65" w:type="dxa"/>
              <w:left w:w="100" w:type="dxa"/>
              <w:right w:w="100" w:type="dxa"/>
            </w:tcMar>
          </w:tcPr>
          <w:p>
            <w:r>
              <w:rPr>
                <w:rFonts w:ascii="Calibri" w:hAnsi="Calibri"/>
                <w:color w:val="2D3748"/>
                <w:sz w:val="14"/>
              </w:rPr>
              <w:t>INS 500(i) alkaline salt;</w:t>
              <w:br/>
              <w:t>PHASE 2 CANDIDATE — NOT TESTED</w:t>
            </w:r>
          </w:p>
        </w:tc>
      </w:tr>
      <w:tr>
        <w:trPr>
          <w:cantSplit/>
        </w:trPr>
        <w:tc>
          <w:tcPr>
            <w:tcW w:type="dxa" w:w="2016"/>
            <w:tcMar>
              <w:top w:w="65" w:type="dxa"/>
              <w:bottom w:w="65" w:type="dxa"/>
              <w:left w:w="100" w:type="dxa"/>
              <w:right w:w="100" w:type="dxa"/>
            </w:tcMar>
          </w:tcPr>
          <w:p>
            <w:r>
              <w:rPr>
                <w:rFonts w:ascii="Calibri" w:hAnsi="Calibri"/>
                <w:b/>
                <w:color w:val="2D3748"/>
                <w:sz w:val="14"/>
              </w:rPr>
              <w:t>TRT-06</w:t>
            </w:r>
          </w:p>
        </w:tc>
        <w:tc>
          <w:tcPr>
            <w:tcW w:type="dxa" w:w="2016"/>
            <w:tcMar>
              <w:top w:w="65" w:type="dxa"/>
              <w:bottom w:w="65" w:type="dxa"/>
              <w:left w:w="100" w:type="dxa"/>
              <w:right w:w="100" w:type="dxa"/>
            </w:tcMar>
          </w:tcPr>
          <w:p>
            <w:r>
              <w:rPr>
                <w:rFonts w:ascii="Calibri" w:hAnsi="Calibri"/>
                <w:color w:val="2D3748"/>
                <w:sz w:val="14"/>
              </w:rPr>
              <w:t>Hydrothermal Pre-Steeping</w:t>
              <w:br/>
              <w:t>(Pure Water, Zero Chemical)</w:t>
            </w:r>
          </w:p>
        </w:tc>
        <w:tc>
          <w:tcPr>
            <w:tcW w:type="dxa" w:w="2016"/>
            <w:tcMar>
              <w:top w:w="65" w:type="dxa"/>
              <w:bottom w:w="65" w:type="dxa"/>
              <w:left w:w="100" w:type="dxa"/>
              <w:right w:w="100" w:type="dxa"/>
            </w:tcMar>
          </w:tcPr>
          <w:p>
            <w:r>
              <w:rPr>
                <w:rFonts w:ascii="Calibri" w:hAnsi="Calibri"/>
                <w:color w:val="2D3748"/>
                <w:sz w:val="14"/>
              </w:rPr>
              <w:t>0.00% chemical</w:t>
              <w:br/>
              <w:t>Physical thermal process</w:t>
            </w:r>
          </w:p>
        </w:tc>
        <w:tc>
          <w:tcPr>
            <w:tcW w:type="dxa" w:w="2016"/>
            <w:tcMar>
              <w:top w:w="65" w:type="dxa"/>
              <w:bottom w:w="65" w:type="dxa"/>
              <w:left w:w="100" w:type="dxa"/>
              <w:right w:w="100" w:type="dxa"/>
            </w:tcMar>
          </w:tcPr>
          <w:p>
            <w:r>
              <w:rPr>
                <w:rFonts w:ascii="Calibri" w:hAnsi="Calibri"/>
                <w:color w:val="2D3748"/>
                <w:sz w:val="14"/>
              </w:rPr>
              <w:t>65°C, 20 min steeping;</w:t>
              <w:br/>
              <w:t>fluidized bed dry to 10% WB.</w:t>
            </w:r>
          </w:p>
        </w:tc>
        <w:tc>
          <w:tcPr>
            <w:tcW w:type="dxa" w:w="2016"/>
            <w:tcMar>
              <w:top w:w="65" w:type="dxa"/>
              <w:bottom w:w="65" w:type="dxa"/>
              <w:left w:w="100" w:type="dxa"/>
              <w:right w:w="100" w:type="dxa"/>
            </w:tcMar>
          </w:tcPr>
          <w:p>
            <w:r>
              <w:rPr>
                <w:rFonts w:ascii="Calibri" w:hAnsi="Calibri"/>
                <w:color w:val="2D3748"/>
                <w:sz w:val="14"/>
              </w:rPr>
              <w:t>100% clean-label physical process;</w:t>
              <w:br/>
              <w:t>PHASE 2 CANDIDATE — NOT TESTED</w:t>
            </w:r>
          </w:p>
        </w:tc>
      </w:tr>
    </w:tbl>
    <w:p>
      <w:pPr>
        <w:spacing w:before="0" w:after="60" w:line="276" w:lineRule="auto"/>
      </w:pPr>
      <w:r>
        <w:rPr>
          <w:rFonts w:ascii="Calibri" w:hAnsi="Calibri"/>
          <w:color w:val="2D3748"/>
          <w:sz w:val="17"/>
        </w:rPr>
        <w:t>Concentration Basis Distinction: Bath concentration (w/w of solution) is mathematically distinct from applied grain dose (w/w on as-fed grain basis). At a 3:1 liquor-to-grain ratio, a 0.50% w/w bath provides 1.50% w/w chemical relative to dal. In Phase 2, both bases will be tracked alongside post-treatment drying and mandatory 7-day storage conditioning to verify that softening effects survive packaging and storage.</w:t>
      </w:r>
    </w:p>
    <w:p>
      <w:pPr>
        <w:keepNext/>
        <w:spacing w:before="260" w:after="60"/>
      </w:pPr>
      <w:r>
        <w:rPr>
          <w:rFonts w:ascii="Calibri" w:hAnsi="Calibri"/>
          <w:b/>
          <w:color w:val="1A365D"/>
          <w:sz w:val="23"/>
        </w:rPr>
        <w:t>11. Food Safety, Regulatory Separation &amp; Product Acceptance Criteria</w:t>
      </w:r>
    </w:p>
    <w:p>
      <w:pPr>
        <w:spacing w:before="0" w:after="60" w:line="276" w:lineRule="auto"/>
      </w:pPr>
      <w:r>
        <w:rPr>
          <w:rFonts w:ascii="Calibri" w:hAnsi="Calibri"/>
          <w:color w:val="2D3748"/>
          <w:sz w:val="17"/>
        </w:rPr>
        <w:t>Under Review Finding E, project quality acceptance criteria are formally distinguished from statutory food safety regulations. The commercial product falls under FSSAI Category 2.4.6.15 (Dehulled Split Pulses):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0"/>
        <w:gridCol w:w="2592"/>
        <w:gridCol w:w="2592"/>
        <w:gridCol w:w="2736"/>
      </w:tblGrid>
      <w:tr>
        <w:trPr>
          <w:tblHeader/>
          <w:cantSplit/>
        </w:trPr>
        <w:tc>
          <w:tcPr>
            <w:tcW w:type="dxa" w:w="2520"/>
            <w:shd w:fill="1A365D"/>
            <w:tcMar>
              <w:top w:w="100" w:type="dxa"/>
              <w:bottom w:w="100" w:type="dxa"/>
              <w:left w:w="100" w:type="dxa"/>
              <w:right w:w="100" w:type="dxa"/>
            </w:tcMar>
          </w:tcPr>
          <w:p>
            <w:pPr>
              <w:jc w:val="left"/>
            </w:pPr>
            <w:r>
              <w:t>Quality / Safety Parameter</w:t>
            </w:r>
          </w:p>
        </w:tc>
        <w:tc>
          <w:tcPr>
            <w:tcW w:type="dxa" w:w="2520"/>
            <w:shd w:fill="1A365D"/>
            <w:tcMar>
              <w:top w:w="100" w:type="dxa"/>
              <w:bottom w:w="100" w:type="dxa"/>
              <w:left w:w="100" w:type="dxa"/>
              <w:right w:w="100" w:type="dxa"/>
            </w:tcMar>
          </w:tcPr>
          <w:p>
            <w:pPr>
              <w:jc w:val="left"/>
            </w:pPr>
            <w:r>
              <w:t>Classification &amp; Authority</w:t>
            </w:r>
          </w:p>
        </w:tc>
        <w:tc>
          <w:tcPr>
            <w:tcW w:type="dxa" w:w="2520"/>
            <w:shd w:fill="1A365D"/>
            <w:tcMar>
              <w:top w:w="100" w:type="dxa"/>
              <w:bottom w:w="100" w:type="dxa"/>
              <w:left w:w="100" w:type="dxa"/>
              <w:right w:w="100" w:type="dxa"/>
            </w:tcMar>
          </w:tcPr>
          <w:p>
            <w:pPr>
              <w:jc w:val="left"/>
            </w:pPr>
            <w:r>
              <w:t>Numerical Standard / Limit</w:t>
            </w:r>
          </w:p>
        </w:tc>
        <w:tc>
          <w:tcPr>
            <w:tcW w:type="dxa" w:w="2520"/>
            <w:shd w:fill="1A365D"/>
            <w:tcMar>
              <w:top w:w="100" w:type="dxa"/>
              <w:bottom w:w="100" w:type="dxa"/>
              <w:left w:w="100" w:type="dxa"/>
              <w:right w:w="100" w:type="dxa"/>
            </w:tcMar>
          </w:tcPr>
          <w:p>
            <w:pPr>
              <w:jc w:val="left"/>
            </w:pPr>
            <w:r>
              <w:t>Measurement Method &amp; Stage</w:t>
            </w:r>
          </w:p>
        </w:tc>
      </w:tr>
      <w:tr>
        <w:trPr>
          <w:cantSplit/>
        </w:trPr>
        <w:tc>
          <w:tcPr>
            <w:tcW w:type="dxa" w:w="2520"/>
            <w:tcMar>
              <w:top w:w="65" w:type="dxa"/>
              <w:bottom w:w="65" w:type="dxa"/>
              <w:left w:w="100" w:type="dxa"/>
              <w:right w:w="100" w:type="dxa"/>
            </w:tcMar>
          </w:tcPr>
          <w:p>
            <w:r>
              <w:rPr>
                <w:rFonts w:ascii="Calibri" w:hAnsi="Calibri"/>
                <w:b/>
                <w:color w:val="2D3748"/>
                <w:sz w:val="15"/>
              </w:rPr>
              <w:t>Moisture Content</w:t>
            </w:r>
          </w:p>
        </w:tc>
        <w:tc>
          <w:tcPr>
            <w:tcW w:type="dxa" w:w="2520"/>
            <w:tcMar>
              <w:top w:w="65" w:type="dxa"/>
              <w:bottom w:w="65" w:type="dxa"/>
              <w:left w:w="100" w:type="dxa"/>
              <w:right w:w="100" w:type="dxa"/>
            </w:tcMar>
          </w:tcPr>
          <w:p>
            <w:r>
              <w:rPr>
                <w:rFonts w:ascii="Calibri" w:hAnsi="Calibri"/>
                <w:color w:val="2D3748"/>
                <w:sz w:val="15"/>
              </w:rPr>
              <w:t>FSSAI Statutory Standard (Clause 2.4.6.15)</w:t>
            </w:r>
          </w:p>
        </w:tc>
        <w:tc>
          <w:tcPr>
            <w:tcW w:type="dxa" w:w="2520"/>
            <w:tcMar>
              <w:top w:w="65" w:type="dxa"/>
              <w:bottom w:w="65" w:type="dxa"/>
              <w:left w:w="100" w:type="dxa"/>
              <w:right w:w="100" w:type="dxa"/>
            </w:tcMar>
          </w:tcPr>
          <w:p>
            <w:r>
              <w:rPr>
                <w:rFonts w:ascii="Calibri" w:hAnsi="Calibri"/>
                <w:color w:val="2D3748"/>
                <w:sz w:val="15"/>
              </w:rPr>
              <w:t>Maximum 14.0% w/w (Wet Basis)</w:t>
            </w:r>
          </w:p>
        </w:tc>
        <w:tc>
          <w:tcPr>
            <w:tcW w:type="dxa" w:w="2520"/>
            <w:tcMar>
              <w:top w:w="65" w:type="dxa"/>
              <w:bottom w:w="65" w:type="dxa"/>
              <w:left w:w="100" w:type="dxa"/>
              <w:right w:w="100" w:type="dxa"/>
            </w:tcMar>
          </w:tcPr>
          <w:p>
            <w:r>
              <w:rPr>
                <w:rFonts w:ascii="Calibri" w:hAnsi="Calibri"/>
                <w:color w:val="2D3748"/>
                <w:sz w:val="15"/>
              </w:rPr>
              <w:t>AOAC 925.10 / Mandatory release check</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Broken Grains / Fines</w:t>
            </w:r>
          </w:p>
        </w:tc>
        <w:tc>
          <w:tcPr>
            <w:tcW w:type="dxa" w:w="2520"/>
            <w:shd w:fill="F7FAFC"/>
            <w:tcMar>
              <w:top w:w="65" w:type="dxa"/>
              <w:bottom w:w="65" w:type="dxa"/>
              <w:left w:w="100" w:type="dxa"/>
              <w:right w:w="100" w:type="dxa"/>
            </w:tcMar>
          </w:tcPr>
          <w:p>
            <w:r>
              <w:rPr>
                <w:rFonts w:ascii="Calibri" w:hAnsi="Calibri"/>
                <w:color w:val="2D3748"/>
                <w:sz w:val="15"/>
              </w:rPr>
              <w:t>FSSAI Statutory Standard (Clause 2.4.6.15)</w:t>
            </w:r>
          </w:p>
        </w:tc>
        <w:tc>
          <w:tcPr>
            <w:tcW w:type="dxa" w:w="2520"/>
            <w:shd w:fill="F7FAFC"/>
            <w:tcMar>
              <w:top w:w="65" w:type="dxa"/>
              <w:bottom w:w="65" w:type="dxa"/>
              <w:left w:w="100" w:type="dxa"/>
              <w:right w:w="100" w:type="dxa"/>
            </w:tcMar>
          </w:tcPr>
          <w:p>
            <w:r>
              <w:rPr>
                <w:rFonts w:ascii="Calibri" w:hAnsi="Calibri"/>
                <w:color w:val="2D3748"/>
                <w:sz w:val="15"/>
              </w:rPr>
              <w:t>Maximum 5.0% w/w broken dal</w:t>
            </w:r>
          </w:p>
        </w:tc>
        <w:tc>
          <w:tcPr>
            <w:tcW w:type="dxa" w:w="2520"/>
            <w:shd w:fill="F7FAFC"/>
            <w:tcMar>
              <w:top w:w="65" w:type="dxa"/>
              <w:bottom w:w="65" w:type="dxa"/>
              <w:left w:w="100" w:type="dxa"/>
              <w:right w:w="100" w:type="dxa"/>
            </w:tcMar>
          </w:tcPr>
          <w:p>
            <w:r>
              <w:rPr>
                <w:rFonts w:ascii="Calibri" w:hAnsi="Calibri"/>
                <w:color w:val="2D3748"/>
                <w:sz w:val="15"/>
              </w:rPr>
              <w:t>IS 4333 Part 1 / Sieve analysis</w:t>
            </w:r>
          </w:p>
        </w:tc>
      </w:tr>
      <w:tr>
        <w:trPr>
          <w:cantSplit/>
        </w:trPr>
        <w:tc>
          <w:tcPr>
            <w:tcW w:type="dxa" w:w="2520"/>
            <w:tcMar>
              <w:top w:w="65" w:type="dxa"/>
              <w:bottom w:w="65" w:type="dxa"/>
              <w:left w:w="100" w:type="dxa"/>
              <w:right w:w="100" w:type="dxa"/>
            </w:tcMar>
          </w:tcPr>
          <w:p>
            <w:r>
              <w:rPr>
                <w:rFonts w:ascii="Calibri" w:hAnsi="Calibri"/>
                <w:b/>
                <w:color w:val="2D3748"/>
                <w:sz w:val="15"/>
              </w:rPr>
              <w:t>Project Broken Target</w:t>
            </w:r>
          </w:p>
        </w:tc>
        <w:tc>
          <w:tcPr>
            <w:tcW w:type="dxa" w:w="2520"/>
            <w:tcMar>
              <w:top w:w="65" w:type="dxa"/>
              <w:bottom w:w="65" w:type="dxa"/>
              <w:left w:w="100" w:type="dxa"/>
              <w:right w:w="100" w:type="dxa"/>
            </w:tcMar>
          </w:tcPr>
          <w:p>
            <w:r>
              <w:rPr>
                <w:rFonts w:ascii="Calibri" w:hAnsi="Calibri"/>
                <w:color w:val="2D3748"/>
                <w:sz w:val="15"/>
              </w:rPr>
              <w:t>Project Acceptance Target (Internal Quality)</w:t>
            </w:r>
          </w:p>
        </w:tc>
        <w:tc>
          <w:tcPr>
            <w:tcW w:type="dxa" w:w="2520"/>
            <w:tcMar>
              <w:top w:w="65" w:type="dxa"/>
              <w:bottom w:w="65" w:type="dxa"/>
              <w:left w:w="100" w:type="dxa"/>
              <w:right w:w="100" w:type="dxa"/>
            </w:tcMar>
          </w:tcPr>
          <w:p>
            <w:r>
              <w:rPr>
                <w:rFonts w:ascii="Calibri" w:hAnsi="Calibri"/>
                <w:color w:val="2D3748"/>
                <w:sz w:val="15"/>
              </w:rPr>
              <w:t>Maximum 2.0% w/w broken dal</w:t>
            </w:r>
          </w:p>
        </w:tc>
        <w:tc>
          <w:tcPr>
            <w:tcW w:type="dxa" w:w="2520"/>
            <w:tcMar>
              <w:top w:w="65" w:type="dxa"/>
              <w:bottom w:w="65" w:type="dxa"/>
              <w:left w:w="100" w:type="dxa"/>
              <w:right w:w="100" w:type="dxa"/>
            </w:tcMar>
          </w:tcPr>
          <w:p>
            <w:r>
              <w:rPr>
                <w:rFonts w:ascii="Calibri" w:hAnsi="Calibri"/>
                <w:color w:val="2D3748"/>
                <w:sz w:val="15"/>
              </w:rPr>
              <w:t>Stricter internal commercial specification</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Finished Sodium Content</w:t>
            </w:r>
          </w:p>
        </w:tc>
        <w:tc>
          <w:tcPr>
            <w:tcW w:type="dxa" w:w="2520"/>
            <w:shd w:fill="F7FAFC"/>
            <w:tcMar>
              <w:top w:w="65" w:type="dxa"/>
              <w:bottom w:w="65" w:type="dxa"/>
              <w:left w:w="100" w:type="dxa"/>
              <w:right w:w="100" w:type="dxa"/>
            </w:tcMar>
          </w:tcPr>
          <w:p>
            <w:r>
              <w:rPr>
                <w:rFonts w:ascii="Calibri" w:hAnsi="Calibri"/>
                <w:color w:val="2D3748"/>
                <w:sz w:val="15"/>
              </w:rPr>
              <w:t>Project Acceptance Target (Commercial Quality)</w:t>
            </w:r>
          </w:p>
        </w:tc>
        <w:tc>
          <w:tcPr>
            <w:tcW w:type="dxa" w:w="2520"/>
            <w:shd w:fill="F7FAFC"/>
            <w:tcMar>
              <w:top w:w="65" w:type="dxa"/>
              <w:bottom w:w="65" w:type="dxa"/>
              <w:left w:w="100" w:type="dxa"/>
              <w:right w:w="100" w:type="dxa"/>
            </w:tcMar>
          </w:tcPr>
          <w:p>
            <w:r>
              <w:rPr>
                <w:rFonts w:ascii="Calibri" w:hAnsi="Calibri"/>
                <w:color w:val="2D3748"/>
                <w:sz w:val="15"/>
              </w:rPr>
              <w:t>Maximum 150 mg / 100 g dry dal</w:t>
            </w:r>
          </w:p>
        </w:tc>
        <w:tc>
          <w:tcPr>
            <w:tcW w:type="dxa" w:w="2520"/>
            <w:shd w:fill="F7FAFC"/>
            <w:tcMar>
              <w:top w:w="65" w:type="dxa"/>
              <w:bottom w:w="65" w:type="dxa"/>
              <w:left w:w="100" w:type="dxa"/>
              <w:right w:w="100" w:type="dxa"/>
            </w:tcMar>
          </w:tcPr>
          <w:p>
            <w:r>
              <w:rPr>
                <w:rFonts w:ascii="Calibri" w:hAnsi="Calibri"/>
                <w:color w:val="2D3748"/>
                <w:sz w:val="15"/>
              </w:rPr>
              <w:t>ICP-OES / Evaluated post-drying in Phase 2</w:t>
            </w:r>
          </w:p>
        </w:tc>
      </w:tr>
      <w:tr>
        <w:trPr>
          <w:cantSplit/>
        </w:trPr>
        <w:tc>
          <w:tcPr>
            <w:tcW w:type="dxa" w:w="2520"/>
            <w:tcMar>
              <w:top w:w="65" w:type="dxa"/>
              <w:bottom w:w="65" w:type="dxa"/>
              <w:left w:w="100" w:type="dxa"/>
              <w:right w:w="100" w:type="dxa"/>
            </w:tcMar>
          </w:tcPr>
          <w:p>
            <w:r>
              <w:rPr>
                <w:rFonts w:ascii="Calibri" w:hAnsi="Calibri"/>
                <w:b/>
                <w:color w:val="2D3748"/>
                <w:sz w:val="15"/>
              </w:rPr>
              <w:t>Water Activity (aw)</w:t>
            </w:r>
          </w:p>
        </w:tc>
        <w:tc>
          <w:tcPr>
            <w:tcW w:type="dxa" w:w="2520"/>
            <w:tcMar>
              <w:top w:w="65" w:type="dxa"/>
              <w:bottom w:w="65" w:type="dxa"/>
              <w:left w:w="100" w:type="dxa"/>
              <w:right w:w="100" w:type="dxa"/>
            </w:tcMar>
          </w:tcPr>
          <w:p>
            <w:r>
              <w:rPr>
                <w:rFonts w:ascii="Calibri" w:hAnsi="Calibri"/>
                <w:color w:val="2D3748"/>
                <w:sz w:val="15"/>
              </w:rPr>
              <w:t>Project Acceptance Target (Microbial Stability)</w:t>
            </w:r>
          </w:p>
        </w:tc>
        <w:tc>
          <w:tcPr>
            <w:tcW w:type="dxa" w:w="2520"/>
            <w:tcMar>
              <w:top w:w="65" w:type="dxa"/>
              <w:bottom w:w="65" w:type="dxa"/>
              <w:left w:w="100" w:type="dxa"/>
              <w:right w:w="100" w:type="dxa"/>
            </w:tcMar>
          </w:tcPr>
          <w:p>
            <w:r>
              <w:rPr>
                <w:rFonts w:ascii="Calibri" w:hAnsi="Calibri"/>
                <w:color w:val="2D3748"/>
                <w:sz w:val="15"/>
              </w:rPr>
              <w:t>aw &lt; 0.60 at 10.0% ± 0.5% moisture</w:t>
            </w:r>
          </w:p>
        </w:tc>
        <w:tc>
          <w:tcPr>
            <w:tcW w:type="dxa" w:w="2520"/>
            <w:tcMar>
              <w:top w:w="65" w:type="dxa"/>
              <w:bottom w:w="65" w:type="dxa"/>
              <w:left w:w="100" w:type="dxa"/>
              <w:right w:w="100" w:type="dxa"/>
            </w:tcMar>
          </w:tcPr>
          <w:p>
            <w:r>
              <w:rPr>
                <w:rFonts w:ascii="Calibri" w:hAnsi="Calibri"/>
                <w:color w:val="2D3748"/>
                <w:sz w:val="15"/>
              </w:rPr>
              <w:t>Chilled mirror dew-point hygrometer</w:t>
            </w:r>
          </w:p>
        </w:tc>
      </w:tr>
    </w:tbl>
    <w:p>
      <w:pPr>
        <w:spacing w:before="0" w:after="60" w:line="276" w:lineRule="auto"/>
      </w:pPr>
      <w:r>
        <w:rPr>
          <w:rFonts w:ascii="Calibri" w:hAnsi="Calibri"/>
          <w:color w:val="2D3748"/>
          <w:sz w:val="17"/>
        </w:rPr>
        <w:t>Laboratory Safety Rule: No human sensory evaluation or tasting of uncharacterized experimental samples will occur during Phase 1. Formal organoleptic panels are restricted to Phase 2 under certified food-grade hygiene protocols.</w:t>
      </w:r>
    </w:p>
    <w:p>
      <w:pPr>
        <w:keepNext/>
        <w:spacing w:before="260" w:after="60"/>
      </w:pPr>
      <w:r>
        <w:rPr>
          <w:rFonts w:ascii="Calibri" w:hAnsi="Calibri"/>
          <w:b/>
          <w:color w:val="1A365D"/>
          <w:sz w:val="23"/>
        </w:rPr>
        <w:t>12. Key Deliverables &amp; Final Technical Report Structure</w:t>
      </w:r>
    </w:p>
    <w:p>
      <w:pPr>
        <w:spacing w:before="0" w:after="60" w:line="276" w:lineRule="auto"/>
      </w:pPr>
      <w:r>
        <w:rPr>
          <w:rFonts w:ascii="Calibri" w:hAnsi="Calibri"/>
          <w:color w:val="2D3748"/>
          <w:sz w:val="17"/>
        </w:rPr>
        <w:t>FinnoaQ will provide the complete suite of 14 key deliverables defined in Section 21 of the source SOW:</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5040"/>
        <w:gridCol w:w="5040"/>
      </w:tblGrid>
      <w:tr>
        <w:trPr>
          <w:tblHeader/>
          <w:cantSplit/>
        </w:trPr>
        <w:tc>
          <w:tcPr>
            <w:tcW w:type="dxa" w:w="5040"/>
            <w:shd w:fill="1A365D"/>
            <w:tcMar>
              <w:top w:w="100" w:type="dxa"/>
              <w:bottom w:w="100" w:type="dxa"/>
              <w:left w:w="100" w:type="dxa"/>
              <w:right w:w="100" w:type="dxa"/>
            </w:tcMar>
          </w:tcPr>
          <w:p>
            <w:pPr>
              <w:jc w:val="left"/>
            </w:pPr>
            <w:r>
              <w:t>Deliverables 1 to 7 (Analytical Modules)</w:t>
            </w:r>
          </w:p>
        </w:tc>
        <w:tc>
          <w:tcPr>
            <w:tcW w:type="dxa" w:w="5040"/>
            <w:shd w:fill="1A365D"/>
            <w:tcMar>
              <w:top w:w="100" w:type="dxa"/>
              <w:bottom w:w="100" w:type="dxa"/>
              <w:left w:w="100" w:type="dxa"/>
              <w:right w:w="100" w:type="dxa"/>
            </w:tcMar>
          </w:tcPr>
          <w:p>
            <w:pPr>
              <w:jc w:val="left"/>
            </w:pPr>
            <w:r>
              <w:t>Deliverables 8 to 14 (Synthesis &amp; Reports)</w:t>
            </w:r>
          </w:p>
        </w:tc>
      </w:tr>
      <w:tr>
        <w:trPr>
          <w:cantSplit/>
        </w:trPr>
        <w:tc>
          <w:tcPr>
            <w:tcW w:type="dxa" w:w="5040"/>
            <w:tcMar>
              <w:top w:w="65" w:type="dxa"/>
              <w:bottom w:w="65" w:type="dxa"/>
              <w:left w:w="100" w:type="dxa"/>
              <w:right w:w="100" w:type="dxa"/>
            </w:tcMar>
          </w:tcPr>
          <w:p>
            <w:r>
              <w:rPr>
                <w:rFonts w:ascii="Calibri" w:hAnsi="Calibri"/>
                <w:color w:val="2D3748"/>
                <w:sz w:val="15"/>
              </w:rPr>
              <w:t>DEL-01: Sample Characterization Report</w:t>
            </w:r>
          </w:p>
        </w:tc>
        <w:tc>
          <w:tcPr>
            <w:tcW w:type="dxa" w:w="5040"/>
            <w:tcMar>
              <w:top w:w="65" w:type="dxa"/>
              <w:bottom w:w="65" w:type="dxa"/>
              <w:left w:w="100" w:type="dxa"/>
              <w:right w:w="100" w:type="dxa"/>
            </w:tcMar>
          </w:tcPr>
          <w:p>
            <w:r>
              <w:rPr>
                <w:rFonts w:ascii="Calibri" w:hAnsi="Calibri"/>
                <w:color w:val="2D3748"/>
                <w:sz w:val="15"/>
              </w:rPr>
              <w:t>DEL-08: Hardness &amp; Texture Analysis Report</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DEL-02: Proximate Chemical Composition Report</w:t>
            </w:r>
          </w:p>
        </w:tc>
        <w:tc>
          <w:tcPr>
            <w:tcW w:type="dxa" w:w="5040"/>
            <w:shd w:fill="F7FAFC"/>
            <w:tcMar>
              <w:top w:w="65" w:type="dxa"/>
              <w:bottom w:w="65" w:type="dxa"/>
              <w:left w:w="100" w:type="dxa"/>
              <w:right w:w="100" w:type="dxa"/>
            </w:tcMar>
          </w:tcPr>
          <w:p>
            <w:r>
              <w:rPr>
                <w:rFonts w:ascii="Calibri" w:hAnsi="Calibri"/>
                <w:color w:val="2D3748"/>
                <w:sz w:val="15"/>
              </w:rPr>
              <w:t>DEL-09: Standardized Cooking Performance Report</w:t>
            </w:r>
          </w:p>
        </w:tc>
      </w:tr>
      <w:tr>
        <w:trPr>
          <w:cantSplit/>
        </w:trPr>
        <w:tc>
          <w:tcPr>
            <w:tcW w:type="dxa" w:w="5040"/>
            <w:tcMar>
              <w:top w:w="65" w:type="dxa"/>
              <w:bottom w:w="65" w:type="dxa"/>
              <w:left w:w="100" w:type="dxa"/>
              <w:right w:w="100" w:type="dxa"/>
            </w:tcMar>
          </w:tcPr>
          <w:p>
            <w:r>
              <w:rPr>
                <w:rFonts w:ascii="Calibri" w:hAnsi="Calibri"/>
                <w:color w:val="2D3748"/>
                <w:sz w:val="15"/>
              </w:rPr>
              <w:t>DEL-03: Starch &amp; Gelatinization Report</w:t>
            </w:r>
          </w:p>
        </w:tc>
        <w:tc>
          <w:tcPr>
            <w:tcW w:type="dxa" w:w="5040"/>
            <w:tcMar>
              <w:top w:w="65" w:type="dxa"/>
              <w:bottom w:w="65" w:type="dxa"/>
              <w:left w:w="100" w:type="dxa"/>
              <w:right w:w="100" w:type="dxa"/>
            </w:tcMar>
          </w:tcPr>
          <w:p>
            <w:r>
              <w:rPr>
                <w:rFonts w:ascii="Calibri" w:hAnsi="Calibri"/>
                <w:color w:val="2D3748"/>
                <w:sz w:val="15"/>
              </w:rPr>
              <w:t>DEL-10: Tanzanian vs. Indian Benchmarking Matrix</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DEL-04: Hydration &amp; Water Absorption Report</w:t>
            </w:r>
          </w:p>
        </w:tc>
        <w:tc>
          <w:tcPr>
            <w:tcW w:type="dxa" w:w="5040"/>
            <w:shd w:fill="F7FAFC"/>
            <w:tcMar>
              <w:top w:w="65" w:type="dxa"/>
              <w:bottom w:w="65" w:type="dxa"/>
              <w:left w:w="100" w:type="dxa"/>
              <w:right w:w="100" w:type="dxa"/>
            </w:tcMar>
          </w:tcPr>
          <w:p>
            <w:r>
              <w:rPr>
                <w:rFonts w:ascii="Calibri" w:hAnsi="Calibri"/>
                <w:color w:val="2D3748"/>
                <w:sz w:val="15"/>
              </w:rPr>
              <w:t>DEL-11: Integrated Root-Cause Analysis Dossier</w:t>
            </w:r>
          </w:p>
        </w:tc>
      </w:tr>
      <w:tr>
        <w:trPr>
          <w:cantSplit/>
        </w:trPr>
        <w:tc>
          <w:tcPr>
            <w:tcW w:type="dxa" w:w="5040"/>
            <w:tcMar>
              <w:top w:w="65" w:type="dxa"/>
              <w:bottom w:w="65" w:type="dxa"/>
              <w:left w:w="100" w:type="dxa"/>
              <w:right w:w="100" w:type="dxa"/>
            </w:tcMar>
          </w:tcPr>
          <w:p>
            <w:r>
              <w:rPr>
                <w:rFonts w:ascii="Calibri" w:hAnsi="Calibri"/>
                <w:color w:val="2D3748"/>
                <w:sz w:val="15"/>
              </w:rPr>
              <w:t>DEL-05: Structural &amp; Seed-Coat Assessment</w:t>
            </w:r>
          </w:p>
        </w:tc>
        <w:tc>
          <w:tcPr>
            <w:tcW w:type="dxa" w:w="5040"/>
            <w:tcMar>
              <w:top w:w="65" w:type="dxa"/>
              <w:bottom w:w="65" w:type="dxa"/>
              <w:left w:w="100" w:type="dxa"/>
              <w:right w:w="100" w:type="dxa"/>
            </w:tcMar>
          </w:tcPr>
          <w:p>
            <w:r>
              <w:rPr>
                <w:rFonts w:ascii="Calibri" w:hAnsi="Calibri"/>
                <w:color w:val="2D3748"/>
                <w:sz w:val="15"/>
              </w:rPr>
              <w:t>DEL-12: Phase 2 Technology Recommendations</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DEL-06: Pectin &amp; Cell-Wall Fractionation Report</w:t>
            </w:r>
          </w:p>
        </w:tc>
        <w:tc>
          <w:tcPr>
            <w:tcW w:type="dxa" w:w="5040"/>
            <w:shd w:fill="F7FAFC"/>
            <w:tcMar>
              <w:top w:w="65" w:type="dxa"/>
              <w:bottom w:w="65" w:type="dxa"/>
              <w:left w:w="100" w:type="dxa"/>
              <w:right w:w="100" w:type="dxa"/>
            </w:tcMar>
          </w:tcPr>
          <w:p>
            <w:r>
              <w:rPr>
                <w:rFonts w:ascii="Calibri" w:hAnsi="Calibri"/>
                <w:color w:val="2D3748"/>
                <w:sz w:val="15"/>
              </w:rPr>
              <w:t>DEL-13: Executive Management Summary Briefing</w:t>
            </w:r>
          </w:p>
        </w:tc>
      </w:tr>
      <w:tr>
        <w:trPr>
          <w:cantSplit/>
        </w:trPr>
        <w:tc>
          <w:tcPr>
            <w:tcW w:type="dxa" w:w="5040"/>
            <w:tcMar>
              <w:top w:w="65" w:type="dxa"/>
              <w:bottom w:w="65" w:type="dxa"/>
              <w:left w:w="100" w:type="dxa"/>
              <w:right w:w="100" w:type="dxa"/>
            </w:tcMar>
          </w:tcPr>
          <w:p>
            <w:r>
              <w:rPr>
                <w:rFonts w:ascii="Calibri" w:hAnsi="Calibri"/>
                <w:color w:val="2D3748"/>
                <w:sz w:val="15"/>
              </w:rPr>
              <w:t>DEL-07: Mineral &amp; Phytate Assessment Report</w:t>
            </w:r>
          </w:p>
        </w:tc>
        <w:tc>
          <w:tcPr>
            <w:tcW w:type="dxa" w:w="5040"/>
            <w:tcMar>
              <w:top w:w="65" w:type="dxa"/>
              <w:bottom w:w="65" w:type="dxa"/>
              <w:left w:w="100" w:type="dxa"/>
              <w:right w:w="100" w:type="dxa"/>
            </w:tcMar>
          </w:tcPr>
          <w:p>
            <w:r>
              <w:rPr>
                <w:rFonts w:ascii="Calibri" w:hAnsi="Calibri"/>
                <w:color w:val="2D3748"/>
                <w:sz w:val="15"/>
              </w:rPr>
              <w:t>DEL-14: Comprehensive Final Technical R&amp;D Report</w:t>
            </w:r>
          </w:p>
        </w:tc>
      </w:tr>
    </w:tbl>
    <w:p>
      <w:pPr>
        <w:spacing w:before="0" w:after="60" w:line="276" w:lineRule="auto"/>
      </w:pPr>
      <w:r>
        <w:rPr>
          <w:rFonts w:ascii="Calibri" w:hAnsi="Calibri"/>
          <w:color w:val="2D3748"/>
          <w:sz w:val="17"/>
        </w:rPr>
        <w:t>Final Report Structure: The final deliverable comprises a 23-section technical dossier covering executive summary, background, experimental design, analytical methodologies, detailed results for all modules, benchmark matrices, statistical analyses, root-cause assessment, Phase 2 roadmap, study limitations, and raw data appendices.</w:t>
      </w:r>
    </w:p>
    <w:p>
      <w:pPr>
        <w:keepNext/>
        <w:spacing w:before="260" w:after="60"/>
      </w:pPr>
      <w:r>
        <w:rPr>
          <w:rFonts w:ascii="Calibri" w:hAnsi="Calibri"/>
          <w:b/>
          <w:color w:val="1A365D"/>
          <w:sz w:val="23"/>
        </w:rPr>
        <w:t>13. Project Timeline &amp; Operational Milestones</w:t>
      </w:r>
    </w:p>
    <w:p>
      <w:pPr>
        <w:spacing w:before="0" w:after="60" w:line="276" w:lineRule="auto"/>
      </w:pPr>
      <w:r>
        <w:rPr>
          <w:rFonts w:ascii="Calibri" w:hAnsi="Calibri"/>
          <w:color w:val="2D3748"/>
          <w:sz w:val="17"/>
        </w:rPr>
        <w:t>The indicative turnaround is 20–25 business days across five operational stages (source SOW Section 27):</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1872"/>
        <w:gridCol w:w="4032"/>
        <w:gridCol w:w="2880"/>
      </w:tblGrid>
      <w:tr>
        <w:trPr>
          <w:tblHeader/>
          <w:cantSplit/>
        </w:trPr>
        <w:tc>
          <w:tcPr>
            <w:tcW w:type="dxa" w:w="2520"/>
            <w:shd w:fill="1A365D"/>
            <w:tcMar>
              <w:top w:w="100" w:type="dxa"/>
              <w:bottom w:w="100" w:type="dxa"/>
              <w:left w:w="100" w:type="dxa"/>
              <w:right w:w="100" w:type="dxa"/>
            </w:tcMar>
          </w:tcPr>
          <w:p>
            <w:pPr>
              <w:jc w:val="left"/>
            </w:pPr>
            <w:r>
              <w:t>Stage</w:t>
            </w:r>
          </w:p>
        </w:tc>
        <w:tc>
          <w:tcPr>
            <w:tcW w:type="dxa" w:w="2520"/>
            <w:shd w:fill="1A365D"/>
            <w:tcMar>
              <w:top w:w="100" w:type="dxa"/>
              <w:bottom w:w="100" w:type="dxa"/>
              <w:left w:w="100" w:type="dxa"/>
              <w:right w:w="100" w:type="dxa"/>
            </w:tcMar>
          </w:tcPr>
          <w:p>
            <w:pPr>
              <w:jc w:val="left"/>
            </w:pPr>
            <w:r>
              <w:t>Timeline</w:t>
            </w:r>
          </w:p>
        </w:tc>
        <w:tc>
          <w:tcPr>
            <w:tcW w:type="dxa" w:w="2520"/>
            <w:shd w:fill="1A365D"/>
            <w:tcMar>
              <w:top w:w="100" w:type="dxa"/>
              <w:bottom w:w="100" w:type="dxa"/>
              <w:left w:w="100" w:type="dxa"/>
              <w:right w:w="100" w:type="dxa"/>
            </w:tcMar>
          </w:tcPr>
          <w:p>
            <w:pPr>
              <w:jc w:val="left"/>
            </w:pPr>
            <w:r>
              <w:t>Key Operational Activities</w:t>
            </w:r>
          </w:p>
        </w:tc>
        <w:tc>
          <w:tcPr>
            <w:tcW w:type="dxa" w:w="2520"/>
            <w:shd w:fill="1A365D"/>
            <w:tcMar>
              <w:top w:w="100" w:type="dxa"/>
              <w:bottom w:w="100" w:type="dxa"/>
              <w:left w:w="100" w:type="dxa"/>
              <w:right w:w="100" w:type="dxa"/>
            </w:tcMar>
          </w:tcPr>
          <w:p>
            <w:pPr>
              <w:jc w:val="left"/>
            </w:pPr>
            <w:r>
              <w:t>Dependencies &amp; Deliverables</w:t>
            </w:r>
          </w:p>
        </w:tc>
      </w:tr>
      <w:tr>
        <w:trPr>
          <w:cantSplit/>
        </w:trPr>
        <w:tc>
          <w:tcPr>
            <w:tcW w:type="dxa" w:w="2520"/>
            <w:tcMar>
              <w:top w:w="65" w:type="dxa"/>
              <w:bottom w:w="65" w:type="dxa"/>
              <w:left w:w="100" w:type="dxa"/>
              <w:right w:w="100" w:type="dxa"/>
            </w:tcMar>
          </w:tcPr>
          <w:p>
            <w:r>
              <w:rPr>
                <w:rFonts w:ascii="Calibri" w:hAnsi="Calibri"/>
                <w:b/>
                <w:color w:val="2D3748"/>
                <w:sz w:val="15"/>
              </w:rPr>
              <w:t>Stage 1</w:t>
            </w:r>
          </w:p>
        </w:tc>
        <w:tc>
          <w:tcPr>
            <w:tcW w:type="dxa" w:w="2520"/>
            <w:tcMar>
              <w:top w:w="65" w:type="dxa"/>
              <w:bottom w:w="65" w:type="dxa"/>
              <w:left w:w="100" w:type="dxa"/>
              <w:right w:w="100" w:type="dxa"/>
            </w:tcMar>
          </w:tcPr>
          <w:p>
            <w:r>
              <w:rPr>
                <w:rFonts w:ascii="Calibri" w:hAnsi="Calibri"/>
                <w:color w:val="2D3748"/>
                <w:sz w:val="15"/>
              </w:rPr>
              <w:t>Days 1–3</w:t>
            </w:r>
          </w:p>
        </w:tc>
        <w:tc>
          <w:tcPr>
            <w:tcW w:type="dxa" w:w="2520"/>
            <w:tcMar>
              <w:top w:w="65" w:type="dxa"/>
              <w:bottom w:w="65" w:type="dxa"/>
              <w:left w:w="100" w:type="dxa"/>
              <w:right w:w="100" w:type="dxa"/>
            </w:tcMar>
          </w:tcPr>
          <w:p>
            <w:r>
              <w:rPr>
                <w:rFonts w:ascii="Calibri" w:hAnsi="Calibri"/>
                <w:color w:val="2D3748"/>
                <w:sz w:val="15"/>
              </w:rPr>
              <w:t>Sample intake, physical inspection, chain of custody coding, allocation to internal/external labs.</w:t>
            </w:r>
          </w:p>
        </w:tc>
        <w:tc>
          <w:tcPr>
            <w:tcW w:type="dxa" w:w="2520"/>
            <w:tcMar>
              <w:top w:w="65" w:type="dxa"/>
              <w:bottom w:w="65" w:type="dxa"/>
              <w:left w:w="100" w:type="dxa"/>
              <w:right w:w="100" w:type="dxa"/>
            </w:tcMar>
          </w:tcPr>
          <w:p>
            <w:r>
              <w:rPr>
                <w:rFonts w:ascii="Calibri" w:hAnsi="Calibri"/>
                <w:color w:val="2D3748"/>
                <w:sz w:val="15"/>
              </w:rPr>
              <w:t>Sample receipt + Milestone 1 advance</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Stage 2</w:t>
            </w:r>
          </w:p>
        </w:tc>
        <w:tc>
          <w:tcPr>
            <w:tcW w:type="dxa" w:w="2520"/>
            <w:shd w:fill="F7FAFC"/>
            <w:tcMar>
              <w:top w:w="65" w:type="dxa"/>
              <w:bottom w:w="65" w:type="dxa"/>
              <w:left w:w="100" w:type="dxa"/>
              <w:right w:w="100" w:type="dxa"/>
            </w:tcMar>
          </w:tcPr>
          <w:p>
            <w:r>
              <w:rPr>
                <w:rFonts w:ascii="Calibri" w:hAnsi="Calibri"/>
                <w:color w:val="2D3748"/>
                <w:sz w:val="15"/>
              </w:rPr>
              <w:t>Days 4–14</w:t>
            </w:r>
          </w:p>
        </w:tc>
        <w:tc>
          <w:tcPr>
            <w:tcW w:type="dxa" w:w="2520"/>
            <w:shd w:fill="F7FAFC"/>
            <w:tcMar>
              <w:top w:w="65" w:type="dxa"/>
              <w:bottom w:w="65" w:type="dxa"/>
              <w:left w:w="100" w:type="dxa"/>
              <w:right w:w="100" w:type="dxa"/>
            </w:tcMar>
          </w:tcPr>
          <w:p>
            <w:r>
              <w:rPr>
                <w:rFonts w:ascii="Calibri" w:hAnsi="Calibri"/>
                <w:color w:val="2D3748"/>
                <w:sz w:val="15"/>
              </w:rPr>
              <w:t>Proximate chemical analysis, starch/amylose assays, DSC thermal runs, mineral/phytate testing.</w:t>
            </w:r>
          </w:p>
        </w:tc>
        <w:tc>
          <w:tcPr>
            <w:tcW w:type="dxa" w:w="2520"/>
            <w:shd w:fill="F7FAFC"/>
            <w:tcMar>
              <w:top w:w="65" w:type="dxa"/>
              <w:bottom w:w="65" w:type="dxa"/>
              <w:left w:w="100" w:type="dxa"/>
              <w:right w:w="100" w:type="dxa"/>
            </w:tcMar>
          </w:tcPr>
          <w:p>
            <w:r>
              <w:rPr>
                <w:rFonts w:ascii="Calibri" w:hAnsi="Calibri"/>
                <w:color w:val="2D3748"/>
                <w:sz w:val="15"/>
              </w:rPr>
              <w:t>Completion of Stage 1 preparation</w:t>
            </w:r>
          </w:p>
        </w:tc>
      </w:tr>
      <w:tr>
        <w:trPr>
          <w:cantSplit/>
        </w:trPr>
        <w:tc>
          <w:tcPr>
            <w:tcW w:type="dxa" w:w="2520"/>
            <w:tcMar>
              <w:top w:w="65" w:type="dxa"/>
              <w:bottom w:w="65" w:type="dxa"/>
              <w:left w:w="100" w:type="dxa"/>
              <w:right w:w="100" w:type="dxa"/>
            </w:tcMar>
          </w:tcPr>
          <w:p>
            <w:r>
              <w:rPr>
                <w:rFonts w:ascii="Calibri" w:hAnsi="Calibri"/>
                <w:b/>
                <w:color w:val="2D3748"/>
                <w:sz w:val="15"/>
              </w:rPr>
              <w:t>Stage 3</w:t>
            </w:r>
          </w:p>
        </w:tc>
        <w:tc>
          <w:tcPr>
            <w:tcW w:type="dxa" w:w="2520"/>
            <w:tcMar>
              <w:top w:w="65" w:type="dxa"/>
              <w:bottom w:w="65" w:type="dxa"/>
              <w:left w:w="100" w:type="dxa"/>
              <w:right w:w="100" w:type="dxa"/>
            </w:tcMar>
          </w:tcPr>
          <w:p>
            <w:r>
              <w:rPr>
                <w:rFonts w:ascii="Calibri" w:hAnsi="Calibri"/>
                <w:color w:val="2D3748"/>
                <w:sz w:val="15"/>
              </w:rPr>
              <w:t>Days 10–18</w:t>
            </w:r>
          </w:p>
        </w:tc>
        <w:tc>
          <w:tcPr>
            <w:tcW w:type="dxa" w:w="2520"/>
            <w:tcMar>
              <w:top w:w="65" w:type="dxa"/>
              <w:bottom w:w="65" w:type="dxa"/>
              <w:left w:w="100" w:type="dxa"/>
              <w:right w:w="100" w:type="dxa"/>
            </w:tcMar>
          </w:tcPr>
          <w:p>
            <w:r>
              <w:rPr>
                <w:rFonts w:ascii="Calibri" w:hAnsi="Calibri"/>
                <w:color w:val="2D3748"/>
                <w:sz w:val="15"/>
              </w:rPr>
              <w:t>Time-course hydration kinetics, standardized pressurized cooking runs, texture analyzer shear testing.</w:t>
            </w:r>
          </w:p>
        </w:tc>
        <w:tc>
          <w:tcPr>
            <w:tcW w:type="dxa" w:w="2520"/>
            <w:tcMar>
              <w:top w:w="65" w:type="dxa"/>
              <w:bottom w:w="65" w:type="dxa"/>
              <w:left w:w="100" w:type="dxa"/>
              <w:right w:w="100" w:type="dxa"/>
            </w:tcMar>
          </w:tcPr>
          <w:p>
            <w:r>
              <w:rPr>
                <w:rFonts w:ascii="Calibri" w:hAnsi="Calibri"/>
                <w:color w:val="2D3748"/>
                <w:sz w:val="15"/>
              </w:rPr>
              <w:t>Conducted in parallel with Stage 2</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Stage 4</w:t>
            </w:r>
          </w:p>
        </w:tc>
        <w:tc>
          <w:tcPr>
            <w:tcW w:type="dxa" w:w="2520"/>
            <w:shd w:fill="F7FAFC"/>
            <w:tcMar>
              <w:top w:w="65" w:type="dxa"/>
              <w:bottom w:w="65" w:type="dxa"/>
              <w:left w:w="100" w:type="dxa"/>
              <w:right w:w="100" w:type="dxa"/>
            </w:tcMar>
          </w:tcPr>
          <w:p>
            <w:r>
              <w:rPr>
                <w:rFonts w:ascii="Calibri" w:hAnsi="Calibri"/>
                <w:color w:val="2D3748"/>
                <w:sz w:val="15"/>
              </w:rPr>
              <w:t>Days 18–22</w:t>
            </w:r>
          </w:p>
        </w:tc>
        <w:tc>
          <w:tcPr>
            <w:tcW w:type="dxa" w:w="2520"/>
            <w:shd w:fill="F7FAFC"/>
            <w:tcMar>
              <w:top w:w="65" w:type="dxa"/>
              <w:bottom w:w="65" w:type="dxa"/>
              <w:left w:w="100" w:type="dxa"/>
              <w:right w:w="100" w:type="dxa"/>
            </w:tcMar>
          </w:tcPr>
          <w:p>
            <w:r>
              <w:rPr>
                <w:rFonts w:ascii="Calibri" w:hAnsi="Calibri"/>
                <w:color w:val="2D3748"/>
                <w:sz w:val="15"/>
              </w:rPr>
              <w:t>Data consolidation, statistical evaluation, cross-verification, multivariate correlation, root-cause synthesis.</w:t>
            </w:r>
          </w:p>
        </w:tc>
        <w:tc>
          <w:tcPr>
            <w:tcW w:type="dxa" w:w="2520"/>
            <w:shd w:fill="F7FAFC"/>
            <w:tcMar>
              <w:top w:w="65" w:type="dxa"/>
              <w:bottom w:w="65" w:type="dxa"/>
              <w:left w:w="100" w:type="dxa"/>
              <w:right w:w="100" w:type="dxa"/>
            </w:tcMar>
          </w:tcPr>
          <w:p>
            <w:r>
              <w:rPr>
                <w:rFonts w:ascii="Calibri" w:hAnsi="Calibri"/>
                <w:color w:val="2D3748"/>
                <w:sz w:val="15"/>
              </w:rPr>
              <w:t>Receipt of all analytical data sheets</w:t>
            </w:r>
          </w:p>
        </w:tc>
      </w:tr>
      <w:tr>
        <w:trPr>
          <w:cantSplit/>
        </w:trPr>
        <w:tc>
          <w:tcPr>
            <w:tcW w:type="dxa" w:w="2520"/>
            <w:tcMar>
              <w:top w:w="65" w:type="dxa"/>
              <w:bottom w:w="65" w:type="dxa"/>
              <w:left w:w="100" w:type="dxa"/>
              <w:right w:w="100" w:type="dxa"/>
            </w:tcMar>
          </w:tcPr>
          <w:p>
            <w:r>
              <w:rPr>
                <w:rFonts w:ascii="Calibri" w:hAnsi="Calibri"/>
                <w:b/>
                <w:color w:val="2D3748"/>
                <w:sz w:val="15"/>
              </w:rPr>
              <w:t>Stage 5</w:t>
            </w:r>
          </w:p>
        </w:tc>
        <w:tc>
          <w:tcPr>
            <w:tcW w:type="dxa" w:w="2520"/>
            <w:tcMar>
              <w:top w:w="65" w:type="dxa"/>
              <w:bottom w:w="65" w:type="dxa"/>
              <w:left w:w="100" w:type="dxa"/>
              <w:right w:w="100" w:type="dxa"/>
            </w:tcMar>
          </w:tcPr>
          <w:p>
            <w:r>
              <w:rPr>
                <w:rFonts w:ascii="Calibri" w:hAnsi="Calibri"/>
                <w:color w:val="2D3748"/>
                <w:sz w:val="15"/>
              </w:rPr>
              <w:t>Days 22–25</w:t>
            </w:r>
          </w:p>
        </w:tc>
        <w:tc>
          <w:tcPr>
            <w:tcW w:type="dxa" w:w="2520"/>
            <w:tcMar>
              <w:top w:w="65" w:type="dxa"/>
              <w:bottom w:w="65" w:type="dxa"/>
              <w:left w:w="100" w:type="dxa"/>
              <w:right w:w="100" w:type="dxa"/>
            </w:tcMar>
          </w:tcPr>
          <w:p>
            <w:r>
              <w:rPr>
                <w:rFonts w:ascii="Calibri" w:hAnsi="Calibri"/>
                <w:color w:val="2D3748"/>
                <w:sz w:val="15"/>
              </w:rPr>
              <w:t>Final technical report compilation, executive briefing preparation, submission, and client presentation.</w:t>
            </w:r>
          </w:p>
        </w:tc>
        <w:tc>
          <w:tcPr>
            <w:tcW w:type="dxa" w:w="2520"/>
            <w:tcMar>
              <w:top w:w="65" w:type="dxa"/>
              <w:bottom w:w="65" w:type="dxa"/>
              <w:left w:w="100" w:type="dxa"/>
              <w:right w:w="100" w:type="dxa"/>
            </w:tcMar>
          </w:tcPr>
          <w:p>
            <w:r>
              <w:rPr>
                <w:rFonts w:ascii="Calibri" w:hAnsi="Calibri"/>
                <w:color w:val="2D3748"/>
                <w:sz w:val="15"/>
              </w:rPr>
              <w:t>Final report sign-off + Milestone 3</w:t>
            </w:r>
          </w:p>
        </w:tc>
      </w:tr>
    </w:tbl>
    <w:p>
      <w:pPr>
        <w:keepNext/>
        <w:spacing w:before="260" w:after="60"/>
      </w:pPr>
      <w:r>
        <w:rPr>
          <w:rFonts w:ascii="Calibri" w:hAnsi="Calibri"/>
          <w:b/>
          <w:color w:val="1A365D"/>
          <w:sz w:val="23"/>
        </w:rPr>
        <w:t>14. Indicative Technical Cost Structure &amp; Commercial Terms</w:t>
      </w:r>
    </w:p>
    <w:p>
      <w:pPr>
        <w:spacing w:before="0" w:after="60" w:line="276" w:lineRule="auto"/>
      </w:pPr>
      <w:r>
        <w:rPr>
          <w:rFonts w:ascii="Calibri" w:hAnsi="Calibri"/>
          <w:color w:val="2D3748"/>
          <w:sz w:val="17"/>
        </w:rPr>
        <w:t>The indicative professional fee totals exactly ₹1,73,000 plus applicable GST, matching Table 40 of the source SOW:</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6768"/>
        <w:gridCol w:w="2160"/>
      </w:tblGrid>
      <w:tr>
        <w:trPr>
          <w:tblHeader/>
          <w:cantSplit/>
        </w:trPr>
        <w:tc>
          <w:tcPr>
            <w:tcW w:type="dxa" w:w="3360"/>
            <w:shd w:fill="1A365D"/>
            <w:tcMar>
              <w:top w:w="100" w:type="dxa"/>
              <w:bottom w:w="100" w:type="dxa"/>
              <w:left w:w="100" w:type="dxa"/>
              <w:right w:w="100" w:type="dxa"/>
            </w:tcMar>
          </w:tcPr>
          <w:p>
            <w:pPr>
              <w:jc w:val="left"/>
            </w:pPr>
            <w:r>
              <w:t>Item</w:t>
            </w:r>
          </w:p>
        </w:tc>
        <w:tc>
          <w:tcPr>
            <w:tcW w:type="dxa" w:w="3360"/>
            <w:shd w:fill="1A365D"/>
            <w:tcMar>
              <w:top w:w="100" w:type="dxa"/>
              <w:bottom w:w="100" w:type="dxa"/>
              <w:left w:w="100" w:type="dxa"/>
              <w:right w:w="100" w:type="dxa"/>
            </w:tcMar>
          </w:tcPr>
          <w:p>
            <w:pPr>
              <w:jc w:val="left"/>
            </w:pPr>
            <w:r>
              <w:t>Analytical Module / Professional Service Component</w:t>
            </w:r>
          </w:p>
        </w:tc>
        <w:tc>
          <w:tcPr>
            <w:tcW w:type="dxa" w:w="3360"/>
            <w:shd w:fill="1A365D"/>
            <w:tcMar>
              <w:top w:w="100" w:type="dxa"/>
              <w:bottom w:w="100" w:type="dxa"/>
              <w:left w:w="100" w:type="dxa"/>
              <w:right w:w="100" w:type="dxa"/>
            </w:tcMar>
          </w:tcPr>
          <w:p>
            <w:pPr>
              <w:jc w:val="left"/>
            </w:pPr>
            <w:r>
              <w:t>Indicative Fee (INR)</w:t>
            </w:r>
          </w:p>
        </w:tc>
      </w:tr>
      <w:tr>
        <w:trPr>
          <w:cantSplit/>
        </w:trPr>
        <w:tc>
          <w:tcPr>
            <w:tcW w:type="dxa" w:w="3360"/>
            <w:tcMar>
              <w:top w:w="65" w:type="dxa"/>
              <w:bottom w:w="65" w:type="dxa"/>
              <w:left w:w="100" w:type="dxa"/>
              <w:right w:w="100" w:type="dxa"/>
            </w:tcMar>
          </w:tcPr>
          <w:p>
            <w:r>
              <w:rPr>
                <w:rFonts w:ascii="Calibri" w:hAnsi="Calibri"/>
                <w:color w:val="2D3748"/>
                <w:sz w:val="15"/>
              </w:rPr>
              <w:t>01</w:t>
            </w:r>
          </w:p>
        </w:tc>
        <w:tc>
          <w:tcPr>
            <w:tcW w:type="dxa" w:w="3360"/>
            <w:tcMar>
              <w:top w:w="65" w:type="dxa"/>
              <w:bottom w:w="65" w:type="dxa"/>
              <w:left w:w="100" w:type="dxa"/>
              <w:right w:w="100" w:type="dxa"/>
            </w:tcMar>
          </w:tcPr>
          <w:p>
            <w:r>
              <w:rPr>
                <w:rFonts w:ascii="Calibri" w:hAnsi="Calibri"/>
                <w:color w:val="2D3748"/>
                <w:sz w:val="15"/>
              </w:rPr>
              <w:t>Sample Preparation &amp; Physical Characterization (Dimensions, 1000-grain weight, density)</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02</w:t>
            </w:r>
          </w:p>
        </w:tc>
        <w:tc>
          <w:tcPr>
            <w:tcW w:type="dxa" w:w="3360"/>
            <w:shd w:fill="F7FAFC"/>
            <w:tcMar>
              <w:top w:w="65" w:type="dxa"/>
              <w:bottom w:w="65" w:type="dxa"/>
              <w:left w:w="100" w:type="dxa"/>
              <w:right w:w="100" w:type="dxa"/>
            </w:tcMar>
          </w:tcPr>
          <w:p>
            <w:r>
              <w:rPr>
                <w:rFonts w:ascii="Calibri" w:hAnsi="Calibri"/>
                <w:color w:val="2D3748"/>
                <w:sz w:val="15"/>
              </w:rPr>
              <w:t>Proximate Chemical Analysis (Moisture, protein, fat, fibre, ash, carbohydrates)</w:t>
            </w:r>
          </w:p>
        </w:tc>
        <w:tc>
          <w:tcPr>
            <w:tcW w:type="dxa" w:w="3360"/>
            <w:shd w:fill="F7FAFC"/>
            <w:tcMar>
              <w:top w:w="65" w:type="dxa"/>
              <w:bottom w:w="65" w:type="dxa"/>
              <w:left w:w="100" w:type="dxa"/>
              <w:right w:w="100" w:type="dxa"/>
            </w:tcMar>
          </w:tcPr>
          <w:p>
            <w:r>
              <w:rPr>
                <w:rFonts w:ascii="Calibri" w:hAnsi="Calibri"/>
                <w:color w:val="2D3748"/>
                <w:sz w:val="15"/>
              </w:rPr>
              <w:t>₹7,000</w:t>
            </w:r>
          </w:p>
        </w:tc>
      </w:tr>
      <w:tr>
        <w:trPr>
          <w:cantSplit/>
        </w:trPr>
        <w:tc>
          <w:tcPr>
            <w:tcW w:type="dxa" w:w="3360"/>
            <w:tcMar>
              <w:top w:w="65" w:type="dxa"/>
              <w:bottom w:w="65" w:type="dxa"/>
              <w:left w:w="100" w:type="dxa"/>
              <w:right w:w="100" w:type="dxa"/>
            </w:tcMar>
          </w:tcPr>
          <w:p>
            <w:r>
              <w:rPr>
                <w:rFonts w:ascii="Calibri" w:hAnsi="Calibri"/>
                <w:color w:val="2D3748"/>
                <w:sz w:val="15"/>
              </w:rPr>
              <w:t>03</w:t>
            </w:r>
          </w:p>
        </w:tc>
        <w:tc>
          <w:tcPr>
            <w:tcW w:type="dxa" w:w="3360"/>
            <w:tcMar>
              <w:top w:w="65" w:type="dxa"/>
              <w:bottom w:w="65" w:type="dxa"/>
              <w:left w:w="100" w:type="dxa"/>
              <w:right w:w="100" w:type="dxa"/>
            </w:tcMar>
          </w:tcPr>
          <w:p>
            <w:r>
              <w:rPr>
                <w:rFonts w:ascii="Calibri" w:hAnsi="Calibri"/>
                <w:color w:val="2D3748"/>
                <w:sz w:val="15"/>
              </w:rPr>
              <w:t>Starch &amp; Amylose Analysis (Total starch, amylose/amylopectin ratio)</w:t>
            </w:r>
          </w:p>
        </w:tc>
        <w:tc>
          <w:tcPr>
            <w:tcW w:type="dxa" w:w="3360"/>
            <w:tcMar>
              <w:top w:w="65" w:type="dxa"/>
              <w:bottom w:w="65" w:type="dxa"/>
              <w:left w:w="100" w:type="dxa"/>
              <w:right w:w="100" w:type="dxa"/>
            </w:tcMar>
          </w:tcPr>
          <w:p>
            <w:r>
              <w:rPr>
                <w:rFonts w:ascii="Calibri" w:hAnsi="Calibri"/>
                <w:color w:val="2D3748"/>
                <w:sz w:val="15"/>
              </w:rPr>
              <w:t>₹5,000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04</w:t>
            </w:r>
          </w:p>
        </w:tc>
        <w:tc>
          <w:tcPr>
            <w:tcW w:type="dxa" w:w="3360"/>
            <w:shd w:fill="F7FAFC"/>
            <w:tcMar>
              <w:top w:w="65" w:type="dxa"/>
              <w:bottom w:w="65" w:type="dxa"/>
              <w:left w:w="100" w:type="dxa"/>
              <w:right w:w="100" w:type="dxa"/>
            </w:tcMar>
          </w:tcPr>
          <w:p>
            <w:r>
              <w:rPr>
                <w:rFonts w:ascii="Calibri" w:hAnsi="Calibri"/>
                <w:color w:val="2D3748"/>
                <w:sz w:val="15"/>
              </w:rPr>
              <w:t>DSC Thermal / Gelatinization Characterization (To, Tp, Tc, ΔHgel)</w:t>
            </w:r>
          </w:p>
        </w:tc>
        <w:tc>
          <w:tcPr>
            <w:tcW w:type="dxa" w:w="3360"/>
            <w:shd w:fill="F7FAFC"/>
            <w:tcMar>
              <w:top w:w="65" w:type="dxa"/>
              <w:bottom w:w="65" w:type="dxa"/>
              <w:left w:w="100" w:type="dxa"/>
              <w:right w:w="100" w:type="dxa"/>
            </w:tcMar>
          </w:tcPr>
          <w:p>
            <w:r>
              <w:rPr>
                <w:rFonts w:ascii="Calibri" w:hAnsi="Calibri"/>
                <w:color w:val="2D3748"/>
                <w:sz w:val="15"/>
              </w:rPr>
              <w:t>₹20,000</w:t>
            </w:r>
          </w:p>
        </w:tc>
      </w:tr>
      <w:tr>
        <w:trPr>
          <w:cantSplit/>
        </w:trPr>
        <w:tc>
          <w:tcPr>
            <w:tcW w:type="dxa" w:w="3360"/>
            <w:tcMar>
              <w:top w:w="65" w:type="dxa"/>
              <w:bottom w:w="65" w:type="dxa"/>
              <w:left w:w="100" w:type="dxa"/>
              <w:right w:w="100" w:type="dxa"/>
            </w:tcMar>
          </w:tcPr>
          <w:p>
            <w:r>
              <w:rPr>
                <w:rFonts w:ascii="Calibri" w:hAnsi="Calibri"/>
                <w:color w:val="2D3748"/>
                <w:sz w:val="15"/>
              </w:rPr>
              <w:t>05</w:t>
            </w:r>
          </w:p>
        </w:tc>
        <w:tc>
          <w:tcPr>
            <w:tcW w:type="dxa" w:w="3360"/>
            <w:tcMar>
              <w:top w:w="65" w:type="dxa"/>
              <w:bottom w:w="65" w:type="dxa"/>
              <w:left w:w="100" w:type="dxa"/>
              <w:right w:w="100" w:type="dxa"/>
            </w:tcMar>
          </w:tcPr>
          <w:p>
            <w:r>
              <w:rPr>
                <w:rFonts w:ascii="Calibri" w:hAnsi="Calibri"/>
                <w:color w:val="2D3748"/>
                <w:sz w:val="15"/>
              </w:rPr>
              <w:t>Hydration &amp; Water Absorption Study (Kinetics at 25°C, 40°C, 60°C across 0–360 min)</w:t>
            </w:r>
          </w:p>
        </w:tc>
        <w:tc>
          <w:tcPr>
            <w:tcW w:type="dxa" w:w="3360"/>
            <w:tcMar>
              <w:top w:w="65" w:type="dxa"/>
              <w:bottom w:w="65" w:type="dxa"/>
              <w:left w:w="100" w:type="dxa"/>
              <w:right w:w="100" w:type="dxa"/>
            </w:tcMar>
          </w:tcPr>
          <w:p>
            <w:r>
              <w:rPr>
                <w:rFonts w:ascii="Calibri" w:hAnsi="Calibri"/>
                <w:color w:val="2D3748"/>
                <w:sz w:val="15"/>
              </w:rPr>
              <w:t>₹10,000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06</w:t>
            </w:r>
          </w:p>
        </w:tc>
        <w:tc>
          <w:tcPr>
            <w:tcW w:type="dxa" w:w="3360"/>
            <w:shd w:fill="F7FAFC"/>
            <w:tcMar>
              <w:top w:w="65" w:type="dxa"/>
              <w:bottom w:w="65" w:type="dxa"/>
              <w:left w:w="100" w:type="dxa"/>
              <w:right w:w="100" w:type="dxa"/>
            </w:tcMar>
          </w:tcPr>
          <w:p>
            <w:r>
              <w:rPr>
                <w:rFonts w:ascii="Calibri" w:hAnsi="Calibri"/>
                <w:color w:val="2D3748"/>
                <w:sz w:val="15"/>
              </w:rPr>
              <w:t>Pectin &amp; Cell-Wall Characterization (Water-, oxalate-, alkali-soluble fractions, DE)</w:t>
            </w:r>
          </w:p>
        </w:tc>
        <w:tc>
          <w:tcPr>
            <w:tcW w:type="dxa" w:w="3360"/>
            <w:shd w:fill="F7FAFC"/>
            <w:tcMar>
              <w:top w:w="65" w:type="dxa"/>
              <w:bottom w:w="65" w:type="dxa"/>
              <w:left w:w="100" w:type="dxa"/>
              <w:right w:w="100" w:type="dxa"/>
            </w:tcMar>
          </w:tcPr>
          <w:p>
            <w:r>
              <w:rPr>
                <w:rFonts w:ascii="Calibri" w:hAnsi="Calibri"/>
                <w:color w:val="2D3748"/>
                <w:sz w:val="15"/>
              </w:rPr>
              <w:t>₹18,000</w:t>
            </w:r>
          </w:p>
        </w:tc>
      </w:tr>
      <w:tr>
        <w:trPr>
          <w:cantSplit/>
        </w:trPr>
        <w:tc>
          <w:tcPr>
            <w:tcW w:type="dxa" w:w="3360"/>
            <w:tcMar>
              <w:top w:w="65" w:type="dxa"/>
              <w:bottom w:w="65" w:type="dxa"/>
              <w:left w:w="100" w:type="dxa"/>
              <w:right w:w="100" w:type="dxa"/>
            </w:tcMar>
          </w:tcPr>
          <w:p>
            <w:r>
              <w:rPr>
                <w:rFonts w:ascii="Calibri" w:hAnsi="Calibri"/>
                <w:color w:val="2D3748"/>
                <w:sz w:val="15"/>
              </w:rPr>
              <w:t>07</w:t>
            </w:r>
          </w:p>
        </w:tc>
        <w:tc>
          <w:tcPr>
            <w:tcW w:type="dxa" w:w="3360"/>
            <w:tcMar>
              <w:top w:w="65" w:type="dxa"/>
              <w:bottom w:w="65" w:type="dxa"/>
              <w:left w:w="100" w:type="dxa"/>
              <w:right w:w="100" w:type="dxa"/>
            </w:tcMar>
          </w:tcPr>
          <w:p>
            <w:r>
              <w:rPr>
                <w:rFonts w:ascii="Calibri" w:hAnsi="Calibri"/>
                <w:color w:val="2D3748"/>
                <w:sz w:val="15"/>
              </w:rPr>
              <w:t>Mineral &amp; Phytate Profile (Ca, Mg, Fe, P, K by ICP-OES/AAS, phytic acid content)</w:t>
            </w:r>
          </w:p>
        </w:tc>
        <w:tc>
          <w:tcPr>
            <w:tcW w:type="dxa" w:w="3360"/>
            <w:tcMar>
              <w:top w:w="65" w:type="dxa"/>
              <w:bottom w:w="65" w:type="dxa"/>
              <w:left w:w="100" w:type="dxa"/>
              <w:right w:w="100" w:type="dxa"/>
            </w:tcMar>
          </w:tcPr>
          <w:p>
            <w:r>
              <w:rPr>
                <w:rFonts w:ascii="Calibri" w:hAnsi="Calibri"/>
                <w:color w:val="2D3748"/>
                <w:sz w:val="15"/>
              </w:rPr>
              <w:t>₹16,000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08</w:t>
            </w:r>
          </w:p>
        </w:tc>
        <w:tc>
          <w:tcPr>
            <w:tcW w:type="dxa" w:w="3360"/>
            <w:shd w:fill="F7FAFC"/>
            <w:tcMar>
              <w:top w:w="65" w:type="dxa"/>
              <w:bottom w:w="65" w:type="dxa"/>
              <w:left w:w="100" w:type="dxa"/>
              <w:right w:w="100" w:type="dxa"/>
            </w:tcMar>
          </w:tcPr>
          <w:p>
            <w:r>
              <w:rPr>
                <w:rFonts w:ascii="Calibri" w:hAnsi="Calibri"/>
                <w:color w:val="2D3748"/>
                <w:sz w:val="15"/>
              </w:rPr>
              <w:t>Hardness &amp; Texture Analysis (Raw &amp; soaked load-cell puncture, shear force)</w:t>
            </w:r>
          </w:p>
        </w:tc>
        <w:tc>
          <w:tcPr>
            <w:tcW w:type="dxa" w:w="3360"/>
            <w:shd w:fill="F7FAFC"/>
            <w:tcMar>
              <w:top w:w="65" w:type="dxa"/>
              <w:bottom w:w="65" w:type="dxa"/>
              <w:left w:w="100" w:type="dxa"/>
              <w:right w:w="100" w:type="dxa"/>
            </w:tcMar>
          </w:tcPr>
          <w:p>
            <w:r>
              <w:rPr>
                <w:rFonts w:ascii="Calibri" w:hAnsi="Calibri"/>
                <w:color w:val="2D3748"/>
                <w:sz w:val="15"/>
              </w:rPr>
              <w:t>₹17,000</w:t>
            </w:r>
          </w:p>
        </w:tc>
      </w:tr>
      <w:tr>
        <w:trPr>
          <w:cantSplit/>
        </w:trPr>
        <w:tc>
          <w:tcPr>
            <w:tcW w:type="dxa" w:w="3360"/>
            <w:tcMar>
              <w:top w:w="65" w:type="dxa"/>
              <w:bottom w:w="65" w:type="dxa"/>
              <w:left w:w="100" w:type="dxa"/>
              <w:right w:w="100" w:type="dxa"/>
            </w:tcMar>
          </w:tcPr>
          <w:p>
            <w:r>
              <w:rPr>
                <w:rFonts w:ascii="Calibri" w:hAnsi="Calibri"/>
                <w:color w:val="2D3748"/>
                <w:sz w:val="15"/>
              </w:rPr>
              <w:t>09</w:t>
            </w:r>
          </w:p>
        </w:tc>
        <w:tc>
          <w:tcPr>
            <w:tcW w:type="dxa" w:w="3360"/>
            <w:tcMar>
              <w:top w:w="65" w:type="dxa"/>
              <w:bottom w:w="65" w:type="dxa"/>
              <w:left w:w="100" w:type="dxa"/>
              <w:right w:w="100" w:type="dxa"/>
            </w:tcMar>
          </w:tcPr>
          <w:p>
            <w:r>
              <w:rPr>
                <w:rFonts w:ascii="Calibri" w:hAnsi="Calibri"/>
                <w:color w:val="2D3748"/>
                <w:sz w:val="15"/>
              </w:rPr>
              <w:t>Standardized Cooking Performance Study (Pressurized kinetics, hard-core rate)</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10</w:t>
            </w:r>
          </w:p>
        </w:tc>
        <w:tc>
          <w:tcPr>
            <w:tcW w:type="dxa" w:w="3360"/>
            <w:shd w:fill="F7FAFC"/>
            <w:tcMar>
              <w:top w:w="65" w:type="dxa"/>
              <w:bottom w:w="65" w:type="dxa"/>
              <w:left w:w="100" w:type="dxa"/>
              <w:right w:w="100" w:type="dxa"/>
            </w:tcMar>
          </w:tcPr>
          <w:p>
            <w:r>
              <w:rPr>
                <w:rFonts w:ascii="Calibri" w:hAnsi="Calibri"/>
                <w:color w:val="2D3748"/>
                <w:sz w:val="15"/>
              </w:rPr>
              <w:t>Integrated Data Analysis &amp; Root-Cause Assessment (Multivariate hypothesis testing)</w:t>
            </w:r>
          </w:p>
        </w:tc>
        <w:tc>
          <w:tcPr>
            <w:tcW w:type="dxa" w:w="3360"/>
            <w:shd w:fill="F7FAFC"/>
            <w:tcMar>
              <w:top w:w="65" w:type="dxa"/>
              <w:bottom w:w="65" w:type="dxa"/>
              <w:left w:w="100" w:type="dxa"/>
              <w:right w:w="100" w:type="dxa"/>
            </w:tcMar>
          </w:tcPr>
          <w:p>
            <w:r>
              <w:rPr>
                <w:rFonts w:ascii="Calibri" w:hAnsi="Calibri"/>
                <w:color w:val="2D3748"/>
                <w:sz w:val="15"/>
              </w:rPr>
              <w:t>₹20,000</w:t>
            </w:r>
          </w:p>
        </w:tc>
      </w:tr>
      <w:tr>
        <w:trPr>
          <w:cantSplit/>
        </w:trPr>
        <w:tc>
          <w:tcPr>
            <w:tcW w:type="dxa" w:w="3360"/>
            <w:tcMar>
              <w:top w:w="65" w:type="dxa"/>
              <w:bottom w:w="65" w:type="dxa"/>
              <w:left w:w="100" w:type="dxa"/>
              <w:right w:w="100" w:type="dxa"/>
            </w:tcMar>
          </w:tcPr>
          <w:p>
            <w:r>
              <w:rPr>
                <w:rFonts w:ascii="Calibri" w:hAnsi="Calibri"/>
                <w:color w:val="2D3748"/>
                <w:sz w:val="15"/>
              </w:rPr>
              <w:t>11</w:t>
            </w:r>
          </w:p>
        </w:tc>
        <w:tc>
          <w:tcPr>
            <w:tcW w:type="dxa" w:w="3360"/>
            <w:tcMar>
              <w:top w:w="65" w:type="dxa"/>
              <w:bottom w:w="65" w:type="dxa"/>
              <w:left w:w="100" w:type="dxa"/>
              <w:right w:w="100" w:type="dxa"/>
            </w:tcMar>
          </w:tcPr>
          <w:p>
            <w:r>
              <w:rPr>
                <w:rFonts w:ascii="Calibri" w:hAnsi="Calibri"/>
                <w:color w:val="2D3748"/>
                <w:sz w:val="15"/>
              </w:rPr>
              <w:t>Final Technical R&amp;D Report &amp; Executive Management Summary Compilation</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shd w:fill="EDF2F7"/>
          </w:tcPr>
          <w:p>
            <w:r>
              <w:rPr>
                <w:rFonts w:ascii="Calibri" w:hAnsi="Calibri"/>
                <w:b/>
                <w:color w:val="2D3748"/>
                <w:sz w:val="15"/>
              </w:rPr>
              <w:t>TOTAL</w:t>
            </w:r>
          </w:p>
        </w:tc>
        <w:tc>
          <w:tcPr>
            <w:tcW w:type="dxa" w:w="3360"/>
            <w:shd w:fill="F7FAFC"/>
            <w:tcMar>
              <w:top w:w="65" w:type="dxa"/>
              <w:bottom w:w="65" w:type="dxa"/>
              <w:left w:w="100" w:type="dxa"/>
              <w:right w:w="100" w:type="dxa"/>
            </w:tcMar>
            <w:shd w:fill="EDF2F7"/>
          </w:tcPr>
          <w:p>
            <w:r>
              <w:rPr>
                <w:rFonts w:ascii="Calibri" w:hAnsi="Calibri"/>
                <w:b/>
                <w:color w:val="2D3748"/>
                <w:sz w:val="15"/>
              </w:rPr>
              <w:t>TOTAL PHASE 1 INDICATIVE PROFESSIONAL FEE (EXCLUDING GST)</w:t>
            </w:r>
          </w:p>
        </w:tc>
        <w:tc>
          <w:tcPr>
            <w:tcW w:type="dxa" w:w="3360"/>
            <w:shd w:fill="F7FAFC"/>
            <w:tcMar>
              <w:top w:w="65" w:type="dxa"/>
              <w:bottom w:w="65" w:type="dxa"/>
              <w:left w:w="100" w:type="dxa"/>
              <w:right w:w="100" w:type="dxa"/>
            </w:tcMar>
            <w:shd w:fill="EDF2F7"/>
          </w:tcPr>
          <w:p>
            <w:r>
              <w:rPr>
                <w:rFonts w:ascii="Calibri" w:hAnsi="Calibri"/>
                <w:b/>
                <w:color w:val="2D3748"/>
                <w:sz w:val="15"/>
              </w:rPr>
              <w:t>₹1,73,000</w:t>
            </w:r>
          </w:p>
        </w:tc>
      </w:tr>
    </w:tbl>
    <w:p>
      <w:pPr>
        <w:spacing w:before="0" w:after="60" w:line="276" w:lineRule="auto"/>
      </w:pPr>
      <w:r>
        <w:rPr>
          <w:rFonts w:ascii="Calibri" w:hAnsi="Calibri"/>
          <w:color w:val="2D3748"/>
          <w:sz w:val="17"/>
        </w:rPr>
        <w:t>Commercial Notes: (1) Total professional fee is ₹1,73,000 plus applicable GST; (2) Commercial ceiling is up to ₹2,00,000 + GST; no additional charges will be incurred without prior written client approval; (3) Third-party specialized laboratory assays are coordinated within this budget framework; (4) GST is payable extra on actuals under SAC 998313.</w:t>
      </w:r>
    </w:p>
    <w:p>
      <w:pPr>
        <w:keepNext/>
        <w:spacing w:before="180" w:after="40"/>
      </w:pPr>
      <w:r>
        <w:rPr>
          <w:rFonts w:ascii="Calibri" w:hAnsi="Calibri"/>
          <w:b/>
          <w:color w:val="2B6CB0"/>
          <w:sz w:val="20"/>
        </w:rPr>
        <w:t>Milestone Payment Schedule (Source SOW Table 45)</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84"/>
        <w:gridCol w:w="4896"/>
        <w:gridCol w:w="1584"/>
        <w:gridCol w:w="2016"/>
      </w:tblGrid>
      <w:tr>
        <w:trPr>
          <w:tblHeader/>
          <w:cantSplit/>
        </w:trPr>
        <w:tc>
          <w:tcPr>
            <w:tcW w:type="dxa" w:w="2520"/>
            <w:shd w:fill="1A365D"/>
            <w:tcMar>
              <w:top w:w="100" w:type="dxa"/>
              <w:bottom w:w="100" w:type="dxa"/>
              <w:left w:w="100" w:type="dxa"/>
              <w:right w:w="100" w:type="dxa"/>
            </w:tcMar>
          </w:tcPr>
          <w:p>
            <w:pPr>
              <w:jc w:val="left"/>
            </w:pPr>
            <w:r>
              <w:t>Milestone</w:t>
            </w:r>
          </w:p>
        </w:tc>
        <w:tc>
          <w:tcPr>
            <w:tcW w:type="dxa" w:w="2520"/>
            <w:shd w:fill="1A365D"/>
            <w:tcMar>
              <w:top w:w="100" w:type="dxa"/>
              <w:bottom w:w="100" w:type="dxa"/>
              <w:left w:w="100" w:type="dxa"/>
              <w:right w:w="100" w:type="dxa"/>
            </w:tcMar>
          </w:tcPr>
          <w:p>
            <w:pPr>
              <w:jc w:val="left"/>
            </w:pPr>
            <w:r>
              <w:t>Objective Deliverable Trigger</w:t>
            </w:r>
          </w:p>
        </w:tc>
        <w:tc>
          <w:tcPr>
            <w:tcW w:type="dxa" w:w="2520"/>
            <w:shd w:fill="1A365D"/>
            <w:tcMar>
              <w:top w:w="100" w:type="dxa"/>
              <w:bottom w:w="100" w:type="dxa"/>
              <w:left w:w="100" w:type="dxa"/>
              <w:right w:w="100" w:type="dxa"/>
            </w:tcMar>
          </w:tcPr>
          <w:p>
            <w:pPr>
              <w:jc w:val="left"/>
            </w:pPr>
            <w:r>
              <w:t>Percentage</w:t>
            </w:r>
          </w:p>
        </w:tc>
        <w:tc>
          <w:tcPr>
            <w:tcW w:type="dxa" w:w="2520"/>
            <w:shd w:fill="1A365D"/>
            <w:tcMar>
              <w:top w:w="100" w:type="dxa"/>
              <w:bottom w:w="100" w:type="dxa"/>
              <w:left w:w="100" w:type="dxa"/>
              <w:right w:w="100" w:type="dxa"/>
            </w:tcMar>
          </w:tcPr>
          <w:p>
            <w:pPr>
              <w:jc w:val="left"/>
            </w:pPr>
            <w:r>
              <w:t>Amount (INR)</w:t>
            </w:r>
          </w:p>
        </w:tc>
      </w:tr>
      <w:tr>
        <w:trPr>
          <w:cantSplit/>
        </w:trPr>
        <w:tc>
          <w:tcPr>
            <w:tcW w:type="dxa" w:w="2520"/>
            <w:tcMar>
              <w:top w:w="65" w:type="dxa"/>
              <w:bottom w:w="65" w:type="dxa"/>
              <w:left w:w="100" w:type="dxa"/>
              <w:right w:w="100" w:type="dxa"/>
            </w:tcMar>
          </w:tcPr>
          <w:p>
            <w:r>
              <w:rPr>
                <w:rFonts w:ascii="Calibri" w:hAnsi="Calibri"/>
                <w:color w:val="2D3748"/>
                <w:sz w:val="15"/>
              </w:rPr>
              <w:t>Milestone 1</w:t>
            </w:r>
          </w:p>
        </w:tc>
        <w:tc>
          <w:tcPr>
            <w:tcW w:type="dxa" w:w="2520"/>
            <w:tcMar>
              <w:top w:w="65" w:type="dxa"/>
              <w:bottom w:w="65" w:type="dxa"/>
              <w:left w:w="100" w:type="dxa"/>
              <w:right w:w="100" w:type="dxa"/>
            </w:tcMar>
          </w:tcPr>
          <w:p>
            <w:r>
              <w:rPr>
                <w:rFonts w:ascii="Calibri" w:hAnsi="Calibri"/>
                <w:color w:val="2D3748"/>
                <w:sz w:val="15"/>
              </w:rPr>
              <w:t>Project Initiation: Formal confirmation &amp; sample receipt protocol</w:t>
            </w:r>
          </w:p>
        </w:tc>
        <w:tc>
          <w:tcPr>
            <w:tcW w:type="dxa" w:w="2520"/>
            <w:tcMar>
              <w:top w:w="65" w:type="dxa"/>
              <w:bottom w:w="65" w:type="dxa"/>
              <w:left w:w="100" w:type="dxa"/>
              <w:right w:w="100" w:type="dxa"/>
            </w:tcMar>
          </w:tcPr>
          <w:p>
            <w:r>
              <w:rPr>
                <w:rFonts w:ascii="Calibri" w:hAnsi="Calibri"/>
                <w:color w:val="2D3748"/>
                <w:sz w:val="15"/>
              </w:rPr>
              <w:t>40.0%</w:t>
            </w:r>
          </w:p>
        </w:tc>
        <w:tc>
          <w:tcPr>
            <w:tcW w:type="dxa" w:w="2520"/>
            <w:tcMar>
              <w:top w:w="65" w:type="dxa"/>
              <w:bottom w:w="65" w:type="dxa"/>
              <w:left w:w="100" w:type="dxa"/>
              <w:right w:w="100" w:type="dxa"/>
            </w:tcMar>
          </w:tcPr>
          <w:p>
            <w:r>
              <w:rPr>
                <w:rFonts w:ascii="Calibri" w:hAnsi="Calibri"/>
                <w:color w:val="2D3748"/>
                <w:sz w:val="15"/>
              </w:rPr>
              <w:t>₹69,200 + GST</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Milestone 2</w:t>
            </w:r>
          </w:p>
        </w:tc>
        <w:tc>
          <w:tcPr>
            <w:tcW w:type="dxa" w:w="2520"/>
            <w:shd w:fill="F7FAFC"/>
            <w:tcMar>
              <w:top w:w="65" w:type="dxa"/>
              <w:bottom w:w="65" w:type="dxa"/>
              <w:left w:w="100" w:type="dxa"/>
              <w:right w:w="100" w:type="dxa"/>
            </w:tcMar>
          </w:tcPr>
          <w:p>
            <w:r>
              <w:rPr>
                <w:rFonts w:ascii="Calibri" w:hAnsi="Calibri"/>
                <w:color w:val="2D3748"/>
                <w:sz w:val="15"/>
              </w:rPr>
              <w:t>Mid-Term Analytical Completion: Delivery of laboratory data sheets</w:t>
            </w:r>
          </w:p>
        </w:tc>
        <w:tc>
          <w:tcPr>
            <w:tcW w:type="dxa" w:w="2520"/>
            <w:shd w:fill="F7FAFC"/>
            <w:tcMar>
              <w:top w:w="65" w:type="dxa"/>
              <w:bottom w:w="65" w:type="dxa"/>
              <w:left w:w="100" w:type="dxa"/>
              <w:right w:w="100" w:type="dxa"/>
            </w:tcMar>
          </w:tcPr>
          <w:p>
            <w:r>
              <w:rPr>
                <w:rFonts w:ascii="Calibri" w:hAnsi="Calibri"/>
                <w:color w:val="2D3748"/>
                <w:sz w:val="15"/>
              </w:rPr>
              <w:t>40.0%</w:t>
            </w:r>
          </w:p>
        </w:tc>
        <w:tc>
          <w:tcPr>
            <w:tcW w:type="dxa" w:w="2520"/>
            <w:shd w:fill="F7FAFC"/>
            <w:tcMar>
              <w:top w:w="65" w:type="dxa"/>
              <w:bottom w:w="65" w:type="dxa"/>
              <w:left w:w="100" w:type="dxa"/>
              <w:right w:w="100" w:type="dxa"/>
            </w:tcMar>
          </w:tcPr>
          <w:p>
            <w:r>
              <w:rPr>
                <w:rFonts w:ascii="Calibri" w:hAnsi="Calibri"/>
                <w:color w:val="2D3748"/>
                <w:sz w:val="15"/>
              </w:rPr>
              <w:t>₹69,200 + GST</w:t>
            </w:r>
          </w:p>
        </w:tc>
      </w:tr>
      <w:tr>
        <w:trPr>
          <w:cantSplit/>
        </w:trPr>
        <w:tc>
          <w:tcPr>
            <w:tcW w:type="dxa" w:w="2520"/>
            <w:tcMar>
              <w:top w:w="65" w:type="dxa"/>
              <w:bottom w:w="65" w:type="dxa"/>
              <w:left w:w="100" w:type="dxa"/>
              <w:right w:w="100" w:type="dxa"/>
            </w:tcMar>
          </w:tcPr>
          <w:p>
            <w:r>
              <w:rPr>
                <w:rFonts w:ascii="Calibri" w:hAnsi="Calibri"/>
                <w:color w:val="2D3748"/>
                <w:sz w:val="15"/>
              </w:rPr>
              <w:t>Milestone 3</w:t>
            </w:r>
          </w:p>
        </w:tc>
        <w:tc>
          <w:tcPr>
            <w:tcW w:type="dxa" w:w="2520"/>
            <w:tcMar>
              <w:top w:w="65" w:type="dxa"/>
              <w:bottom w:w="65" w:type="dxa"/>
              <w:left w:w="100" w:type="dxa"/>
              <w:right w:w="100" w:type="dxa"/>
            </w:tcMar>
          </w:tcPr>
          <w:p>
            <w:r>
              <w:rPr>
                <w:rFonts w:ascii="Calibri" w:hAnsi="Calibri"/>
                <w:color w:val="2D3748"/>
                <w:sz w:val="15"/>
              </w:rPr>
              <w:t>Final Report Acceptance: Delivery of Final Technical Report &amp; Briefing</w:t>
            </w:r>
          </w:p>
        </w:tc>
        <w:tc>
          <w:tcPr>
            <w:tcW w:type="dxa" w:w="2520"/>
            <w:tcMar>
              <w:top w:w="65" w:type="dxa"/>
              <w:bottom w:w="65" w:type="dxa"/>
              <w:left w:w="100" w:type="dxa"/>
              <w:right w:w="100" w:type="dxa"/>
            </w:tcMar>
          </w:tcPr>
          <w:p>
            <w:r>
              <w:rPr>
                <w:rFonts w:ascii="Calibri" w:hAnsi="Calibri"/>
                <w:color w:val="2D3748"/>
                <w:sz w:val="15"/>
              </w:rPr>
              <w:t>20.0%</w:t>
            </w:r>
          </w:p>
        </w:tc>
        <w:tc>
          <w:tcPr>
            <w:tcW w:type="dxa" w:w="2520"/>
            <w:tcMar>
              <w:top w:w="65" w:type="dxa"/>
              <w:bottom w:w="65" w:type="dxa"/>
              <w:left w:w="100" w:type="dxa"/>
              <w:right w:w="100" w:type="dxa"/>
            </w:tcMar>
          </w:tcPr>
          <w:p>
            <w:r>
              <w:rPr>
                <w:rFonts w:ascii="Calibri" w:hAnsi="Calibri"/>
                <w:color w:val="2D3748"/>
                <w:sz w:val="15"/>
              </w:rPr>
              <w:t>₹34,600 + GST</w:t>
            </w:r>
          </w:p>
        </w:tc>
      </w:tr>
      <w:tr>
        <w:trPr>
          <w:cantSplit/>
        </w:trPr>
        <w:tc>
          <w:tcPr>
            <w:tcW w:type="dxa" w:w="2520"/>
            <w:shd w:fill="F7FAFC"/>
            <w:tcMar>
              <w:top w:w="65" w:type="dxa"/>
              <w:bottom w:w="65" w:type="dxa"/>
              <w:left w:w="100" w:type="dxa"/>
              <w:right w:w="100" w:type="dxa"/>
            </w:tcMar>
            <w:shd w:fill="EDF2F7"/>
          </w:tcPr>
          <w:p>
            <w:r>
              <w:rPr>
                <w:rFonts w:ascii="Calibri" w:hAnsi="Calibri"/>
                <w:b/>
                <w:color w:val="2D3748"/>
                <w:sz w:val="15"/>
              </w:rPr>
              <w:t>TOTAL</w:t>
            </w:r>
          </w:p>
        </w:tc>
        <w:tc>
          <w:tcPr>
            <w:tcW w:type="dxa" w:w="2520"/>
            <w:shd w:fill="F7FAFC"/>
            <w:tcMar>
              <w:top w:w="65" w:type="dxa"/>
              <w:bottom w:w="65" w:type="dxa"/>
              <w:left w:w="100" w:type="dxa"/>
              <w:right w:w="100" w:type="dxa"/>
            </w:tcMar>
            <w:shd w:fill="EDF2F7"/>
          </w:tcPr>
          <w:p>
            <w:r>
              <w:rPr>
                <w:rFonts w:ascii="Calibri" w:hAnsi="Calibri"/>
                <w:b/>
                <w:color w:val="2D3748"/>
                <w:sz w:val="15"/>
              </w:rPr>
              <w:t>Consolidated Project Milestone Value</w:t>
            </w:r>
          </w:p>
        </w:tc>
        <w:tc>
          <w:tcPr>
            <w:tcW w:type="dxa" w:w="2520"/>
            <w:shd w:fill="F7FAFC"/>
            <w:tcMar>
              <w:top w:w="65" w:type="dxa"/>
              <w:bottom w:w="65" w:type="dxa"/>
              <w:left w:w="100" w:type="dxa"/>
              <w:right w:w="100" w:type="dxa"/>
            </w:tcMar>
            <w:shd w:fill="EDF2F7"/>
          </w:tcPr>
          <w:p>
            <w:r>
              <w:rPr>
                <w:rFonts w:ascii="Calibri" w:hAnsi="Calibri"/>
                <w:b/>
                <w:color w:val="2D3748"/>
                <w:sz w:val="15"/>
              </w:rPr>
              <w:t>100.0%</w:t>
            </w:r>
          </w:p>
        </w:tc>
        <w:tc>
          <w:tcPr>
            <w:tcW w:type="dxa" w:w="2520"/>
            <w:shd w:fill="F7FAFC"/>
            <w:tcMar>
              <w:top w:w="65" w:type="dxa"/>
              <w:bottom w:w="65" w:type="dxa"/>
              <w:left w:w="100" w:type="dxa"/>
              <w:right w:w="100" w:type="dxa"/>
            </w:tcMar>
            <w:shd w:fill="EDF2F7"/>
          </w:tcPr>
          <w:p>
            <w:r>
              <w:rPr>
                <w:rFonts w:ascii="Calibri" w:hAnsi="Calibri"/>
                <w:b/>
                <w:color w:val="2D3748"/>
                <w:sz w:val="15"/>
              </w:rPr>
              <w:t>₹1,73,000 + GST</w:t>
            </w:r>
          </w:p>
        </w:tc>
      </w:tr>
    </w:tbl>
    <w:p>
      <w:pPr>
        <w:keepNext/>
        <w:spacing w:before="260" w:after="60"/>
      </w:pPr>
      <w:r>
        <w:rPr>
          <w:rFonts w:ascii="Calibri" w:hAnsi="Calibri"/>
          <w:b/>
          <w:color w:val="1A365D"/>
          <w:sz w:val="23"/>
        </w:rPr>
        <w:t>15. Assumptions, Exclusions &amp; Risk Management</w:t>
      </w:r>
    </w:p>
    <w:p>
      <w:pPr>
        <w:spacing w:before="0" w:after="60" w:line="276" w:lineRule="auto"/>
      </w:pPr>
      <w:r>
        <w:rPr>
          <w:rFonts w:ascii="Calibri" w:hAnsi="Calibri"/>
          <w:color w:val="2D3748"/>
          <w:sz w:val="17"/>
        </w:rPr>
        <w:t>Key operational assumptions and risk mitigations governing execution:</w:t>
      </w:r>
    </w:p>
    <w:p>
      <w:pPr>
        <w:spacing w:before="0" w:after="60" w:line="276" w:lineRule="auto"/>
      </w:pPr>
      <w:r>
        <w:rPr>
          <w:rFonts w:ascii="Calibri" w:hAnsi="Calibri"/>
          <w:b/>
          <w:color w:val="1A365D"/>
          <w:sz w:val="17"/>
        </w:rPr>
        <w:t xml:space="preserve">Assumption 1: </w:t>
      </w:r>
      <w:r>
        <w:rPr>
          <w:rFonts w:ascii="Calibri" w:hAnsi="Calibri"/>
          <w:color w:val="2D3748"/>
          <w:sz w:val="17"/>
        </w:rPr>
        <w:t>• Sample Custody &amp; Authenticity: Client is responsible for supplying genuine, traceable Tanzanian dal and Indian benchmark dal with completed Sample Metadata Forms. Delays in sample arrival will shift project milestones accordingly.</w:t>
      </w:r>
    </w:p>
    <w:p>
      <w:pPr>
        <w:spacing w:before="0" w:after="60" w:line="276" w:lineRule="auto"/>
      </w:pPr>
      <w:r>
        <w:rPr>
          <w:rFonts w:ascii="Calibri" w:hAnsi="Calibri"/>
          <w:b/>
          <w:color w:val="1A365D"/>
          <w:sz w:val="17"/>
        </w:rPr>
        <w:t xml:space="preserve">Assumption 2: </w:t>
      </w:r>
      <w:r>
        <w:rPr>
          <w:rFonts w:ascii="Calibri" w:hAnsi="Calibri"/>
          <w:color w:val="2D3748"/>
          <w:sz w:val="17"/>
        </w:rPr>
        <w:t>• External Laboratory Throughput: Specialized testing at candidate partner institutions is subject to instrument queue times. Any laboratory delays will be communicated immediately without cost escalation.</w:t>
      </w:r>
    </w:p>
    <w:p>
      <w:pPr>
        <w:spacing w:before="0" w:after="60" w:line="276" w:lineRule="auto"/>
      </w:pPr>
      <w:r>
        <w:rPr>
          <w:rFonts w:ascii="Calibri" w:hAnsi="Calibri"/>
          <w:b/>
          <w:color w:val="1A365D"/>
          <w:sz w:val="17"/>
        </w:rPr>
        <w:t xml:space="preserve">Risk Mitigation: </w:t>
      </w:r>
      <w:r>
        <w:rPr>
          <w:rFonts w:ascii="Calibri" w:hAnsi="Calibri"/>
          <w:color w:val="2D3748"/>
          <w:sz w:val="17"/>
        </w:rPr>
        <w:t>• Diagnostic Risk Control: If preliminary assays reveal anomalous composition (e.g. extreme moisture deviation or heavy mold infestation), testing will pause immediately for client review before exhausting budget.</w:t>
      </w:r>
    </w:p>
    <w:p>
      <w:pPr>
        <w:keepNext/>
        <w:spacing w:before="260" w:after="60"/>
      </w:pPr>
      <w:r>
        <w:rPr>
          <w:rFonts w:ascii="Calibri" w:hAnsi="Calibri"/>
          <w:b/>
          <w:color w:val="1A365D"/>
          <w:sz w:val="23"/>
        </w:rPr>
        <w:t>16. Confidentiality, Data Ownership &amp; Sample Retention</w:t>
      </w:r>
    </w:p>
    <w:p>
      <w:pPr>
        <w:spacing w:before="0" w:after="60" w:line="276" w:lineRule="auto"/>
      </w:pPr>
      <w:r>
        <w:rPr>
          <w:rFonts w:ascii="Calibri" w:hAnsi="Calibri"/>
          <w:color w:val="2D3748"/>
          <w:sz w:val="17"/>
        </w:rPr>
        <w:t>• Client Data Ownership: Under Section 31 of the source SOW, all experimental data, laboratory test certificates, statistical models, and final reports generated under Phase 1 remain the exclusive intellectual and commercial property of Harakutir.</w:t>
      </w:r>
    </w:p>
    <w:p>
      <w:pPr>
        <w:spacing w:before="0" w:after="60" w:line="276" w:lineRule="auto"/>
      </w:pPr>
      <w:r>
        <w:rPr>
          <w:rFonts w:ascii="Calibri" w:hAnsi="Calibri"/>
          <w:color w:val="2D3748"/>
          <w:sz w:val="17"/>
        </w:rPr>
        <w:t>• Non-Disclosure Obligations: FinnoaQ treats all sample identities, commercial origins, pricing data, and technical findings as strict commercial-in-confidence material. No publication, presentation, or external dissemination will occur without prior written authorization from Harakutir.</w:t>
      </w:r>
    </w:p>
    <w:p>
      <w:pPr>
        <w:spacing w:before="0" w:after="60" w:line="276" w:lineRule="auto"/>
      </w:pPr>
      <w:r>
        <w:rPr>
          <w:rFonts w:ascii="Calibri" w:hAnsi="Calibri"/>
          <w:color w:val="2D3748"/>
          <w:sz w:val="17"/>
        </w:rPr>
        <w:t>• Sample Retention: Unused grain material and a 500 g sealed reference retention sample per lot will be retained under controlled climate storage (18–22°C, dry conditions) for six months following report submission for verification or dispute resolution.</w:t>
      </w:r>
    </w:p>
    <w:p>
      <w:pPr>
        <w:keepNext/>
        <w:spacing w:before="260" w:after="60"/>
      </w:pPr>
      <w:r>
        <w:rPr>
          <w:rFonts w:ascii="Calibri" w:hAnsi="Calibri"/>
          <w:b/>
          <w:color w:val="1A365D"/>
          <w:sz w:val="23"/>
        </w:rPr>
        <w:t>17. Downstream Technology Roadmap (Phases 2, 3, and 4)</w:t>
      </w:r>
    </w:p>
    <w:p>
      <w:pPr>
        <w:spacing w:before="0" w:after="60" w:line="276" w:lineRule="auto"/>
      </w:pPr>
      <w:r>
        <w:rPr>
          <w:rFonts w:ascii="Calibri" w:hAnsi="Calibri"/>
          <w:color w:val="2D3748"/>
          <w:sz w:val="17"/>
        </w:rPr>
        <w:t>Progressing from Phase 1 to subsequent phases is governed by strict stage-gate review criteria:</w:t>
      </w:r>
    </w:p>
    <w:p>
      <w:pPr>
        <w:spacing w:before="0" w:after="60" w:line="276" w:lineRule="auto"/>
      </w:pPr>
      <w:r>
        <w:rPr>
          <w:rFonts w:ascii="Calibri" w:hAnsi="Calibri"/>
          <w:b/>
          <w:color w:val="1A365D"/>
          <w:sz w:val="17"/>
        </w:rPr>
        <w:t xml:space="preserve">Gate 1 (To Phase 2): </w:t>
      </w:r>
      <w:r>
        <w:rPr>
          <w:rFonts w:ascii="Calibri" w:hAnsi="Calibri"/>
          <w:color w:val="2D3748"/>
          <w:sz w:val="17"/>
        </w:rPr>
        <w:t>• Phase 2 Gate: Initiated if Phase 1 successfully isolates rate-limiting softening barriers and establishes that chemical or hydrothermal conditioning produces a statistically meaningful reduction in objective cooking hardness.</w:t>
      </w:r>
    </w:p>
    <w:p>
      <w:pPr>
        <w:spacing w:before="0" w:after="60" w:line="276" w:lineRule="auto"/>
      </w:pPr>
      <w:r>
        <w:rPr>
          <w:rFonts w:ascii="Calibri" w:hAnsi="Calibri"/>
          <w:b/>
          <w:color w:val="1A365D"/>
          <w:sz w:val="17"/>
        </w:rPr>
        <w:t xml:space="preserve">Gate 2 (To Phase 3): </w:t>
      </w:r>
      <w:r>
        <w:rPr>
          <w:rFonts w:ascii="Calibri" w:hAnsi="Calibri"/>
          <w:color w:val="2D3748"/>
          <w:sz w:val="17"/>
        </w:rPr>
        <w:t>• Phase 3 Gate: Initiated if Phase 2 establishes a stable treatment formulation that retains its cooking acceleration after post-drying, satisfies FSSAI product standards, and exhibits acceptable organoleptic properties.</w:t>
      </w:r>
    </w:p>
    <w:p>
      <w:pPr>
        <w:spacing w:before="0" w:after="60" w:line="276" w:lineRule="auto"/>
      </w:pPr>
      <w:r>
        <w:rPr>
          <w:rFonts w:ascii="Calibri" w:hAnsi="Calibri"/>
          <w:b/>
          <w:color w:val="1A365D"/>
          <w:sz w:val="17"/>
        </w:rPr>
        <w:t xml:space="preserve">Gate 3 (To Phase 4): </w:t>
      </w:r>
      <w:r>
        <w:rPr>
          <w:rFonts w:ascii="Calibri" w:hAnsi="Calibri"/>
          <w:color w:val="2D3748"/>
          <w:sz w:val="17"/>
        </w:rPr>
        <w:t>• Phase 4 Gate: Initiated only when pilot trials demonstrate robust yield, commercial shelf stability, verified effluent treatment economics, and reconciled continuous mass and energy balances.</w:t>
      </w:r>
    </w:p>
    <w:p>
      <w:pPr>
        <w:keepNext/>
        <w:spacing w:before="260" w:after="60"/>
      </w:pPr>
      <w:r>
        <w:rPr>
          <w:rFonts w:ascii="Calibri" w:hAnsi="Calibri"/>
          <w:b/>
          <w:color w:val="1A365D"/>
          <w:sz w:val="23"/>
        </w:rPr>
        <w:t>18. Project Acceptance &amp; Client Onboarding Signature Block</w:t>
      </w:r>
    </w:p>
    <w:p>
      <w:pPr>
        <w:spacing w:before="0" w:after="60" w:line="276" w:lineRule="auto"/>
      </w:pPr>
      <w:r>
        <w:rPr>
          <w:rFonts w:ascii="Calibri" w:hAnsi="Calibri"/>
          <w:color w:val="2D3748"/>
          <w:sz w:val="17"/>
        </w:rPr>
        <w:t>To initiate the Phase 1 Comparative Diagnostic R&amp;D Study, please endorse the authorization block below and return a signed copy to FinnoaQ Agro-Industrial Technologies Ltd.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5040"/>
        <w:gridCol w:w="5040"/>
      </w:tblGrid>
      <w:tr>
        <w:trPr>
          <w:tblHeader/>
          <w:cantSplit/>
        </w:trPr>
        <w:tc>
          <w:tcPr>
            <w:tcW w:type="dxa" w:w="5040"/>
            <w:shd w:fill="1A365D"/>
            <w:tcMar>
              <w:top w:w="100" w:type="dxa"/>
              <w:bottom w:w="100" w:type="dxa"/>
              <w:left w:w="100" w:type="dxa"/>
              <w:right w:w="100" w:type="dxa"/>
            </w:tcMar>
          </w:tcPr>
          <w:p>
            <w:pPr>
              <w:jc w:val="left"/>
            </w:pPr>
            <w:r>
              <w:t>CLIENT ACCEPTANCE &amp; AUTHORIZATION</w:t>
            </w:r>
          </w:p>
        </w:tc>
        <w:tc>
          <w:tcPr>
            <w:tcW w:type="dxa" w:w="5040"/>
            <w:shd w:fill="1A365D"/>
            <w:tcMar>
              <w:top w:w="100" w:type="dxa"/>
              <w:bottom w:w="100" w:type="dxa"/>
              <w:left w:w="100" w:type="dxa"/>
              <w:right w:w="100" w:type="dxa"/>
            </w:tcMar>
          </w:tcPr>
          <w:p>
            <w:pPr>
              <w:jc w:val="left"/>
            </w:pPr>
            <w:r>
              <w:t>EXECUTING R&amp;D CONTRACTOR CONFIRMATION</w:t>
            </w:r>
          </w:p>
        </w:tc>
      </w:tr>
      <w:tr>
        <w:trPr>
          <w:cantSplit/>
        </w:trPr>
        <w:tc>
          <w:tcPr>
            <w:tcW w:type="dxa" w:w="5040"/>
            <w:tcMar>
              <w:top w:w="65" w:type="dxa"/>
              <w:bottom w:w="65" w:type="dxa"/>
              <w:left w:w="100" w:type="dxa"/>
              <w:right w:w="100" w:type="dxa"/>
            </w:tcMar>
          </w:tcPr>
          <w:p>
            <w:r>
              <w:rPr>
                <w:rFonts w:ascii="Calibri" w:hAnsi="Calibri"/>
                <w:color w:val="2D3748"/>
                <w:sz w:val="16"/>
              </w:rPr>
              <w:t>Client Organization: Harakutir</w:t>
            </w:r>
          </w:p>
        </w:tc>
        <w:tc>
          <w:tcPr>
            <w:tcW w:type="dxa" w:w="5040"/>
            <w:tcMar>
              <w:top w:w="65" w:type="dxa"/>
              <w:bottom w:w="65" w:type="dxa"/>
              <w:left w:w="100" w:type="dxa"/>
              <w:right w:w="100" w:type="dxa"/>
            </w:tcMar>
          </w:tcPr>
          <w:p>
            <w:r>
              <w:rPr>
                <w:rFonts w:ascii="Calibri" w:hAnsi="Calibri"/>
                <w:color w:val="2D3748"/>
                <w:sz w:val="16"/>
              </w:rPr>
              <w:t>Contractor: FinnoaQ Agro-Industrial Technologies Ltd.</w:t>
            </w:r>
          </w:p>
        </w:tc>
      </w:tr>
      <w:tr>
        <w:trPr>
          <w:cantSplit/>
        </w:trPr>
        <w:tc>
          <w:tcPr>
            <w:tcW w:type="dxa" w:w="5040"/>
            <w:shd w:fill="F7FAFC"/>
            <w:tcMar>
              <w:top w:w="65" w:type="dxa"/>
              <w:bottom w:w="65" w:type="dxa"/>
              <w:left w:w="100" w:type="dxa"/>
              <w:right w:w="100" w:type="dxa"/>
            </w:tcMar>
          </w:tcPr>
          <w:p>
            <w:r>
              <w:rPr>
                <w:rFonts w:ascii="Calibri" w:hAnsi="Calibri"/>
                <w:color w:val="2D3748"/>
                <w:sz w:val="16"/>
              </w:rPr>
              <w:t>Authorized Signatory: Dr. Archisman Ray</w:t>
            </w:r>
          </w:p>
        </w:tc>
        <w:tc>
          <w:tcPr>
            <w:tcW w:type="dxa" w:w="5040"/>
            <w:shd w:fill="F7FAFC"/>
            <w:tcMar>
              <w:top w:w="65" w:type="dxa"/>
              <w:bottom w:w="65" w:type="dxa"/>
              <w:left w:w="100" w:type="dxa"/>
              <w:right w:w="100" w:type="dxa"/>
            </w:tcMar>
          </w:tcPr>
          <w:p>
            <w:r>
              <w:rPr>
                <w:rFonts w:ascii="Calibri" w:hAnsi="Calibri"/>
                <w:color w:val="2D3748"/>
                <w:sz w:val="16"/>
              </w:rPr>
              <w:t>Authorized Lead Engineer: Sourish Senapati</w:t>
            </w:r>
          </w:p>
        </w:tc>
      </w:tr>
      <w:tr>
        <w:trPr>
          <w:cantSplit/>
        </w:trPr>
        <w:tc>
          <w:tcPr>
            <w:tcW w:type="dxa" w:w="5040"/>
            <w:tcMar>
              <w:top w:w="65" w:type="dxa"/>
              <w:bottom w:w="65" w:type="dxa"/>
              <w:left w:w="100" w:type="dxa"/>
              <w:right w:w="100" w:type="dxa"/>
            </w:tcMar>
          </w:tcPr>
          <w:p>
            <w:r>
              <w:rPr>
                <w:rFonts w:ascii="Calibri" w:hAnsi="Calibri"/>
                <w:color w:val="2D3748"/>
                <w:sz w:val="16"/>
              </w:rPr>
              <w:t>Designation: CEO &amp; Director, Harakutir</w:t>
            </w:r>
          </w:p>
        </w:tc>
        <w:tc>
          <w:tcPr>
            <w:tcW w:type="dxa" w:w="5040"/>
            <w:tcMar>
              <w:top w:w="65" w:type="dxa"/>
              <w:bottom w:w="65" w:type="dxa"/>
              <w:left w:w="100" w:type="dxa"/>
              <w:right w:w="100" w:type="dxa"/>
            </w:tcMar>
          </w:tcPr>
          <w:p>
            <w:r>
              <w:rPr>
                <w:rFonts w:ascii="Calibri" w:hAnsi="Calibri"/>
                <w:color w:val="2D3748"/>
                <w:sz w:val="16"/>
              </w:rPr>
              <w:t>Designation: Lead Chemical &amp; Process Engineer</w:t>
            </w:r>
          </w:p>
        </w:tc>
      </w:tr>
      <w:tr>
        <w:trPr>
          <w:cantSplit/>
        </w:trPr>
        <w:tc>
          <w:tcPr>
            <w:tcW w:type="dxa" w:w="5040"/>
            <w:shd w:fill="F7FAFC"/>
            <w:tcMar>
              <w:top w:w="65" w:type="dxa"/>
              <w:bottom w:w="65" w:type="dxa"/>
              <w:left w:w="100" w:type="dxa"/>
              <w:right w:w="100" w:type="dxa"/>
            </w:tcMar>
          </w:tcPr>
          <w:p>
            <w:r>
              <w:rPr>
                <w:rFonts w:ascii="Calibri" w:hAnsi="Calibri"/>
                <w:color w:val="2D3748"/>
                <w:sz w:val="16"/>
              </w:rPr>
              <w:t>Scope Selection: [  ] Option 1 (₹1.73L)  [  ] Option 2 (₹2.85L)</w:t>
            </w:r>
          </w:p>
        </w:tc>
        <w:tc>
          <w:tcPr>
            <w:tcW w:type="dxa" w:w="5040"/>
            <w:shd w:fill="F7FAFC"/>
            <w:tcMar>
              <w:top w:w="65" w:type="dxa"/>
              <w:bottom w:w="65" w:type="dxa"/>
              <w:left w:w="100" w:type="dxa"/>
              <w:right w:w="100" w:type="dxa"/>
            </w:tcMar>
          </w:tcPr>
          <w:p>
            <w:r>
              <w:rPr>
                <w:rFonts w:ascii="Calibri" w:hAnsi="Calibri"/>
                <w:color w:val="2D3748"/>
                <w:sz w:val="16"/>
              </w:rPr>
              <w:t>Technical Guidance: Dr. Archisman Ray (IIT Kharagpur)</w:t>
            </w:r>
          </w:p>
        </w:tc>
      </w:tr>
      <w:tr>
        <w:trPr>
          <w:cantSplit/>
        </w:trPr>
        <w:tc>
          <w:tcPr>
            <w:tcW w:type="dxa" w:w="5040"/>
            <w:tcMar>
              <w:top w:w="65" w:type="dxa"/>
              <w:bottom w:w="65" w:type="dxa"/>
              <w:left w:w="100" w:type="dxa"/>
              <w:right w:w="100" w:type="dxa"/>
            </w:tcMar>
          </w:tcPr>
          <w:p>
            <w:r>
              <w:rPr>
                <w:rFonts w:ascii="Calibri" w:hAnsi="Calibri"/>
                <w:color w:val="2D3748"/>
                <w:sz w:val="16"/>
              </w:rPr>
              <w:t>Signature &amp; Date: ____________________</w:t>
            </w:r>
          </w:p>
        </w:tc>
        <w:tc>
          <w:tcPr>
            <w:tcW w:type="dxa" w:w="5040"/>
            <w:tcMar>
              <w:top w:w="65" w:type="dxa"/>
              <w:bottom w:w="65" w:type="dxa"/>
              <w:left w:w="100" w:type="dxa"/>
              <w:right w:w="100" w:type="dxa"/>
            </w:tcMar>
          </w:tcPr>
          <w:p>
            <w:r>
              <w:rPr>
                <w:rFonts w:ascii="Calibri" w:hAnsi="Calibri"/>
                <w:color w:val="2D3748"/>
                <w:sz w:val="16"/>
              </w:rPr>
              <w:t>Signature &amp; Date: ____________________</w:t>
            </w:r>
          </w:p>
        </w:tc>
      </w:tr>
    </w:tbl>
    <w:p>
      <w:r>
        <w:br w:type="page"/>
      </w:r>
    </w:p>
    <w:p>
      <w:pPr>
        <w:keepNext/>
        <w:spacing w:before="260" w:after="60"/>
      </w:pPr>
      <w:r>
        <w:rPr>
          <w:rFonts w:ascii="Calibri" w:hAnsi="Calibri"/>
          <w:b/>
          <w:color w:val="1A365D"/>
          <w:sz w:val="23"/>
        </w:rPr>
        <w:t>Annexure A: Laboratory Selection Criteria &amp; Candidate Partner Institutions</w:t>
      </w:r>
    </w:p>
    <w:p>
      <w:pPr>
        <w:spacing w:before="0" w:after="60" w:line="276" w:lineRule="auto"/>
      </w:pPr>
      <w:r>
        <w:rPr>
          <w:rFonts w:ascii="Calibri" w:hAnsi="Calibri"/>
          <w:color w:val="2D3748"/>
          <w:sz w:val="17"/>
        </w:rPr>
        <w:t>Under Section 23 of the source SOW, specialized analytical modules requiring accredited analytical equipment will be coordinated with candidate institutions based on technical capability, method validity, turnaround time, and competitive quotation. These institutions are candidates for quotation and evaluation—not pre-committed subcontractors:</w:t>
      </w:r>
    </w:p>
    <w:p>
      <w:pPr>
        <w:spacing w:before="0" w:after="60" w:line="276" w:lineRule="auto"/>
      </w:pPr>
      <w:r>
        <w:rPr>
          <w:rFonts w:ascii="Calibri" w:hAnsi="Calibri"/>
          <w:b/>
          <w:color w:val="1A365D"/>
          <w:sz w:val="17"/>
        </w:rPr>
        <w:t xml:space="preserve">1. </w:t>
      </w:r>
      <w:r>
        <w:rPr>
          <w:rFonts w:ascii="Calibri" w:hAnsi="Calibri"/>
          <w:color w:val="2D3748"/>
          <w:sz w:val="17"/>
        </w:rPr>
        <w:t>• Eureka Analytical Services Pvt. Ltd. (Kolkata / Bangalore): NABL accredited food testing facility; candidate for proximate composition, heavy metals, pesticide residues, and mineral profiling via ICP-OES.</w:t>
      </w:r>
    </w:p>
    <w:p>
      <w:pPr>
        <w:spacing w:before="0" w:after="60" w:line="276" w:lineRule="auto"/>
      </w:pPr>
      <w:r>
        <w:rPr>
          <w:rFonts w:ascii="Calibri" w:hAnsi="Calibri"/>
          <w:b/>
          <w:color w:val="1A365D"/>
          <w:sz w:val="17"/>
        </w:rPr>
        <w:t xml:space="preserve">2. </w:t>
      </w:r>
      <w:r>
        <w:rPr>
          <w:rFonts w:ascii="Calibri" w:hAnsi="Calibri"/>
          <w:color w:val="2D3748"/>
          <w:sz w:val="17"/>
        </w:rPr>
        <w:t>• Mitra S.K. Private Limited (Kolkata): NABL / FSSAI notified laboratory with extensive commodity testing infrastructure; candidate for proximate chemical analysis, fiber fractionation, and grain physical parameters.</w:t>
      </w:r>
    </w:p>
    <w:p>
      <w:pPr>
        <w:spacing w:before="0" w:after="60" w:line="276" w:lineRule="auto"/>
      </w:pPr>
      <w:r>
        <w:rPr>
          <w:rFonts w:ascii="Calibri" w:hAnsi="Calibri"/>
          <w:b/>
          <w:color w:val="1A365D"/>
          <w:sz w:val="17"/>
        </w:rPr>
        <w:t xml:space="preserve">3. </w:t>
      </w:r>
      <w:r>
        <w:rPr>
          <w:rFonts w:ascii="Calibri" w:hAnsi="Calibri"/>
          <w:color w:val="2D3748"/>
          <w:sz w:val="17"/>
        </w:rPr>
        <w:t>• CSIR-Central Glass &amp; Ceramic Research Institute (CGCRI, Kolkata): Premier central research institute; candidate for advanced materials characterization, scanning electron microscopy (SEM), and thermal analysis.</w:t>
      </w:r>
    </w:p>
    <w:p>
      <w:pPr>
        <w:spacing w:before="0" w:after="60" w:line="276" w:lineRule="auto"/>
      </w:pPr>
      <w:r>
        <w:rPr>
          <w:rFonts w:ascii="Calibri" w:hAnsi="Calibri"/>
          <w:b/>
          <w:color w:val="1A365D"/>
          <w:sz w:val="17"/>
        </w:rPr>
        <w:t xml:space="preserve">4. </w:t>
      </w:r>
      <w:r>
        <w:rPr>
          <w:rFonts w:ascii="Calibri" w:hAnsi="Calibri"/>
          <w:color w:val="2D3748"/>
          <w:sz w:val="17"/>
        </w:rPr>
        <w:t>• Department of Chemical Engineering, IIT Kharagpur: Premier academic institution; candidate for advanced biophysical characterization, differential scanning calorimetry (DSC), and texture profile analysis under research collaboration protocols.</w:t>
      </w:r>
    </w:p>
    <w:p>
      <w:pPr>
        <w:keepNext/>
        <w:spacing w:before="260" w:after="60"/>
      </w:pPr>
      <w:r>
        <w:rPr>
          <w:rFonts w:ascii="Calibri" w:hAnsi="Calibri"/>
          <w:b/>
          <w:color w:val="1A365D"/>
          <w:sz w:val="23"/>
        </w:rPr>
        <w:t>Annexure B: Provisional 15,000 kg/day Plant Concept &amp; Mass-Balance Reconciliation</w:t>
      </w:r>
    </w:p>
    <w:p>
      <w:pPr>
        <w:spacing w:before="0" w:after="60" w:line="276" w:lineRule="auto"/>
      </w:pPr>
      <w:r>
        <w:rPr>
          <w:rFonts w:ascii="Calibri" w:hAnsi="Calibri"/>
          <w:color w:val="2D3748"/>
          <w:sz w:val="17"/>
        </w:rPr>
        <w:t>To resolve Review Finding B and Finding F, this annexure provides the complete mathematical and thermodynamic derivation of the provisional 15,000 kg/day industrial processing concept. The plant concept is strictly a downstream conceptual scenario; final engineering sizing is gated upon Phase 1 and Phase 2 empirical data.</w:t>
      </w:r>
    </w:p>
    <w:p>
      <w:pPr>
        <w:keepNext/>
        <w:spacing w:before="180" w:after="40"/>
      </w:pPr>
      <w:r>
        <w:rPr>
          <w:rFonts w:ascii="Calibri" w:hAnsi="Calibri"/>
          <w:b/>
          <w:color w:val="2B6CB0"/>
          <w:sz w:val="20"/>
        </w:rPr>
        <w:t>B.1 Mathematical Derivation &amp; Basis Reconciliation</w:t>
      </w:r>
    </w:p>
    <w:p>
      <w:pPr>
        <w:spacing w:before="0" w:after="60" w:line="276" w:lineRule="auto"/>
      </w:pPr>
      <w:r>
        <w:rPr>
          <w:rFonts w:ascii="Calibri" w:hAnsi="Calibri"/>
          <w:color w:val="2D3748"/>
          <w:sz w:val="17"/>
        </w:rPr>
        <w:t>Incoming Raw Grain: Total feed M_feed = 15,000.000 kg/day at 10.5% wet-basis moisture (X_wb = 0.105). Dry solids M_ds,in = 15,000 x (1 - 0.105) = 13,425.000 kg/day. Intrinsic grain water M_water,in = 1,575.000 kg/day.</w:t>
      </w:r>
    </w:p>
    <w:p>
      <w:pPr>
        <w:spacing w:before="0" w:after="60" w:line="276" w:lineRule="auto"/>
      </w:pPr>
      <w:r>
        <w:rPr>
          <w:rFonts w:ascii="Calibri" w:hAnsi="Calibri"/>
          <w:color w:val="2D3748"/>
          <w:sz w:val="17"/>
        </w:rPr>
        <w:t>Solids Loss Audit: One reported assumption states an absolute solids loss of 184.000 kg/day, leaving 13,241.000 kg/day dry solids. This loss represents exactly 1.370577% (approx. 1.3706%) of incoming dry solids. An alternate assumption in earlier notes stated a 1.46% solids loss, which would equal 13,425 x 0.0146 = 196.005 kg/day loss, leaving 13,228.995 kg/day dry solids. These two assumptions are mathematically distinct. For this reconciliation, the documented solids value of 13,241.000 kg/day is adopted.</w:t>
      </w:r>
    </w:p>
    <w:p>
      <w:pPr>
        <w:spacing w:before="0" w:after="60" w:line="276" w:lineRule="auto"/>
      </w:pPr>
      <w:r>
        <w:rPr>
          <w:rFonts w:ascii="Calibri" w:hAnsi="Calibri"/>
          <w:color w:val="2D3748"/>
          <w:sz w:val="17"/>
        </w:rPr>
        <w:t>Final Dried Product: Commercial product target moisture is 10.0% wet-basis (X_wb = 0.100). Total product mass M_prod = 13,241.000 / (1 - 0.100) = 14,712.222 kg/day, containing 1,471.222 kg/day water.</w:t>
      </w:r>
    </w:p>
    <w:p>
      <w:pPr>
        <w:keepNext/>
        <w:spacing w:before="180" w:after="40"/>
      </w:pPr>
      <w:r>
        <w:rPr>
          <w:rFonts w:ascii="Calibri" w:hAnsi="Calibri"/>
          <w:b/>
          <w:color w:val="2B6CB0"/>
          <w:sz w:val="20"/>
        </w:rPr>
        <w:t>B.2 Reconciled Pre-Dryer &amp; Evaporation Scenarios</w:t>
      </w:r>
    </w:p>
    <w:p>
      <w:pPr>
        <w:spacing w:before="0" w:after="60" w:line="276" w:lineRule="auto"/>
      </w:pPr>
      <w:r>
        <w:rPr>
          <w:rFonts w:ascii="Calibri" w:hAnsi="Calibri"/>
          <w:color w:val="2D3748"/>
          <w:sz w:val="17"/>
        </w:rPr>
        <w:t>Because post-drainage surface liquid retention has not yet been measured for the target Tanzanian lot, two competing scenarios are reconciled: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600"/>
        <w:gridCol w:w="3168"/>
        <w:gridCol w:w="3312"/>
      </w:tblGrid>
      <w:tr>
        <w:trPr>
          <w:tblHeader/>
          <w:cantSplit/>
        </w:trPr>
        <w:tc>
          <w:tcPr>
            <w:tcW w:type="dxa" w:w="3360"/>
            <w:shd w:fill="1A365D"/>
            <w:tcMar>
              <w:top w:w="100" w:type="dxa"/>
              <w:bottom w:w="100" w:type="dxa"/>
              <w:left w:w="100" w:type="dxa"/>
              <w:right w:w="100" w:type="dxa"/>
            </w:tcMar>
          </w:tcPr>
          <w:p>
            <w:pPr>
              <w:jc w:val="left"/>
            </w:pPr>
            <w:r>
              <w:t>Mass &amp; Moisture Parameter</w:t>
            </w:r>
          </w:p>
        </w:tc>
        <w:tc>
          <w:tcPr>
            <w:tcW w:type="dxa" w:w="3360"/>
            <w:shd w:fill="1A365D"/>
            <w:tcMar>
              <w:top w:w="100" w:type="dxa"/>
              <w:bottom w:w="100" w:type="dxa"/>
              <w:left w:w="100" w:type="dxa"/>
              <w:right w:w="100" w:type="dxa"/>
            </w:tcMar>
          </w:tcPr>
          <w:p>
            <w:pPr>
              <w:jc w:val="left"/>
            </w:pPr>
            <w:r>
              <w:t>Scenario B1 (True 28.0% WB)</w:t>
            </w:r>
          </w:p>
        </w:tc>
        <w:tc>
          <w:tcPr>
            <w:tcW w:type="dxa" w:w="3360"/>
            <w:shd w:fill="1A365D"/>
            <w:tcMar>
              <w:top w:w="100" w:type="dxa"/>
              <w:bottom w:w="100" w:type="dxa"/>
              <w:left w:w="100" w:type="dxa"/>
              <w:right w:w="100" w:type="dxa"/>
            </w:tcMar>
          </w:tcPr>
          <w:p>
            <w:pPr>
              <w:jc w:val="left"/>
            </w:pPr>
            <w:r>
              <w:t>Scenario B2 (Reported 18,590 kg/day)</w:t>
            </w:r>
          </w:p>
        </w:tc>
      </w:tr>
      <w:tr>
        <w:trPr>
          <w:cantSplit/>
        </w:trPr>
        <w:tc>
          <w:tcPr>
            <w:tcW w:type="dxa" w:w="3360"/>
            <w:tcMar>
              <w:top w:w="65" w:type="dxa"/>
              <w:bottom w:w="65" w:type="dxa"/>
              <w:left w:w="100" w:type="dxa"/>
              <w:right w:w="100" w:type="dxa"/>
            </w:tcMar>
          </w:tcPr>
          <w:p>
            <w:r>
              <w:rPr>
                <w:rFonts w:ascii="Calibri" w:hAnsi="Calibri"/>
                <w:b/>
                <w:color w:val="2D3748"/>
                <w:sz w:val="15"/>
              </w:rPr>
              <w:t>Pre-Dryer Total Wet Stream Mass</w:t>
            </w:r>
          </w:p>
        </w:tc>
        <w:tc>
          <w:tcPr>
            <w:tcW w:type="dxa" w:w="3360"/>
            <w:tcMar>
              <w:top w:w="65" w:type="dxa"/>
              <w:bottom w:w="65" w:type="dxa"/>
              <w:left w:w="100" w:type="dxa"/>
              <w:right w:w="100" w:type="dxa"/>
            </w:tcMar>
          </w:tcPr>
          <w:p>
            <w:r>
              <w:rPr>
                <w:rFonts w:ascii="Calibri" w:hAnsi="Calibri"/>
                <w:color w:val="2D3748"/>
                <w:sz w:val="15"/>
              </w:rPr>
              <w:t>18,390.278 kg/day</w:t>
            </w:r>
          </w:p>
        </w:tc>
        <w:tc>
          <w:tcPr>
            <w:tcW w:type="dxa" w:w="3360"/>
            <w:tcMar>
              <w:top w:w="65" w:type="dxa"/>
              <w:bottom w:w="65" w:type="dxa"/>
              <w:left w:w="100" w:type="dxa"/>
              <w:right w:w="100" w:type="dxa"/>
            </w:tcMar>
          </w:tcPr>
          <w:p>
            <w:r>
              <w:rPr>
                <w:rFonts w:ascii="Calibri" w:hAnsi="Calibri"/>
                <w:color w:val="2D3748"/>
                <w:sz w:val="15"/>
              </w:rPr>
              <w:t>18,590.000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Pre-Dryer Dry Solids Mass</w:t>
            </w:r>
          </w:p>
        </w:tc>
        <w:tc>
          <w:tcPr>
            <w:tcW w:type="dxa" w:w="3360"/>
            <w:shd w:fill="F7FAFC"/>
            <w:tcMar>
              <w:top w:w="65" w:type="dxa"/>
              <w:bottom w:w="65" w:type="dxa"/>
              <w:left w:w="100" w:type="dxa"/>
              <w:right w:w="100" w:type="dxa"/>
            </w:tcMar>
          </w:tcPr>
          <w:p>
            <w:r>
              <w:rPr>
                <w:rFonts w:ascii="Calibri" w:hAnsi="Calibri"/>
                <w:color w:val="2D3748"/>
                <w:sz w:val="15"/>
              </w:rPr>
              <w:t>13,241.000 kg/day</w:t>
            </w:r>
          </w:p>
        </w:tc>
        <w:tc>
          <w:tcPr>
            <w:tcW w:type="dxa" w:w="3360"/>
            <w:shd w:fill="F7FAFC"/>
            <w:tcMar>
              <w:top w:w="65" w:type="dxa"/>
              <w:bottom w:w="65" w:type="dxa"/>
              <w:left w:w="100" w:type="dxa"/>
              <w:right w:w="100" w:type="dxa"/>
            </w:tcMar>
          </w:tcPr>
          <w:p>
            <w:r>
              <w:rPr>
                <w:rFonts w:ascii="Calibri" w:hAnsi="Calibri"/>
                <w:color w:val="2D3748"/>
                <w:sz w:val="15"/>
              </w:rPr>
              <w:t>13,241.000 kg/day</w:t>
            </w:r>
          </w:p>
        </w:tc>
      </w:tr>
      <w:tr>
        <w:trPr>
          <w:cantSplit/>
        </w:trPr>
        <w:tc>
          <w:tcPr>
            <w:tcW w:type="dxa" w:w="3360"/>
            <w:tcMar>
              <w:top w:w="65" w:type="dxa"/>
              <w:bottom w:w="65" w:type="dxa"/>
              <w:left w:w="100" w:type="dxa"/>
              <w:right w:w="100" w:type="dxa"/>
            </w:tcMar>
          </w:tcPr>
          <w:p>
            <w:r>
              <w:rPr>
                <w:rFonts w:ascii="Calibri" w:hAnsi="Calibri"/>
                <w:b/>
                <w:color w:val="2D3748"/>
                <w:sz w:val="15"/>
              </w:rPr>
              <w:t>Pre-Dryer Water Content</w:t>
            </w:r>
          </w:p>
        </w:tc>
        <w:tc>
          <w:tcPr>
            <w:tcW w:type="dxa" w:w="3360"/>
            <w:tcMar>
              <w:top w:w="65" w:type="dxa"/>
              <w:bottom w:w="65" w:type="dxa"/>
              <w:left w:w="100" w:type="dxa"/>
              <w:right w:w="100" w:type="dxa"/>
            </w:tcMar>
          </w:tcPr>
          <w:p>
            <w:r>
              <w:rPr>
                <w:rFonts w:ascii="Calibri" w:hAnsi="Calibri"/>
                <w:color w:val="2D3748"/>
                <w:sz w:val="15"/>
              </w:rPr>
              <w:t>5,149.278 kg/day</w:t>
            </w:r>
          </w:p>
        </w:tc>
        <w:tc>
          <w:tcPr>
            <w:tcW w:type="dxa" w:w="3360"/>
            <w:tcMar>
              <w:top w:w="65" w:type="dxa"/>
              <w:bottom w:w="65" w:type="dxa"/>
              <w:left w:w="100" w:type="dxa"/>
              <w:right w:w="100" w:type="dxa"/>
            </w:tcMar>
          </w:tcPr>
          <w:p>
            <w:r>
              <w:rPr>
                <w:rFonts w:ascii="Calibri" w:hAnsi="Calibri"/>
                <w:color w:val="2D3748"/>
                <w:sz w:val="15"/>
              </w:rPr>
              <w:t>5,349.000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Pre-Dryer Wet-Basis Moisture Content</w:t>
            </w:r>
          </w:p>
        </w:tc>
        <w:tc>
          <w:tcPr>
            <w:tcW w:type="dxa" w:w="3360"/>
            <w:shd w:fill="F7FAFC"/>
            <w:tcMar>
              <w:top w:w="65" w:type="dxa"/>
              <w:bottom w:w="65" w:type="dxa"/>
              <w:left w:w="100" w:type="dxa"/>
              <w:right w:w="100" w:type="dxa"/>
            </w:tcMar>
          </w:tcPr>
          <w:p>
            <w:r>
              <w:rPr>
                <w:rFonts w:ascii="Calibri" w:hAnsi="Calibri"/>
                <w:color w:val="2D3748"/>
                <w:sz w:val="15"/>
              </w:rPr>
              <w:t>28.0000% w/w</w:t>
            </w:r>
          </w:p>
        </w:tc>
        <w:tc>
          <w:tcPr>
            <w:tcW w:type="dxa" w:w="3360"/>
            <w:shd w:fill="F7FAFC"/>
            <w:tcMar>
              <w:top w:w="65" w:type="dxa"/>
              <w:bottom w:w="65" w:type="dxa"/>
              <w:left w:w="100" w:type="dxa"/>
              <w:right w:w="100" w:type="dxa"/>
            </w:tcMar>
          </w:tcPr>
          <w:p>
            <w:r>
              <w:rPr>
                <w:rFonts w:ascii="Calibri" w:hAnsi="Calibri"/>
                <w:color w:val="2D3748"/>
                <w:sz w:val="15"/>
              </w:rPr>
              <w:t>28.7735% w/w (Implied)</w:t>
            </w:r>
          </w:p>
        </w:tc>
      </w:tr>
      <w:tr>
        <w:trPr>
          <w:cantSplit/>
        </w:trPr>
        <w:tc>
          <w:tcPr>
            <w:tcW w:type="dxa" w:w="3360"/>
            <w:tcMar>
              <w:top w:w="65" w:type="dxa"/>
              <w:bottom w:w="65" w:type="dxa"/>
              <w:left w:w="100" w:type="dxa"/>
              <w:right w:w="100" w:type="dxa"/>
            </w:tcMar>
          </w:tcPr>
          <w:p>
            <w:r>
              <w:rPr>
                <w:rFonts w:ascii="Calibri" w:hAnsi="Calibri"/>
                <w:b/>
                <w:color w:val="2D3748"/>
                <w:sz w:val="15"/>
              </w:rPr>
              <w:t>Final Product Water (10.0% WB)</w:t>
            </w:r>
          </w:p>
        </w:tc>
        <w:tc>
          <w:tcPr>
            <w:tcW w:type="dxa" w:w="3360"/>
            <w:tcMar>
              <w:top w:w="65" w:type="dxa"/>
              <w:bottom w:w="65" w:type="dxa"/>
              <w:left w:w="100" w:type="dxa"/>
              <w:right w:w="100" w:type="dxa"/>
            </w:tcMar>
          </w:tcPr>
          <w:p>
            <w:r>
              <w:rPr>
                <w:rFonts w:ascii="Calibri" w:hAnsi="Calibri"/>
                <w:color w:val="2D3748"/>
                <w:sz w:val="15"/>
              </w:rPr>
              <w:t>1,471.222 kg/day</w:t>
            </w:r>
          </w:p>
        </w:tc>
        <w:tc>
          <w:tcPr>
            <w:tcW w:type="dxa" w:w="3360"/>
            <w:tcMar>
              <w:top w:w="65" w:type="dxa"/>
              <w:bottom w:w="65" w:type="dxa"/>
              <w:left w:w="100" w:type="dxa"/>
              <w:right w:w="100" w:type="dxa"/>
            </w:tcMar>
          </w:tcPr>
          <w:p>
            <w:r>
              <w:rPr>
                <w:rFonts w:ascii="Calibri" w:hAnsi="Calibri"/>
                <w:color w:val="2D3748"/>
                <w:sz w:val="15"/>
              </w:rPr>
              <w:t>1,471.222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Dryer Water Evaporation Required</w:t>
            </w:r>
          </w:p>
        </w:tc>
        <w:tc>
          <w:tcPr>
            <w:tcW w:type="dxa" w:w="3360"/>
            <w:shd w:fill="F7FAFC"/>
            <w:tcMar>
              <w:top w:w="65" w:type="dxa"/>
              <w:bottom w:w="65" w:type="dxa"/>
              <w:left w:w="100" w:type="dxa"/>
              <w:right w:w="100" w:type="dxa"/>
            </w:tcMar>
          </w:tcPr>
          <w:p>
            <w:r>
              <w:rPr>
                <w:rFonts w:ascii="Calibri" w:hAnsi="Calibri"/>
                <w:color w:val="2D3748"/>
                <w:sz w:val="15"/>
              </w:rPr>
              <w:t>3,678.056 kg/day (183.90 kg/h)</w:t>
            </w:r>
          </w:p>
        </w:tc>
        <w:tc>
          <w:tcPr>
            <w:tcW w:type="dxa" w:w="3360"/>
            <w:shd w:fill="F7FAFC"/>
            <w:tcMar>
              <w:top w:w="65" w:type="dxa"/>
              <w:bottom w:w="65" w:type="dxa"/>
              <w:left w:w="100" w:type="dxa"/>
              <w:right w:w="100" w:type="dxa"/>
            </w:tcMar>
          </w:tcPr>
          <w:p>
            <w:r>
              <w:rPr>
                <w:rFonts w:ascii="Calibri" w:hAnsi="Calibri"/>
                <w:color w:val="2D3748"/>
                <w:sz w:val="15"/>
              </w:rPr>
              <w:t>3,877.778 kg/day (193.89 kg/h)</w:t>
            </w:r>
          </w:p>
        </w:tc>
      </w:tr>
    </w:tbl>
    <w:p>
      <w:pPr>
        <w:spacing w:before="0" w:after="60" w:line="276" w:lineRule="auto"/>
      </w:pPr>
      <w:r>
        <w:rPr>
          <w:rFonts w:ascii="Calibri" w:hAnsi="Calibri"/>
          <w:color w:val="2D3748"/>
          <w:sz w:val="17"/>
        </w:rPr>
        <w:t>Thermodynamic Duty Impact: Scenario B2 requires evaporating 199.722 kg/day more water (+5.43%) than Scenario B1. At an effective heat of vaporization of 2,400 kJ/kg, continuous thermal drying duty increases from 122.60 kW_th (Scenario B1) to 129.26 kW_th (Scenario B2), increasing steam demand by 12.9 kg/h. Status of Finding B is UNRESOLVED — SCENARIOS SHOWN; final dryer sizing is held provisional until bench-scale hydration and drainage are measured.</w:t>
      </w:r>
    </w:p>
    <w:p>
      <w:pPr>
        <w:keepNext/>
        <w:spacing w:before="260" w:after="60"/>
      </w:pPr>
      <w:r>
        <w:rPr>
          <w:rFonts w:ascii="Calibri" w:hAnsi="Calibri"/>
          <w:b/>
          <w:color w:val="1A365D"/>
          <w:sz w:val="23"/>
        </w:rPr>
        <w:t>Annexure C: Sample Custody &amp; Metadata Registration Form</w:t>
      </w:r>
    </w:p>
    <w:p>
      <w:pPr>
        <w:spacing w:before="0" w:after="60" w:line="276" w:lineRule="auto"/>
      </w:pPr>
      <w:r>
        <w:rPr>
          <w:rFonts w:ascii="Calibri" w:hAnsi="Calibri"/>
          <w:color w:val="2D3748"/>
          <w:sz w:val="17"/>
        </w:rPr>
        <w:t>Please complete and enclose this verification form with the dispatched sample consignments: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600"/>
        <w:gridCol w:w="6480"/>
      </w:tblGrid>
      <w:tr>
        <w:trPr>
          <w:cantSplit/>
        </w:trPr>
        <w:tc>
          <w:tcPr>
            <w:tcW w:type="dxa" w:w="5040"/>
            <w:tcMar>
              <w:top w:w="65" w:type="dxa"/>
              <w:bottom w:w="65" w:type="dxa"/>
              <w:left w:w="100" w:type="dxa"/>
              <w:right w:w="100" w:type="dxa"/>
            </w:tcMar>
          </w:tcPr>
          <w:p>
            <w:r>
              <w:rPr>
                <w:rFonts w:ascii="Calibri" w:hAnsi="Calibri"/>
                <w:b/>
                <w:color w:val="2D3748"/>
                <w:sz w:val="15"/>
              </w:rPr>
              <w:t>Sample Unique Identifier:</w:t>
            </w:r>
          </w:p>
        </w:tc>
        <w:tc>
          <w:tcPr>
            <w:tcW w:type="dxa" w:w="5040"/>
            <w:tcMar>
              <w:top w:w="65" w:type="dxa"/>
              <w:bottom w:w="65" w:type="dxa"/>
              <w:left w:w="100" w:type="dxa"/>
              <w:right w:w="100" w:type="dxa"/>
            </w:tcMar>
          </w:tcPr>
          <w:p>
            <w:r>
              <w:rPr>
                <w:rFonts w:ascii="Calibri" w:hAnsi="Calibri"/>
                <w:color w:val="2D3748"/>
                <w:sz w:val="15"/>
              </w:rPr>
              <w:t>[ To be assigned upon receipt at FinnoaQ Lab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Commercial Origin &amp; Cultivar:</w:t>
            </w:r>
          </w:p>
        </w:tc>
        <w:tc>
          <w:tcPr>
            <w:tcW w:type="dxa" w:w="5040"/>
            <w:shd w:fill="F7FAFC"/>
            <w:tcMar>
              <w:top w:w="65" w:type="dxa"/>
              <w:bottom w:w="65" w:type="dxa"/>
              <w:left w:w="100" w:type="dxa"/>
              <w:right w:w="100" w:type="dxa"/>
            </w:tcMar>
          </w:tcPr>
          <w:p>
            <w:r>
              <w:rPr>
                <w:rFonts w:ascii="Calibri" w:hAnsi="Calibri"/>
                <w:color w:val="2D3748"/>
                <w:sz w:val="15"/>
              </w:rPr>
              <w:t>[ e.g. Tanzanian Arusha / Indian Latur Desi ]</w:t>
            </w:r>
          </w:p>
        </w:tc>
      </w:tr>
      <w:tr>
        <w:trPr>
          <w:cantSplit/>
        </w:trPr>
        <w:tc>
          <w:tcPr>
            <w:tcW w:type="dxa" w:w="5040"/>
            <w:tcMar>
              <w:top w:w="65" w:type="dxa"/>
              <w:bottom w:w="65" w:type="dxa"/>
              <w:left w:w="100" w:type="dxa"/>
              <w:right w:w="100" w:type="dxa"/>
            </w:tcMar>
          </w:tcPr>
          <w:p>
            <w:r>
              <w:rPr>
                <w:rFonts w:ascii="Calibri" w:hAnsi="Calibri"/>
                <w:b/>
                <w:color w:val="2D3748"/>
                <w:sz w:val="15"/>
              </w:rPr>
              <w:t>Consignment / Lot Number:</w:t>
            </w:r>
          </w:p>
        </w:tc>
        <w:tc>
          <w:tcPr>
            <w:tcW w:type="dxa" w:w="5040"/>
            <w:tcMar>
              <w:top w:w="65" w:type="dxa"/>
              <w:bottom w:w="65" w:type="dxa"/>
              <w:left w:w="100" w:type="dxa"/>
              <w:right w:w="100" w:type="dxa"/>
            </w:tcMar>
          </w:tcPr>
          <w:p>
            <w:r>
              <w:rPr>
                <w:rFonts w:ascii="Calibri" w:hAnsi="Calibri"/>
                <w:color w:val="2D3748"/>
                <w:sz w:val="15"/>
              </w:rPr>
              <w:t>[ Bill of Lading / Invoice Batch Number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Date of Dehulling / Milling:</w:t>
            </w:r>
          </w:p>
        </w:tc>
        <w:tc>
          <w:tcPr>
            <w:tcW w:type="dxa" w:w="5040"/>
            <w:shd w:fill="F7FAFC"/>
            <w:tcMar>
              <w:top w:w="65" w:type="dxa"/>
              <w:bottom w:w="65" w:type="dxa"/>
              <w:left w:w="100" w:type="dxa"/>
              <w:right w:w="100" w:type="dxa"/>
            </w:tcMar>
          </w:tcPr>
          <w:p>
            <w:r>
              <w:rPr>
                <w:rFonts w:ascii="Calibri" w:hAnsi="Calibri"/>
                <w:color w:val="2D3748"/>
                <w:sz w:val="15"/>
              </w:rPr>
              <w:t>[ DD/MM/YYYY or estimated month ]</w:t>
            </w:r>
          </w:p>
        </w:tc>
      </w:tr>
      <w:tr>
        <w:trPr>
          <w:cantSplit/>
        </w:trPr>
        <w:tc>
          <w:tcPr>
            <w:tcW w:type="dxa" w:w="5040"/>
            <w:tcMar>
              <w:top w:w="65" w:type="dxa"/>
              <w:bottom w:w="65" w:type="dxa"/>
              <w:left w:w="100" w:type="dxa"/>
              <w:right w:w="100" w:type="dxa"/>
            </w:tcMar>
          </w:tcPr>
          <w:p>
            <w:r>
              <w:rPr>
                <w:rFonts w:ascii="Calibri" w:hAnsi="Calibri"/>
                <w:b/>
                <w:color w:val="2D3748"/>
                <w:sz w:val="15"/>
              </w:rPr>
              <w:t>Import Date &amp; Port of Entry:</w:t>
            </w:r>
          </w:p>
        </w:tc>
        <w:tc>
          <w:tcPr>
            <w:tcW w:type="dxa" w:w="5040"/>
            <w:tcMar>
              <w:top w:w="65" w:type="dxa"/>
              <w:bottom w:w="65" w:type="dxa"/>
              <w:left w:w="100" w:type="dxa"/>
              <w:right w:w="100" w:type="dxa"/>
            </w:tcMar>
          </w:tcPr>
          <w:p>
            <w:r>
              <w:rPr>
                <w:rFonts w:ascii="Calibri" w:hAnsi="Calibri"/>
                <w:color w:val="2D3748"/>
                <w:sz w:val="15"/>
              </w:rPr>
              <w:t>[ Applicable for imported consignments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Polishing / Surface Treatment:</w:t>
            </w:r>
          </w:p>
        </w:tc>
        <w:tc>
          <w:tcPr>
            <w:tcW w:type="dxa" w:w="5040"/>
            <w:shd w:fill="F7FAFC"/>
            <w:tcMar>
              <w:top w:w="65" w:type="dxa"/>
              <w:bottom w:w="65" w:type="dxa"/>
              <w:left w:w="100" w:type="dxa"/>
              <w:right w:w="100" w:type="dxa"/>
            </w:tcMar>
          </w:tcPr>
          <w:p>
            <w:r>
              <w:rPr>
                <w:rFonts w:ascii="Calibri" w:hAnsi="Calibri"/>
                <w:color w:val="2D3748"/>
                <w:sz w:val="15"/>
              </w:rPr>
              <w:t>[ e.g. Water polish / Oil polish / Unpolished ]</w:t>
            </w:r>
          </w:p>
        </w:tc>
      </w:tr>
      <w:tr>
        <w:trPr>
          <w:cantSplit/>
        </w:trPr>
        <w:tc>
          <w:tcPr>
            <w:tcW w:type="dxa" w:w="5040"/>
            <w:tcMar>
              <w:top w:w="65" w:type="dxa"/>
              <w:bottom w:w="65" w:type="dxa"/>
              <w:left w:w="100" w:type="dxa"/>
              <w:right w:w="100" w:type="dxa"/>
            </w:tcMar>
          </w:tcPr>
          <w:p>
            <w:r>
              <w:rPr>
                <w:rFonts w:ascii="Calibri" w:hAnsi="Calibri"/>
                <w:b/>
                <w:color w:val="2D3748"/>
                <w:sz w:val="15"/>
              </w:rPr>
              <w:t>Storage History &amp; Packaging:</w:t>
            </w:r>
          </w:p>
        </w:tc>
        <w:tc>
          <w:tcPr>
            <w:tcW w:type="dxa" w:w="5040"/>
            <w:tcMar>
              <w:top w:w="65" w:type="dxa"/>
              <w:bottom w:w="65" w:type="dxa"/>
              <w:left w:w="100" w:type="dxa"/>
              <w:right w:w="100" w:type="dxa"/>
            </w:tcMar>
          </w:tcPr>
          <w:p>
            <w:r>
              <w:rPr>
                <w:rFonts w:ascii="Calibri" w:hAnsi="Calibri"/>
                <w:color w:val="2D3748"/>
                <w:sz w:val="15"/>
              </w:rPr>
              <w:t>[ e.g. 50 kg PP woven bags / Climate controlled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Authorized Dispatch Contact:</w:t>
            </w:r>
          </w:p>
        </w:tc>
        <w:tc>
          <w:tcPr>
            <w:tcW w:type="dxa" w:w="5040"/>
            <w:shd w:fill="F7FAFC"/>
            <w:tcMar>
              <w:top w:w="65" w:type="dxa"/>
              <w:bottom w:w="65" w:type="dxa"/>
              <w:left w:w="100" w:type="dxa"/>
              <w:right w:w="100" w:type="dxa"/>
            </w:tcMar>
          </w:tcPr>
          <w:p>
            <w:r>
              <w:rPr>
                <w:rFonts w:ascii="Calibri" w:hAnsi="Calibri"/>
                <w:color w:val="2D3748"/>
                <w:sz w:val="15"/>
              </w:rPr>
              <w:t>[ Name, Designation, Phone, Email ]</w:t>
            </w:r>
          </w:p>
        </w:tc>
      </w:tr>
    </w:tbl>
    <w:p>
      <w:pPr>
        <w:keepNext/>
        <w:spacing w:before="260" w:after="60"/>
      </w:pPr>
      <w:r>
        <w:rPr>
          <w:rFonts w:ascii="Calibri" w:hAnsi="Calibri"/>
          <w:b/>
          <w:color w:val="1A365D"/>
          <w:sz w:val="23"/>
        </w:rPr>
        <w:t>Annexure D: Scientific References &amp; Regulatory Citations</w:t>
      </w:r>
    </w:p>
    <w:p>
      <w:pPr>
        <w:spacing w:before="0" w:after="60" w:line="276" w:lineRule="auto"/>
      </w:pPr>
      <w:r>
        <w:rPr>
          <w:rFonts w:ascii="Calibri" w:hAnsi="Calibri"/>
          <w:color w:val="2D3748"/>
          <w:sz w:val="17"/>
        </w:rPr>
        <w:t>1. AOAC International. (2019). Official Methods of Analysis of AOAC International (21st ed.). Gaithersburg, MD: AOAC International.</w:t>
      </w:r>
    </w:p>
    <w:p>
      <w:pPr>
        <w:spacing w:before="0" w:after="60" w:line="276" w:lineRule="auto"/>
      </w:pPr>
      <w:r>
        <w:rPr>
          <w:rFonts w:ascii="Calibri" w:hAnsi="Calibri"/>
          <w:color w:val="2D3748"/>
          <w:sz w:val="17"/>
        </w:rPr>
        <w:t>2. Bureau of Indian Standards. (2014). IS 4333: Methods of Analysis for Foodgrains. New Delhi: BIS.</w:t>
      </w:r>
    </w:p>
    <w:p>
      <w:pPr>
        <w:spacing w:before="0" w:after="60" w:line="276" w:lineRule="auto"/>
      </w:pPr>
      <w:r>
        <w:rPr>
          <w:rFonts w:ascii="Calibri" w:hAnsi="Calibri"/>
          <w:color w:val="2D3748"/>
          <w:sz w:val="17"/>
        </w:rPr>
        <w:t>3. Food Safety and Standards Authority of India (FSSAI). (2011). Food Safety and Standards (Food Products Standards and Food Additives) Regulations. Compendium of Food Additives &amp; Standard 2.4.6.15 (Pulses).</w:t>
      </w:r>
    </w:p>
    <w:p>
      <w:pPr>
        <w:spacing w:before="0" w:after="60" w:line="276" w:lineRule="auto"/>
      </w:pPr>
      <w:r>
        <w:rPr>
          <w:rFonts w:ascii="Calibri" w:hAnsi="Calibri"/>
          <w:color w:val="2D3748"/>
          <w:sz w:val="17"/>
        </w:rPr>
        <w:t>4. Hincks, M. J., &amp; Stanley, D. W. (1986). Multiple mechanisms for the hard-to-cook defect in dry beans. Journal of Food Science, 51(3), 738-742.</w:t>
      </w:r>
    </w:p>
    <w:p>
      <w:pPr>
        <w:spacing w:before="0" w:after="60" w:line="276" w:lineRule="auto"/>
      </w:pPr>
      <w:r>
        <w:rPr>
          <w:rFonts w:ascii="Calibri" w:hAnsi="Calibri"/>
          <w:color w:val="2D3748"/>
          <w:sz w:val="17"/>
        </w:rPr>
        <w:t>5. Jones, P. M. B., &amp; Boulter, D. (1983). The cause of reduced cooking quality in stored cowpeas. Journal of Food Science, 48(2), 629-634.</w:t>
      </w:r>
    </w:p>
    <w:p>
      <w:pPr>
        <w:spacing w:before="0" w:after="60" w:line="276" w:lineRule="auto"/>
      </w:pPr>
      <w:r>
        <w:rPr>
          <w:rFonts w:ascii="Calibri" w:hAnsi="Calibri"/>
          <w:color w:val="2D3748"/>
          <w:sz w:val="17"/>
        </w:rPr>
        <w:t>6. Sefa-Dedeh, S., Stanley, D. W., &amp; Voisey, P. W. (1979). Effect of storage conditions on cooking quality and microstructure of cowpeas. Journal of Food Science, 44(5), 1309-1314.</w:t>
      </w:r>
    </w:p>
    <w:p>
      <w:pPr>
        <w:spacing w:before="0" w:after="60" w:line="276" w:lineRule="auto"/>
      </w:pPr>
      <w:r>
        <w:rPr>
          <w:rFonts w:ascii="Calibri" w:hAnsi="Calibri"/>
          <w:color w:val="2D3748"/>
          <w:sz w:val="17"/>
        </w:rPr>
        <w:t>7. Tiwari, B. K., Gowen, A., &amp; McKenna, B. (2011). Pulse Foods: Processing, Quality and Nutritive Value. Academic Press.</w:t>
      </w:r>
    </w:p>
    <w:p>
      <w:pPr>
        <w:keepNext/>
        <w:spacing w:before="260" w:after="60"/>
      </w:pPr>
      <w:r>
        <w:rPr>
          <w:rFonts w:ascii="Calibri" w:hAnsi="Calibri"/>
          <w:b/>
          <w:color w:val="1A365D"/>
          <w:sz w:val="23"/>
        </w:rPr>
        <w:t>Annexure E: Source SOW 36-Section Traceability &amp; Concordance Matrix</w:t>
      </w:r>
    </w:p>
    <w:p>
      <w:pPr>
        <w:spacing w:before="0" w:after="60" w:line="276" w:lineRule="auto"/>
      </w:pPr>
      <w:r>
        <w:rPr>
          <w:rFonts w:ascii="Calibri" w:hAnsi="Calibri"/>
          <w:color w:val="2D3748"/>
          <w:sz w:val="17"/>
        </w:rPr>
        <w:t>Concordance audit verifying that all 36 numbered sections from the source SOW (Phase1_Scope_of_Work_Toor_Dal.docx) are substantively preserved: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0"/>
        <w:gridCol w:w="3600"/>
        <w:gridCol w:w="4320"/>
      </w:tblGrid>
      <w:tr>
        <w:trPr>
          <w:tblHeader/>
          <w:cantSplit/>
        </w:trPr>
        <w:tc>
          <w:tcPr>
            <w:tcW w:type="dxa" w:w="3360"/>
            <w:shd w:fill="1A365D"/>
            <w:tcMar>
              <w:top w:w="100" w:type="dxa"/>
              <w:bottom w:w="100" w:type="dxa"/>
              <w:left w:w="100" w:type="dxa"/>
              <w:right w:w="100" w:type="dxa"/>
            </w:tcMar>
          </w:tcPr>
          <w:p>
            <w:pPr>
              <w:jc w:val="left"/>
            </w:pPr>
            <w:r>
              <w:t>Source Sections</w:t>
            </w:r>
          </w:p>
        </w:tc>
        <w:tc>
          <w:tcPr>
            <w:tcW w:type="dxa" w:w="3360"/>
            <w:shd w:fill="1A365D"/>
            <w:tcMar>
              <w:top w:w="100" w:type="dxa"/>
              <w:bottom w:w="100" w:type="dxa"/>
              <w:left w:w="100" w:type="dxa"/>
              <w:right w:w="100" w:type="dxa"/>
            </w:tcMar>
          </w:tcPr>
          <w:p>
            <w:pPr>
              <w:jc w:val="left"/>
            </w:pPr>
            <w:r>
              <w:t>Source Scope Domain</w:t>
            </w:r>
          </w:p>
        </w:tc>
        <w:tc>
          <w:tcPr>
            <w:tcW w:type="dxa" w:w="3360"/>
            <w:shd w:fill="1A365D"/>
            <w:tcMar>
              <w:top w:w="100" w:type="dxa"/>
              <w:bottom w:w="100" w:type="dxa"/>
              <w:left w:w="100" w:type="dxa"/>
              <w:right w:w="100" w:type="dxa"/>
            </w:tcMar>
          </w:tcPr>
          <w:p>
            <w:pPr>
              <w:jc w:val="left"/>
            </w:pPr>
            <w:r>
              <w:t>Revised Proposal Location &amp; Status</w:t>
            </w:r>
          </w:p>
        </w:tc>
      </w:tr>
      <w:tr>
        <w:trPr>
          <w:cantSplit/>
        </w:trPr>
        <w:tc>
          <w:tcPr>
            <w:tcW w:type="dxa" w:w="3360"/>
            <w:tcMar>
              <w:top w:w="65" w:type="dxa"/>
              <w:bottom w:w="65" w:type="dxa"/>
              <w:left w:w="100" w:type="dxa"/>
              <w:right w:w="100" w:type="dxa"/>
            </w:tcMar>
          </w:tcPr>
          <w:p>
            <w:r>
              <w:rPr>
                <w:rFonts w:ascii="Calibri" w:hAnsi="Calibri"/>
                <w:b/>
                <w:color w:val="2D3748"/>
                <w:sz w:val="15"/>
              </w:rPr>
              <w:t>Sections 1–3</w:t>
            </w:r>
          </w:p>
        </w:tc>
        <w:tc>
          <w:tcPr>
            <w:tcW w:type="dxa" w:w="3360"/>
            <w:tcMar>
              <w:top w:w="65" w:type="dxa"/>
              <w:bottom w:w="65" w:type="dxa"/>
              <w:left w:w="100" w:type="dxa"/>
              <w:right w:w="100" w:type="dxa"/>
            </w:tcMar>
          </w:tcPr>
          <w:p>
            <w:r>
              <w:rPr>
                <w:rFonts w:ascii="Calibri" w:hAnsi="Calibri"/>
                <w:color w:val="2D3748"/>
                <w:sz w:val="15"/>
              </w:rPr>
              <w:t>Background, Objectives, Samples</w:t>
            </w:r>
          </w:p>
        </w:tc>
        <w:tc>
          <w:tcPr>
            <w:tcW w:type="dxa" w:w="3360"/>
            <w:tcMar>
              <w:top w:w="65" w:type="dxa"/>
              <w:bottom w:w="65" w:type="dxa"/>
              <w:left w:w="100" w:type="dxa"/>
              <w:right w:w="100" w:type="dxa"/>
            </w:tcMar>
          </w:tcPr>
          <w:p>
            <w:r>
              <w:rPr>
                <w:rFonts w:ascii="Calibri" w:hAnsi="Calibri"/>
                <w:color w:val="2D3748"/>
                <w:sz w:val="15"/>
              </w:rPr>
              <w:t>Sections 1, 2, 3, 7 (Preserved 100%; whistle context qualified)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4–7</w:t>
            </w:r>
          </w:p>
        </w:tc>
        <w:tc>
          <w:tcPr>
            <w:tcW w:type="dxa" w:w="3360"/>
            <w:shd w:fill="F7FAFC"/>
            <w:tcMar>
              <w:top w:w="65" w:type="dxa"/>
              <w:bottom w:w="65" w:type="dxa"/>
              <w:left w:w="100" w:type="dxa"/>
              <w:right w:w="100" w:type="dxa"/>
            </w:tcMar>
          </w:tcPr>
          <w:p>
            <w:r>
              <w:rPr>
                <w:rFonts w:ascii="Calibri" w:hAnsi="Calibri"/>
                <w:color w:val="2D3748"/>
                <w:sz w:val="15"/>
              </w:rPr>
              <w:t>Approach, Physical, Proximate, Starch</w:t>
            </w:r>
          </w:p>
        </w:tc>
        <w:tc>
          <w:tcPr>
            <w:tcW w:type="dxa" w:w="3360"/>
            <w:shd w:fill="F7FAFC"/>
            <w:tcMar>
              <w:top w:w="65" w:type="dxa"/>
              <w:bottom w:w="65" w:type="dxa"/>
              <w:left w:w="100" w:type="dxa"/>
              <w:right w:w="100" w:type="dxa"/>
            </w:tcMar>
          </w:tcPr>
          <w:p>
            <w:r>
              <w:rPr>
                <w:rFonts w:ascii="Calibri" w:hAnsi="Calibri"/>
                <w:color w:val="2D3748"/>
                <w:sz w:val="15"/>
              </w:rPr>
              <w:t>Sections 5, 8 (WP-01, WP-02, WP-03 incorporated)</w:t>
            </w:r>
          </w:p>
        </w:tc>
      </w:tr>
      <w:tr>
        <w:trPr>
          <w:cantSplit/>
        </w:trPr>
        <w:tc>
          <w:tcPr>
            <w:tcW w:type="dxa" w:w="3360"/>
            <w:tcMar>
              <w:top w:w="65" w:type="dxa"/>
              <w:bottom w:w="65" w:type="dxa"/>
              <w:left w:w="100" w:type="dxa"/>
              <w:right w:w="100" w:type="dxa"/>
            </w:tcMar>
          </w:tcPr>
          <w:p>
            <w:r>
              <w:rPr>
                <w:rFonts w:ascii="Calibri" w:hAnsi="Calibri"/>
                <w:b/>
                <w:color w:val="2D3748"/>
                <w:sz w:val="15"/>
              </w:rPr>
              <w:t>Sections 8–11</w:t>
            </w:r>
          </w:p>
        </w:tc>
        <w:tc>
          <w:tcPr>
            <w:tcW w:type="dxa" w:w="3360"/>
            <w:tcMar>
              <w:top w:w="65" w:type="dxa"/>
              <w:bottom w:w="65" w:type="dxa"/>
              <w:left w:w="100" w:type="dxa"/>
              <w:right w:w="100" w:type="dxa"/>
            </w:tcMar>
          </w:tcPr>
          <w:p>
            <w:r>
              <w:rPr>
                <w:rFonts w:ascii="Calibri" w:hAnsi="Calibri"/>
                <w:color w:val="2D3748"/>
                <w:sz w:val="15"/>
              </w:rPr>
              <w:t>Hydration, Structure, Pectin, Minerals</w:t>
            </w:r>
          </w:p>
        </w:tc>
        <w:tc>
          <w:tcPr>
            <w:tcW w:type="dxa" w:w="3360"/>
            <w:tcMar>
              <w:top w:w="65" w:type="dxa"/>
              <w:bottom w:w="65" w:type="dxa"/>
              <w:left w:w="100" w:type="dxa"/>
              <w:right w:w="100" w:type="dxa"/>
            </w:tcMar>
          </w:tcPr>
          <w:p>
            <w:r>
              <w:rPr>
                <w:rFonts w:ascii="Calibri" w:hAnsi="Calibri"/>
                <w:color w:val="2D3748"/>
                <w:sz w:val="15"/>
              </w:rPr>
              <w:t>Sections 8 (WP-04, WP-05, WP-06, WP-07 incorporated)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12–15</w:t>
            </w:r>
          </w:p>
        </w:tc>
        <w:tc>
          <w:tcPr>
            <w:tcW w:type="dxa" w:w="3360"/>
            <w:shd w:fill="F7FAFC"/>
            <w:tcMar>
              <w:top w:w="65" w:type="dxa"/>
              <w:bottom w:w="65" w:type="dxa"/>
              <w:left w:w="100" w:type="dxa"/>
              <w:right w:w="100" w:type="dxa"/>
            </w:tcMar>
          </w:tcPr>
          <w:p>
            <w:r>
              <w:rPr>
                <w:rFonts w:ascii="Calibri" w:hAnsi="Calibri"/>
                <w:color w:val="2D3748"/>
                <w:sz w:val="15"/>
              </w:rPr>
              <w:t>Texture, Standardized Cooking Design</w:t>
            </w:r>
          </w:p>
        </w:tc>
        <w:tc>
          <w:tcPr>
            <w:tcW w:type="dxa" w:w="3360"/>
            <w:shd w:fill="F7FAFC"/>
            <w:tcMar>
              <w:top w:w="65" w:type="dxa"/>
              <w:bottom w:w="65" w:type="dxa"/>
              <w:left w:w="100" w:type="dxa"/>
              <w:right w:w="100" w:type="dxa"/>
            </w:tcMar>
          </w:tcPr>
          <w:p>
            <w:r>
              <w:rPr>
                <w:rFonts w:ascii="Calibri" w:hAnsi="Calibri"/>
                <w:color w:val="2D3748"/>
                <w:sz w:val="15"/>
              </w:rPr>
              <w:t>Sections 8, 9 (WP-08, WP-09, instrumented endpoint defined)</w:t>
            </w:r>
          </w:p>
        </w:tc>
      </w:tr>
      <w:tr>
        <w:trPr>
          <w:cantSplit/>
        </w:trPr>
        <w:tc>
          <w:tcPr>
            <w:tcW w:type="dxa" w:w="3360"/>
            <w:tcMar>
              <w:top w:w="65" w:type="dxa"/>
              <w:bottom w:w="65" w:type="dxa"/>
              <w:left w:w="100" w:type="dxa"/>
              <w:right w:w="100" w:type="dxa"/>
            </w:tcMar>
          </w:tcPr>
          <w:p>
            <w:r>
              <w:rPr>
                <w:rFonts w:ascii="Calibri" w:hAnsi="Calibri"/>
                <w:b/>
                <w:color w:val="2D3748"/>
                <w:sz w:val="15"/>
              </w:rPr>
              <w:t>Sections 16–18</w:t>
            </w:r>
          </w:p>
        </w:tc>
        <w:tc>
          <w:tcPr>
            <w:tcW w:type="dxa" w:w="3360"/>
            <w:tcMar>
              <w:top w:w="65" w:type="dxa"/>
              <w:bottom w:w="65" w:type="dxa"/>
              <w:left w:w="100" w:type="dxa"/>
              <w:right w:w="100" w:type="dxa"/>
            </w:tcMar>
          </w:tcPr>
          <w:p>
            <w:r>
              <w:rPr>
                <w:rFonts w:ascii="Calibri" w:hAnsi="Calibri"/>
                <w:color w:val="2D3748"/>
                <w:sz w:val="15"/>
              </w:rPr>
              <w:t>Root-Cause Pathway &amp; Phase 2 Tech</w:t>
            </w:r>
          </w:p>
        </w:tc>
        <w:tc>
          <w:tcPr>
            <w:tcW w:type="dxa" w:w="3360"/>
            <w:tcMar>
              <w:top w:w="65" w:type="dxa"/>
              <w:bottom w:w="65" w:type="dxa"/>
              <w:left w:w="100" w:type="dxa"/>
              <w:right w:w="100" w:type="dxa"/>
            </w:tcMar>
          </w:tcPr>
          <w:p>
            <w:r>
              <w:rPr>
                <w:rFonts w:ascii="Calibri" w:hAnsi="Calibri"/>
                <w:color w:val="2D3748"/>
                <w:sz w:val="15"/>
              </w:rPr>
              <w:t>Sections 6, 10 (10-hypothesis register, distinct reagents)</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19–20</w:t>
            </w:r>
          </w:p>
        </w:tc>
        <w:tc>
          <w:tcPr>
            <w:tcW w:type="dxa" w:w="3360"/>
            <w:shd w:fill="F7FAFC"/>
            <w:tcMar>
              <w:top w:w="65" w:type="dxa"/>
              <w:bottom w:w="65" w:type="dxa"/>
              <w:left w:w="100" w:type="dxa"/>
              <w:right w:w="100" w:type="dxa"/>
            </w:tcMar>
          </w:tcPr>
          <w:p>
            <w:r>
              <w:rPr>
                <w:rFonts w:ascii="Calibri" w:hAnsi="Calibri"/>
                <w:color w:val="2D3748"/>
                <w:sz w:val="15"/>
              </w:rPr>
              <w:t>QC, Statistics, Integrated Analysis</w:t>
            </w:r>
          </w:p>
        </w:tc>
        <w:tc>
          <w:tcPr>
            <w:tcW w:type="dxa" w:w="3360"/>
            <w:shd w:fill="F7FAFC"/>
            <w:tcMar>
              <w:top w:w="65" w:type="dxa"/>
              <w:bottom w:w="65" w:type="dxa"/>
              <w:left w:w="100" w:type="dxa"/>
              <w:right w:w="100" w:type="dxa"/>
            </w:tcMar>
          </w:tcPr>
          <w:p>
            <w:r>
              <w:rPr>
                <w:rFonts w:ascii="Calibri" w:hAnsi="Calibri"/>
                <w:color w:val="2D3748"/>
                <w:sz w:val="15"/>
              </w:rPr>
              <w:t>Sections 8, 9 (Replication hierarchy, Welch's t-test, ANOVA)</w:t>
            </w:r>
          </w:p>
        </w:tc>
      </w:tr>
      <w:tr>
        <w:trPr>
          <w:cantSplit/>
        </w:trPr>
        <w:tc>
          <w:tcPr>
            <w:tcW w:type="dxa" w:w="3360"/>
            <w:tcMar>
              <w:top w:w="65" w:type="dxa"/>
              <w:bottom w:w="65" w:type="dxa"/>
              <w:left w:w="100" w:type="dxa"/>
              <w:right w:w="100" w:type="dxa"/>
            </w:tcMar>
          </w:tcPr>
          <w:p>
            <w:r>
              <w:rPr>
                <w:rFonts w:ascii="Calibri" w:hAnsi="Calibri"/>
                <w:b/>
                <w:color w:val="2D3748"/>
                <w:sz w:val="15"/>
              </w:rPr>
              <w:t>Sections 21–23</w:t>
            </w:r>
          </w:p>
        </w:tc>
        <w:tc>
          <w:tcPr>
            <w:tcW w:type="dxa" w:w="3360"/>
            <w:tcMar>
              <w:top w:w="65" w:type="dxa"/>
              <w:bottom w:w="65" w:type="dxa"/>
              <w:left w:w="100" w:type="dxa"/>
              <w:right w:w="100" w:type="dxa"/>
            </w:tcMar>
          </w:tcPr>
          <w:p>
            <w:r>
              <w:rPr>
                <w:rFonts w:ascii="Calibri" w:hAnsi="Calibri"/>
                <w:color w:val="2D3748"/>
                <w:sz w:val="15"/>
              </w:rPr>
              <w:t>Deliverables, Report Outline, Labs</w:t>
            </w:r>
          </w:p>
        </w:tc>
        <w:tc>
          <w:tcPr>
            <w:tcW w:type="dxa" w:w="3360"/>
            <w:tcMar>
              <w:top w:w="65" w:type="dxa"/>
              <w:bottom w:w="65" w:type="dxa"/>
              <w:left w:w="100" w:type="dxa"/>
              <w:right w:w="100" w:type="dxa"/>
            </w:tcMar>
          </w:tcPr>
          <w:p>
            <w:r>
              <w:rPr>
                <w:rFonts w:ascii="Calibri" w:hAnsi="Calibri"/>
                <w:color w:val="2D3748"/>
                <w:sz w:val="15"/>
              </w:rPr>
              <w:t>Section 12, Annexure A (All 14 deliverables mapped)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24–29</w:t>
            </w:r>
          </w:p>
        </w:tc>
        <w:tc>
          <w:tcPr>
            <w:tcW w:type="dxa" w:w="3360"/>
            <w:shd w:fill="F7FAFC"/>
            <w:tcMar>
              <w:top w:w="65" w:type="dxa"/>
              <w:bottom w:w="65" w:type="dxa"/>
              <w:left w:w="100" w:type="dxa"/>
              <w:right w:w="100" w:type="dxa"/>
            </w:tcMar>
          </w:tcPr>
          <w:p>
            <w:r>
              <w:rPr>
                <w:rFonts w:ascii="Calibri" w:hAnsi="Calibri"/>
                <w:color w:val="2D3748"/>
                <w:sz w:val="15"/>
              </w:rPr>
              <w:t>Fees, Ceiling, Timeline, Payments</w:t>
            </w:r>
          </w:p>
        </w:tc>
        <w:tc>
          <w:tcPr>
            <w:tcW w:type="dxa" w:w="3360"/>
            <w:shd w:fill="F7FAFC"/>
            <w:tcMar>
              <w:top w:w="65" w:type="dxa"/>
              <w:bottom w:w="65" w:type="dxa"/>
              <w:left w:w="100" w:type="dxa"/>
              <w:right w:w="100" w:type="dxa"/>
            </w:tcMar>
          </w:tcPr>
          <w:p>
            <w:r>
              <w:rPr>
                <w:rFonts w:ascii="Calibri" w:hAnsi="Calibri"/>
                <w:color w:val="2D3748"/>
                <w:sz w:val="15"/>
              </w:rPr>
              <w:t>Sections 13, 14 (₹1,73,000 line items, ₹2L ceiling, 40/40/20%)</w:t>
            </w:r>
          </w:p>
        </w:tc>
      </w:tr>
      <w:tr>
        <w:trPr>
          <w:cantSplit/>
        </w:trPr>
        <w:tc>
          <w:tcPr>
            <w:tcW w:type="dxa" w:w="3360"/>
            <w:tcMar>
              <w:top w:w="65" w:type="dxa"/>
              <w:bottom w:w="65" w:type="dxa"/>
              <w:left w:w="100" w:type="dxa"/>
              <w:right w:w="100" w:type="dxa"/>
            </w:tcMar>
          </w:tcPr>
          <w:p>
            <w:r>
              <w:rPr>
                <w:rFonts w:ascii="Calibri" w:hAnsi="Calibri"/>
                <w:b/>
                <w:color w:val="2D3748"/>
                <w:sz w:val="15"/>
              </w:rPr>
              <w:t>Sections 30–36</w:t>
            </w:r>
          </w:p>
        </w:tc>
        <w:tc>
          <w:tcPr>
            <w:tcW w:type="dxa" w:w="3360"/>
            <w:tcMar>
              <w:top w:w="65" w:type="dxa"/>
              <w:bottom w:w="65" w:type="dxa"/>
              <w:left w:w="100" w:type="dxa"/>
              <w:right w:w="100" w:type="dxa"/>
            </w:tcMar>
          </w:tcPr>
          <w:p>
            <w:r>
              <w:rPr>
                <w:rFonts w:ascii="Calibri" w:hAnsi="Calibri"/>
                <w:color w:val="2D3748"/>
                <w:sz w:val="15"/>
              </w:rPr>
              <w:t>Retention, NDA, Limits, Contacts</w:t>
            </w:r>
          </w:p>
        </w:tc>
        <w:tc>
          <w:tcPr>
            <w:tcW w:type="dxa" w:w="3360"/>
            <w:tcMar>
              <w:top w:w="65" w:type="dxa"/>
              <w:bottom w:w="65" w:type="dxa"/>
              <w:left w:w="100" w:type="dxa"/>
              <w:right w:w="100" w:type="dxa"/>
            </w:tcMar>
          </w:tcPr>
          <w:p>
            <w:r>
              <w:rPr>
                <w:rFonts w:ascii="Calibri" w:hAnsi="Calibri"/>
                <w:color w:val="2D3748"/>
                <w:sz w:val="15"/>
              </w:rPr>
              <w:t>Sections 4, 15, 16, 18 (Client data ownership, Harakutir contact)</w:t>
            </w:r>
          </w:p>
        </w:tc>
      </w:tr>
    </w:tbl>
    <w:p>
      <w:pPr>
        <w:spacing w:before="0" w:after="60" w:line="276" w:lineRule="auto"/>
      </w:pPr>
      <w:r>
        <w:rPr>
          <w:rFonts w:ascii="Calibri" w:hAnsi="Calibri"/>
          <w:color w:val="2D3748"/>
          <w:sz w:val="17"/>
        </w:rPr>
        <w:t>Concordance Summary: 36 of 36 sections mapped with zero substantive omission. All scope boundaries strictly protected.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6"/>
      </w:rPr>
      <w:t>CONFIDENTIAL  —  PREPARED FOR HARAKUTIR (KOLKATA)  |  REF: FNQ-PR-2026-001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718096"/>
        <w:sz w:val="16"/>
      </w:rPr>
      <w:t>FINNOAQ AGRO-INDUSTRIAL TECHNOLOGIES  |  TECHNICAL &amp; COMMERCIAL PROPOSAL  |  REV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