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2B6CB0"/>
          <w:sz w:val="22"/>
        </w:rPr>
        <w:t>FINNOAQ AGRO-INDUSTRIAL TECHNOLOGIES LTD.</w:t>
        <w:br/>
      </w:r>
      <w:r>
        <w:rPr>
          <w:rFonts w:ascii="Calibri" w:hAnsi="Calibri"/>
          <w:b/>
          <w:color w:val="1A365D"/>
          <w:sz w:val="32"/>
        </w:rPr>
        <w:t>PHASE 1 SCOPE OF WORK &amp; TECHNICAL-COMMERCIAL PROPOSAL</w:t>
        <w:br/>
      </w:r>
      <w:r>
        <w:rPr>
          <w:rFonts w:ascii="Calibri" w:hAnsi="Calibri"/>
          <w:color w:val="2D3748"/>
          <w:sz w:val="22"/>
        </w:rPr>
        <w:t>Comparative Diagnostic R&amp;D Study of Tanzanian Imported Split Toor Dal vs. Indian Benchmark Toor Dal</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312"/>
        <w:gridCol w:w="6768"/>
      </w:tblGrid>
      <w:tr>
        <w:trPr>
          <w:cantSplit/>
        </w:trPr>
        <w:tc>
          <w:tcPr>
            <w:tcW w:type="dxa" w:w="5040"/>
            <w:tcMar>
              <w:top w:w="65" w:type="dxa"/>
              <w:bottom w:w="65" w:type="dxa"/>
              <w:left w:w="100" w:type="dxa"/>
              <w:right w:w="100" w:type="dxa"/>
            </w:tcMar>
          </w:tcPr>
          <w:p>
            <w:r>
              <w:rPr>
                <w:rFonts w:ascii="Calibri" w:hAnsi="Calibri"/>
                <w:b/>
                <w:color w:val="2D3748"/>
                <w:sz w:val="16"/>
              </w:rPr>
              <w:t>Project Reference &amp; Document Ref:</w:t>
            </w:r>
          </w:p>
        </w:tc>
        <w:tc>
          <w:tcPr>
            <w:tcW w:type="dxa" w:w="5040"/>
            <w:tcMar>
              <w:top w:w="65" w:type="dxa"/>
              <w:bottom w:w="65" w:type="dxa"/>
              <w:left w:w="100" w:type="dxa"/>
              <w:right w:w="100" w:type="dxa"/>
            </w:tcMar>
          </w:tcPr>
          <w:p>
            <w:r>
              <w:rPr>
                <w:rFonts w:ascii="Calibri" w:hAnsi="Calibri"/>
                <w:color w:val="2D3748"/>
                <w:sz w:val="16"/>
              </w:rPr>
              <w:t>FNQ-PR-2026-001 | SOW Rev V10 (Evidence-Gated Baseline)</w:t>
            </w:r>
          </w:p>
        </w:tc>
      </w:tr>
      <w:tr>
        <w:trPr>
          <w:cantSplit/>
        </w:trPr>
        <w:tc>
          <w:tcPr>
            <w:tcW w:type="dxa" w:w="5040"/>
            <w:shd w:fill="F7FAFC"/>
            <w:tcMar>
              <w:top w:w="65" w:type="dxa"/>
              <w:bottom w:w="65" w:type="dxa"/>
              <w:left w:w="100" w:type="dxa"/>
              <w:right w:w="100" w:type="dxa"/>
            </w:tcMar>
          </w:tcPr>
          <w:p>
            <w:r>
              <w:rPr>
                <w:rFonts w:ascii="Calibri" w:hAnsi="Calibri"/>
                <w:b/>
                <w:color w:val="2D3748"/>
                <w:sz w:val="16"/>
              </w:rPr>
              <w:t>Client Entity &amp; Principal:</w:t>
            </w:r>
          </w:p>
        </w:tc>
        <w:tc>
          <w:tcPr>
            <w:tcW w:type="dxa" w:w="5040"/>
            <w:shd w:fill="F7FAFC"/>
            <w:tcMar>
              <w:top w:w="65" w:type="dxa"/>
              <w:bottom w:w="65" w:type="dxa"/>
              <w:left w:w="100" w:type="dxa"/>
              <w:right w:w="100" w:type="dxa"/>
            </w:tcMar>
          </w:tcPr>
          <w:p>
            <w:r>
              <w:rPr>
                <w:rFonts w:ascii="Calibri" w:hAnsi="Calibri"/>
                <w:color w:val="2D3748"/>
                <w:sz w:val="16"/>
              </w:rPr>
              <w:t>Technical Advisory Panel (Kolkata – 700006, West Bengal, India)</w:t>
            </w:r>
          </w:p>
        </w:tc>
      </w:tr>
      <w:tr>
        <w:trPr>
          <w:cantSplit/>
        </w:trPr>
        <w:tc>
          <w:tcPr>
            <w:tcW w:type="dxa" w:w="5040"/>
            <w:tcMar>
              <w:top w:w="65" w:type="dxa"/>
              <w:bottom w:w="65" w:type="dxa"/>
              <w:left w:w="100" w:type="dxa"/>
              <w:right w:w="100" w:type="dxa"/>
            </w:tcMar>
          </w:tcPr>
          <w:p>
            <w:r>
              <w:rPr>
                <w:rFonts w:ascii="Calibri" w:hAnsi="Calibri"/>
                <w:b/>
                <w:color w:val="2D3748"/>
                <w:sz w:val="16"/>
              </w:rPr>
              <w:t>Client Contact &amp; Designation:</w:t>
            </w:r>
          </w:p>
        </w:tc>
        <w:tc>
          <w:tcPr>
            <w:tcW w:type="dxa" w:w="5040"/>
            <w:tcMar>
              <w:top w:w="65" w:type="dxa"/>
              <w:bottom w:w="65" w:type="dxa"/>
              <w:left w:w="100" w:type="dxa"/>
              <w:right w:w="100" w:type="dxa"/>
            </w:tcMar>
          </w:tcPr>
          <w:p>
            <w:r>
              <w:rPr>
                <w:rFonts w:ascii="Calibri" w:hAnsi="Calibri"/>
                <w:color w:val="2D3748"/>
                <w:sz w:val="16"/>
              </w:rPr>
              <w:t>Technical Advisory Panel, CEO &amp; Director</w:t>
            </w:r>
          </w:p>
        </w:tc>
      </w:tr>
      <w:tr>
        <w:trPr>
          <w:cantSplit/>
        </w:trPr>
        <w:tc>
          <w:tcPr>
            <w:tcW w:type="dxa" w:w="5040"/>
            <w:shd w:fill="F7FAFC"/>
            <w:tcMar>
              <w:top w:w="65" w:type="dxa"/>
              <w:bottom w:w="65" w:type="dxa"/>
              <w:left w:w="100" w:type="dxa"/>
              <w:right w:w="100" w:type="dxa"/>
            </w:tcMar>
          </w:tcPr>
          <w:p>
            <w:r>
              <w:rPr>
                <w:rFonts w:ascii="Calibri" w:hAnsi="Calibri"/>
                <w:b/>
                <w:color w:val="2D3748"/>
                <w:sz w:val="16"/>
              </w:rPr>
              <w:t>Executing R&amp;D Contractor:</w:t>
            </w:r>
          </w:p>
        </w:tc>
        <w:tc>
          <w:tcPr>
            <w:tcW w:type="dxa" w:w="5040"/>
            <w:shd w:fill="F7FAFC"/>
            <w:tcMar>
              <w:top w:w="65" w:type="dxa"/>
              <w:bottom w:w="65" w:type="dxa"/>
              <w:left w:w="100" w:type="dxa"/>
              <w:right w:w="100" w:type="dxa"/>
            </w:tcMar>
          </w:tcPr>
          <w:p>
            <w:r>
              <w:rPr>
                <w:rFonts w:ascii="Calibri" w:hAnsi="Calibri"/>
                <w:color w:val="2D3748"/>
                <w:sz w:val="16"/>
              </w:rPr>
              <w:t>FinnoaQ Agro-Industrial Technologies Ltd.</w:t>
            </w:r>
          </w:p>
        </w:tc>
      </w:tr>
      <w:tr>
        <w:trPr>
          <w:cantSplit/>
        </w:trPr>
        <w:tc>
          <w:tcPr>
            <w:tcW w:type="dxa" w:w="5040"/>
            <w:tcMar>
              <w:top w:w="65" w:type="dxa"/>
              <w:bottom w:w="65" w:type="dxa"/>
              <w:left w:w="100" w:type="dxa"/>
              <w:right w:w="100" w:type="dxa"/>
            </w:tcMar>
          </w:tcPr>
          <w:p>
            <w:r>
              <w:rPr>
                <w:rFonts w:ascii="Calibri" w:hAnsi="Calibri"/>
                <w:b/>
                <w:color w:val="2D3748"/>
                <w:sz w:val="16"/>
              </w:rPr>
              <w:t>Lead Chemical &amp; Process Engineer:</w:t>
            </w:r>
          </w:p>
        </w:tc>
        <w:tc>
          <w:tcPr>
            <w:tcW w:type="dxa" w:w="5040"/>
            <w:tcMar>
              <w:top w:w="65" w:type="dxa"/>
              <w:bottom w:w="65" w:type="dxa"/>
              <w:left w:w="100" w:type="dxa"/>
              <w:right w:w="100" w:type="dxa"/>
            </w:tcMar>
          </w:tcPr>
          <w:p>
            <w:r>
              <w:rPr>
                <w:rFonts w:ascii="Calibri" w:hAnsi="Calibri"/>
                <w:color w:val="2D3748"/>
                <w:sz w:val="16"/>
              </w:rPr>
              <w:t>Sourish Senapati (Lead Process Engineer, FinnoaQ)</w:t>
            </w:r>
          </w:p>
        </w:tc>
      </w:tr>
      <w:tr>
        <w:trPr>
          <w:cantSplit/>
        </w:trPr>
        <w:tc>
          <w:tcPr>
            <w:tcW w:type="dxa" w:w="5040"/>
            <w:shd w:fill="F7FAFC"/>
            <w:tcMar>
              <w:top w:w="65" w:type="dxa"/>
              <w:bottom w:w="65" w:type="dxa"/>
              <w:left w:w="100" w:type="dxa"/>
              <w:right w:w="100" w:type="dxa"/>
            </w:tcMar>
          </w:tcPr>
          <w:p>
            <w:r>
              <w:rPr>
                <w:rFonts w:ascii="Calibri" w:hAnsi="Calibri"/>
                <w:b/>
                <w:color w:val="2D3748"/>
                <w:sz w:val="16"/>
              </w:rPr>
              <w:t>Research Advisory &amp; Oversight:</w:t>
            </w:r>
          </w:p>
        </w:tc>
        <w:tc>
          <w:tcPr>
            <w:tcW w:type="dxa" w:w="5040"/>
            <w:shd w:fill="F7FAFC"/>
            <w:tcMar>
              <w:top w:w="65" w:type="dxa"/>
              <w:bottom w:w="65" w:type="dxa"/>
              <w:left w:w="100" w:type="dxa"/>
              <w:right w:w="100" w:type="dxa"/>
            </w:tcMar>
          </w:tcPr>
          <w:p>
            <w:r>
              <w:rPr>
                <w:rFonts w:ascii="Calibri" w:hAnsi="Calibri"/>
                <w:color w:val="2D3748"/>
                <w:sz w:val="16"/>
              </w:rPr>
              <w:t>Technical Advisory Panel &amp; FinnoaQ Process Engineering Board</w:t>
            </w:r>
          </w:p>
        </w:tc>
      </w:tr>
      <w:tr>
        <w:trPr>
          <w:cantSplit/>
        </w:trPr>
        <w:tc>
          <w:tcPr>
            <w:tcW w:type="dxa" w:w="5040"/>
            <w:tcMar>
              <w:top w:w="65" w:type="dxa"/>
              <w:bottom w:w="65" w:type="dxa"/>
              <w:left w:w="100" w:type="dxa"/>
              <w:right w:w="100" w:type="dxa"/>
            </w:tcMar>
          </w:tcPr>
          <w:p>
            <w:r>
              <w:rPr>
                <w:rFonts w:ascii="Calibri" w:hAnsi="Calibri"/>
                <w:b/>
                <w:color w:val="2D3748"/>
                <w:sz w:val="16"/>
              </w:rPr>
              <w:t>Issue Date &amp; Commercial Status:</w:t>
            </w:r>
          </w:p>
        </w:tc>
        <w:tc>
          <w:tcPr>
            <w:tcW w:type="dxa" w:w="5040"/>
            <w:tcMar>
              <w:top w:w="65" w:type="dxa"/>
              <w:bottom w:w="65" w:type="dxa"/>
              <w:left w:w="100" w:type="dxa"/>
              <w:right w:w="100" w:type="dxa"/>
            </w:tcMar>
          </w:tcPr>
          <w:p>
            <w:r>
              <w:rPr>
                <w:rFonts w:ascii="Calibri" w:hAnsi="Calibri"/>
                <w:color w:val="2D3748"/>
                <w:sz w:val="16"/>
              </w:rPr>
              <w:t>20 October 2026 | Rectified Technical Proposal Issued for Client Commissioning</w:t>
            </w:r>
          </w:p>
        </w:tc>
      </w:tr>
    </w:tbl>
    <w:p>
      <w:pPr>
        <w:spacing w:before="0" w:after="80" w:line="276" w:lineRule="auto"/>
      </w:pPr>
      <w:r>
        <w:rPr>
          <w:rFonts w:ascii="Calibri" w:hAnsi="Calibri"/>
          <w:color w:val="2D3748"/>
          <w:sz w:val="17"/>
        </w:rPr>
      </w:r>
    </w:p>
    <w:p>
      <w:pPr>
        <w:keepNext/>
        <w:spacing w:before="260" w:after="60"/>
      </w:pPr>
      <w:r>
        <w:rPr>
          <w:rFonts w:ascii="Calibri" w:hAnsi="Calibri"/>
          <w:b/>
          <w:color w:val="1A365D"/>
          <w:sz w:val="23"/>
        </w:rPr>
        <w:t>1. Executive Decision Summary</w:t>
      </w:r>
    </w:p>
    <w:p>
      <w:pPr>
        <w:spacing w:before="0" w:after="60" w:line="276" w:lineRule="auto"/>
      </w:pPr>
      <w:r>
        <w:rPr>
          <w:rFonts w:ascii="Calibri" w:hAnsi="Calibri"/>
          <w:color w:val="2D3748"/>
          <w:sz w:val="17"/>
        </w:rPr>
        <w:t>This technical-commercial proposal is submitted by FinnoaQ Agro-Industrial Technologies Ltd. ('FinnoaQ') to the Client to initiate a structured, evidence-gated Phase 1 Comparative Diagnostic R&amp;D Study. The investigation addresses the commercial challenge of imported Tanzanian split pigeon pea (Cajanus cajan L. Millsp., 'toor dal'), which reportedly exhibits substantial cooking latency compared to domestic Indian benchmark dal under household preparation conditions.</w:t>
      </w:r>
    </w:p>
    <w:p>
      <w:pPr>
        <w:spacing w:before="0" w:after="60" w:line="276" w:lineRule="auto"/>
      </w:pPr>
      <w:r>
        <w:rPr>
          <w:rFonts w:ascii="Calibri" w:hAnsi="Calibri"/>
          <w:color w:val="2D3748"/>
          <w:sz w:val="17"/>
        </w:rPr>
        <w:t>Crucial Diagnostic Foundation (Client Feedback A): In prior technical drafts, pectin de-esterification and divalent cation crosslinking were emphasized as modeled mechanisms. In this rectified Rev V10 baseline, pectin-mineral interactions are rigorously repositioned as one hypothesis (Hypothesis H3) among ten competing physical, physiological, genetic, and processing hypotheses. The primary objective of Phase 1 is not to assume an answer or commercialize an unverified chemical recipe, but to conduct an objective diagnostic investigation designed to systematically discriminate between competing hypotheses on the client's actual grain lot.</w:t>
      </w:r>
    </w:p>
    <w:p>
      <w:pPr>
        <w:spacing w:before="0" w:after="60" w:line="276" w:lineRule="auto"/>
      </w:pPr>
      <w:r>
        <w:rPr>
          <w:rFonts w:ascii="Calibri" w:hAnsi="Calibri"/>
          <w:color w:val="2D3748"/>
          <w:sz w:val="17"/>
        </w:rPr>
        <w:t>Independent Mass Balance Audit (Client Feedback B): The downstream 15,000 kg/day processing concept has been independently audited from first principles. For an incoming feed of 15,000.000 kg/day at 10.5% wet-basis moisture (13,425.000 kg/day dry solids), solids losses are rigorously reconciled between the audited 184.000 kg/day (1.3706%) baseline and the alternate 196.005 kg/day (1.46%) assumption. Furthermore, the pre-dryer moisture discrepancy—between 28.000% wet-basis (3,678.056 kg/day evaporation) and 28.7735% wet-basis implied by the 18,590 kg/day stream (3,877.778 kg/day evaporation)—is quantified as a delta of 199.722 kg/day water (+5.43% thermal drying duty) and explicitly designated as UNRESOLVED EMPIRICALLY pending physical screen drainage measurements.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312"/>
        <w:gridCol w:w="6768"/>
      </w:tblGrid>
      <w:tr>
        <w:trPr>
          <w:cantSplit/>
        </w:trPr>
        <w:tc>
          <w:tcPr>
            <w:tcW w:type="dxa" w:w="5040"/>
            <w:tcMar>
              <w:top w:w="65" w:type="dxa"/>
              <w:bottom w:w="65" w:type="dxa"/>
              <w:left w:w="100" w:type="dxa"/>
              <w:right w:w="100" w:type="dxa"/>
            </w:tcMar>
          </w:tcPr>
          <w:p>
            <w:r>
              <w:rPr>
                <w:rFonts w:ascii="Calibri" w:hAnsi="Calibri"/>
                <w:b/>
                <w:color w:val="2D3748"/>
                <w:sz w:val="16"/>
              </w:rPr>
              <w:t>Core Research Problem</w:t>
            </w:r>
          </w:p>
        </w:tc>
        <w:tc>
          <w:tcPr>
            <w:tcW w:type="dxa" w:w="5040"/>
            <w:tcMar>
              <w:top w:w="65" w:type="dxa"/>
              <w:bottom w:w="65" w:type="dxa"/>
              <w:left w:w="100" w:type="dxa"/>
              <w:right w:w="100" w:type="dxa"/>
            </w:tcMar>
          </w:tcPr>
          <w:p>
            <w:r>
              <w:rPr>
                <w:rFonts w:ascii="Calibri" w:hAnsi="Calibri"/>
                <w:color w:val="2D3748"/>
                <w:sz w:val="16"/>
              </w:rPr>
              <w:t>Tanzanian imported toor dal exhibits prolonged cooking delay (~6-8 household whistles vs ~3 whistles for Indian benchmark).</w:t>
            </w:r>
          </w:p>
        </w:tc>
      </w:tr>
      <w:tr>
        <w:trPr>
          <w:cantSplit/>
        </w:trPr>
        <w:tc>
          <w:tcPr>
            <w:tcW w:type="dxa" w:w="5040"/>
            <w:shd w:fill="F7FAFC"/>
            <w:tcMar>
              <w:top w:w="65" w:type="dxa"/>
              <w:bottom w:w="65" w:type="dxa"/>
              <w:left w:w="100" w:type="dxa"/>
              <w:right w:w="100" w:type="dxa"/>
            </w:tcMar>
          </w:tcPr>
          <w:p>
            <w:r>
              <w:rPr>
                <w:rFonts w:ascii="Calibri" w:hAnsi="Calibri"/>
                <w:b/>
                <w:color w:val="2D3748"/>
                <w:sz w:val="16"/>
              </w:rPr>
              <w:t>Phase 1 Scientific Objective</w:t>
            </w:r>
          </w:p>
        </w:tc>
        <w:tc>
          <w:tcPr>
            <w:tcW w:type="dxa" w:w="5040"/>
            <w:shd w:fill="F7FAFC"/>
            <w:tcMar>
              <w:top w:w="65" w:type="dxa"/>
              <w:bottom w:w="65" w:type="dxa"/>
              <w:left w:w="100" w:type="dxa"/>
              <w:right w:w="100" w:type="dxa"/>
            </w:tcMar>
          </w:tcPr>
          <w:p>
            <w:r>
              <w:rPr>
                <w:rFonts w:ascii="Calibri" w:hAnsi="Calibri"/>
                <w:color w:val="2D3748"/>
                <w:sz w:val="16"/>
              </w:rPr>
              <w:t>Standardized diagnostic comparison across 9 analytical modules to isolate rate-limiting mechanisms and discriminate 10 hypotheses.</w:t>
            </w:r>
          </w:p>
        </w:tc>
      </w:tr>
      <w:tr>
        <w:trPr>
          <w:cantSplit/>
        </w:trPr>
        <w:tc>
          <w:tcPr>
            <w:tcW w:type="dxa" w:w="5040"/>
            <w:tcMar>
              <w:top w:w="65" w:type="dxa"/>
              <w:bottom w:w="65" w:type="dxa"/>
              <w:left w:w="100" w:type="dxa"/>
              <w:right w:w="100" w:type="dxa"/>
            </w:tcMar>
          </w:tcPr>
          <w:p>
            <w:r>
              <w:rPr>
                <w:rFonts w:ascii="Calibri" w:hAnsi="Calibri"/>
                <w:b/>
                <w:color w:val="2D3748"/>
                <w:sz w:val="16"/>
              </w:rPr>
              <w:t>Proposed Professional Fee</w:t>
            </w:r>
          </w:p>
        </w:tc>
        <w:tc>
          <w:tcPr>
            <w:tcW w:type="dxa" w:w="5040"/>
            <w:tcMar>
              <w:top w:w="65" w:type="dxa"/>
              <w:bottom w:w="65" w:type="dxa"/>
              <w:left w:w="100" w:type="dxa"/>
              <w:right w:w="100" w:type="dxa"/>
            </w:tcMar>
          </w:tcPr>
          <w:p>
            <w:r>
              <w:rPr>
                <w:rFonts w:ascii="Calibri" w:hAnsi="Calibri"/>
                <w:color w:val="2D3748"/>
                <w:sz w:val="16"/>
              </w:rPr>
              <w:t>₹1,73,000 plus applicable GST (fixed-price diagnostic scope; commercial ceiling up to ₹2,00,000 + GST).</w:t>
            </w:r>
          </w:p>
        </w:tc>
      </w:tr>
      <w:tr>
        <w:trPr>
          <w:cantSplit/>
        </w:trPr>
        <w:tc>
          <w:tcPr>
            <w:tcW w:type="dxa" w:w="5040"/>
            <w:shd w:fill="F7FAFC"/>
            <w:tcMar>
              <w:top w:w="65" w:type="dxa"/>
              <w:bottom w:w="65" w:type="dxa"/>
              <w:left w:w="100" w:type="dxa"/>
              <w:right w:w="100" w:type="dxa"/>
            </w:tcMar>
          </w:tcPr>
          <w:p>
            <w:r>
              <w:rPr>
                <w:rFonts w:ascii="Calibri" w:hAnsi="Calibri"/>
                <w:b/>
                <w:color w:val="2D3748"/>
                <w:sz w:val="16"/>
              </w:rPr>
              <w:t>Indicative Turnaround</w:t>
            </w:r>
          </w:p>
        </w:tc>
        <w:tc>
          <w:tcPr>
            <w:tcW w:type="dxa" w:w="5040"/>
            <w:shd w:fill="F7FAFC"/>
            <w:tcMar>
              <w:top w:w="65" w:type="dxa"/>
              <w:bottom w:w="65" w:type="dxa"/>
              <w:left w:w="100" w:type="dxa"/>
              <w:right w:w="100" w:type="dxa"/>
            </w:tcMar>
          </w:tcPr>
          <w:p>
            <w:r>
              <w:rPr>
                <w:rFonts w:ascii="Calibri" w:hAnsi="Calibri"/>
                <w:color w:val="2D3748"/>
                <w:sz w:val="16"/>
              </w:rPr>
              <w:t>20–25 business days across 5 structured operational stages upon sample receipt and project mobilization.</w:t>
            </w:r>
          </w:p>
        </w:tc>
      </w:tr>
      <w:tr>
        <w:trPr>
          <w:cantSplit/>
        </w:trPr>
        <w:tc>
          <w:tcPr>
            <w:tcW w:type="dxa" w:w="5040"/>
            <w:tcMar>
              <w:top w:w="65" w:type="dxa"/>
              <w:bottom w:w="65" w:type="dxa"/>
              <w:left w:w="100" w:type="dxa"/>
              <w:right w:w="100" w:type="dxa"/>
            </w:tcMar>
          </w:tcPr>
          <w:p>
            <w:r>
              <w:rPr>
                <w:rFonts w:ascii="Calibri" w:hAnsi="Calibri"/>
                <w:b/>
                <w:color w:val="2D3748"/>
                <w:sz w:val="16"/>
              </w:rPr>
              <w:t>Key Deliverables</w:t>
            </w:r>
          </w:p>
        </w:tc>
        <w:tc>
          <w:tcPr>
            <w:tcW w:type="dxa" w:w="5040"/>
            <w:tcMar>
              <w:top w:w="65" w:type="dxa"/>
              <w:bottom w:w="65" w:type="dxa"/>
              <w:left w:w="100" w:type="dxa"/>
              <w:right w:w="100" w:type="dxa"/>
            </w:tcMar>
          </w:tcPr>
          <w:p>
            <w:r>
              <w:rPr>
                <w:rFonts w:ascii="Calibri" w:hAnsi="Calibri"/>
                <w:color w:val="2D3748"/>
                <w:sz w:val="16"/>
              </w:rPr>
              <w:t>14 discrete deliverables including 9 analytical reports, benchmark matrix, root-cause assessment, and Phase 2 roadmap.</w:t>
            </w:r>
          </w:p>
        </w:tc>
      </w:tr>
      <w:tr>
        <w:trPr>
          <w:cantSplit/>
        </w:trPr>
        <w:tc>
          <w:tcPr>
            <w:tcW w:type="dxa" w:w="5040"/>
            <w:shd w:fill="F7FAFC"/>
            <w:tcMar>
              <w:top w:w="65" w:type="dxa"/>
              <w:bottom w:w="65" w:type="dxa"/>
              <w:left w:w="100" w:type="dxa"/>
              <w:right w:w="100" w:type="dxa"/>
            </w:tcMar>
          </w:tcPr>
          <w:p>
            <w:r>
              <w:rPr>
                <w:rFonts w:ascii="Calibri" w:hAnsi="Calibri"/>
                <w:b/>
                <w:color w:val="2D3748"/>
                <w:sz w:val="16"/>
              </w:rPr>
              <w:t>Action Requested from Client</w:t>
            </w:r>
          </w:p>
        </w:tc>
        <w:tc>
          <w:tcPr>
            <w:tcW w:type="dxa" w:w="5040"/>
            <w:shd w:fill="F7FAFC"/>
            <w:tcMar>
              <w:top w:w="65" w:type="dxa"/>
              <w:bottom w:w="65" w:type="dxa"/>
              <w:left w:w="100" w:type="dxa"/>
              <w:right w:w="100" w:type="dxa"/>
            </w:tcMar>
          </w:tcPr>
          <w:p>
            <w:r>
              <w:rPr>
                <w:rFonts w:ascii="Calibri" w:hAnsi="Calibri"/>
                <w:color w:val="2D3748"/>
                <w:sz w:val="16"/>
              </w:rPr>
              <w:t>Approve Phase 1 Scope of Work (Option 1 baseline or Option 2 multi-lot), authorize Milestone 1 advance (₹69,200 + GST), and dispatch sample lots.</w:t>
            </w:r>
          </w:p>
        </w:tc>
      </w:tr>
    </w:tbl>
    <w:tbl>
      <w:tblPr>
        <w:tblW w:type="auto" w:w="0"/>
        <w:jc w:val="center"/>
        <w:tblLayout w:type="fixed"/>
        <w:tblLook w:firstColumn="1" w:firstRow="1" w:lastColumn="0" w:lastRow="0" w:noHBand="0" w:noVBand="1" w:val="04A0"/>
      </w:tblPr>
      <w:tblGrid>
        <w:gridCol w:w="10080"/>
      </w:tblGrid>
      <w:tr>
        <w:tc>
          <w:tcPr>
            <w:tcW w:type="dxa" w:w="10080"/>
            <w:shd w:fill="EDF2F7"/>
            <w:tcMar>
              <w:top w:w="90" w:type="dxa"/>
              <w:bottom w:w="90" w:type="dxa"/>
              <w:left w:w="150" w:type="dxa"/>
              <w:right w:w="120" w:type="dxa"/>
            </w:tcMar>
            <w:tcBorders>
              <w:left w:val="single" w:sz="24" w:space="0" w:color="3182CE"/>
              <w:top w:val="none"/>
              <w:right w:val="none"/>
              <w:bottom w:val="none"/>
            </w:tcBorders>
          </w:tcPr>
          <w:p>
            <w:pPr>
              <w:spacing w:before="0" w:after="40"/>
            </w:pPr>
            <w:r>
              <w:rPr>
                <w:rFonts w:ascii="Calibri" w:hAnsi="Calibri"/>
                <w:b/>
                <w:color w:val="1A365D"/>
                <w:sz w:val="16"/>
              </w:rPr>
              <w:t>[MANDATORY SCOPE BOUNDARY &amp; SCIENTIFIC PRINCIPLE]</w:t>
              <w:br/>
            </w:r>
            <w:r>
              <w:rPr>
                <w:rFonts w:ascii="Calibri" w:hAnsi="Calibri"/>
                <w:i/>
                <w:color w:val="2D3748"/>
                <w:sz w:val="16"/>
              </w:rPr>
              <w:t>Phase 1 is strictly a diagnostic R&amp;D investigation. It does not promise, warrant, or guarantee an immediate commercial product, an optimized chemical formulation, or a construction-ready industrial facility. Phase 1 delivers the empirical ground truth required to make defensible engineering decisions. All formulation development (Phase 2), pilot production (Phase 3), and commercial plant FEED (Phase 4) are separately scoped, budgeted, and authorized future milestones.</w:t>
            </w:r>
          </w:p>
        </w:tc>
      </w:tr>
    </w:tbl>
    <w:p>
      <w:pPr>
        <w:keepNext/>
        <w:spacing w:before="260" w:after="60"/>
      </w:pPr>
      <w:r>
        <w:rPr>
          <w:rFonts w:ascii="Calibri" w:hAnsi="Calibri"/>
          <w:b/>
          <w:color w:val="1A365D"/>
          <w:sz w:val="23"/>
        </w:rPr>
        <w:t>2. Problem Background &amp; Commercial Context</w:t>
      </w:r>
    </w:p>
    <w:p>
      <w:pPr>
        <w:spacing w:before="0" w:after="60" w:line="276" w:lineRule="auto"/>
      </w:pPr>
      <w:r>
        <w:rPr>
          <w:rFonts w:ascii="Calibri" w:hAnsi="Calibri"/>
          <w:color w:val="2D3748"/>
          <w:sz w:val="17"/>
        </w:rPr>
        <w:t>Imported pulses represent a vital commodity buffer for the Indian milling, processing, and distribution ecosystem. Tanzanian split pigeon pea offers significant procurement price and freight advantages. However, commercial millers and wholesale traders frequently encounter severe cooking latency in Tanzanian dal consignments compared to domestic Indian varieties (e.g. Maharashtra Latur Desi or Karnataka Gulbarga). In household pressure-cooking observations, Tanzanian dal is reported to require approximately 6 to 8 whistles to reach tenderness, whereas Indian benchmark dal reaches an acceptable table texture in approximately 3 whistles.</w:t>
      </w:r>
    </w:p>
    <w:p>
      <w:pPr>
        <w:spacing w:before="0" w:after="60" w:line="276" w:lineRule="auto"/>
      </w:pPr>
      <w:r>
        <w:rPr>
          <w:rFonts w:ascii="Calibri" w:hAnsi="Calibri"/>
          <w:color w:val="2D3748"/>
          <w:sz w:val="17"/>
        </w:rPr>
        <w:t>Scientific Distinction on Whistle Counting: In domestic cooking, a 'whistle' is an acoustic pressure-relief event governed by cooker geometry, burner heat flux, venturi nozzle diameter, and deadweight mass. It is a qualitative, highly non-linear indicator that conflates vessel thermodynamics with grain softening kinetics. Phase 1 replaces qualitative whistling with instrumented time-temperature-pressure logging and objective texture analyzer load-cell shear/compression measurements (&lt; 24.0 N tenderness threshold).</w:t>
      </w:r>
    </w:p>
    <w:p>
      <w:pPr>
        <w:keepNext/>
        <w:spacing w:before="260" w:after="60"/>
      </w:pPr>
      <w:r>
        <w:rPr>
          <w:rFonts w:ascii="Calibri" w:hAnsi="Calibri"/>
          <w:b/>
          <w:color w:val="1A365D"/>
          <w:sz w:val="23"/>
        </w:rPr>
        <w:t>3. Diagnostic Objectives &amp; Success Definition</w:t>
      </w:r>
    </w:p>
    <w:p>
      <w:pPr>
        <w:spacing w:before="0" w:after="60" w:line="276" w:lineRule="auto"/>
      </w:pPr>
      <w:r>
        <w:rPr>
          <w:rFonts w:ascii="Calibri" w:hAnsi="Calibri"/>
          <w:color w:val="2D3748"/>
          <w:sz w:val="17"/>
        </w:rPr>
        <w:t>The Phase 1 R&amp;D study is designed to achieve four core diagnostic objectives:</w:t>
      </w:r>
    </w:p>
    <w:p>
      <w:pPr>
        <w:spacing w:before="0" w:after="60" w:line="276" w:lineRule="auto"/>
      </w:pPr>
      <w:r>
        <w:rPr>
          <w:rFonts w:ascii="Calibri" w:hAnsi="Calibri"/>
          <w:b/>
          <w:color w:val="1A365D"/>
          <w:sz w:val="17"/>
        </w:rPr>
        <w:t xml:space="preserve">1. </w:t>
      </w:r>
      <w:r>
        <w:rPr>
          <w:rFonts w:ascii="Calibri" w:hAnsi="Calibri"/>
          <w:color w:val="2D3748"/>
          <w:sz w:val="17"/>
        </w:rPr>
        <w:t>• Standardized Comparative Profiling: Quantify physical geometry, proximate composition, starch pasting/gelatinization, hydration kinetics, microstructural integrity, pectin solubility, and mineral interactions for Tanzanian dal versus Indian benchmark.</w:t>
      </w:r>
    </w:p>
    <w:p>
      <w:pPr>
        <w:spacing w:before="0" w:after="60" w:line="276" w:lineRule="auto"/>
      </w:pPr>
      <w:r>
        <w:rPr>
          <w:rFonts w:ascii="Calibri" w:hAnsi="Calibri"/>
          <w:b/>
          <w:color w:val="1A365D"/>
          <w:sz w:val="17"/>
        </w:rPr>
        <w:t xml:space="preserve">2. </w:t>
      </w:r>
      <w:r>
        <w:rPr>
          <w:rFonts w:ascii="Calibri" w:hAnsi="Calibri"/>
          <w:color w:val="2D3748"/>
          <w:sz w:val="17"/>
        </w:rPr>
        <w:t>• Objective Cooking Protocol: Establish a reproducible, instrumented cooking protocol utilizing a calibrated compression/shear endpoint to measure exact softening kinetics and hard-core persistence rates.</w:t>
      </w:r>
    </w:p>
    <w:p>
      <w:pPr>
        <w:spacing w:before="0" w:after="60" w:line="276" w:lineRule="auto"/>
      </w:pPr>
      <w:r>
        <w:rPr>
          <w:rFonts w:ascii="Calibri" w:hAnsi="Calibri"/>
          <w:b/>
          <w:color w:val="1A365D"/>
          <w:sz w:val="17"/>
        </w:rPr>
        <w:t xml:space="preserve">3. </w:t>
      </w:r>
      <w:r>
        <w:rPr>
          <w:rFonts w:ascii="Calibri" w:hAnsi="Calibri"/>
          <w:color w:val="2D3748"/>
          <w:sz w:val="17"/>
        </w:rPr>
        <w:t>• 10-Hypothesis Discrimination: Systematically test ten competing scientific hypotheses to isolate primary rate-limiting mechanisms from secondary statistical associations.</w:t>
      </w:r>
    </w:p>
    <w:p>
      <w:pPr>
        <w:spacing w:before="0" w:after="60" w:line="276" w:lineRule="auto"/>
      </w:pPr>
      <w:r>
        <w:rPr>
          <w:rFonts w:ascii="Calibri" w:hAnsi="Calibri"/>
          <w:b/>
          <w:color w:val="1A365D"/>
          <w:sz w:val="17"/>
        </w:rPr>
        <w:t xml:space="preserve">4. </w:t>
      </w:r>
      <w:r>
        <w:rPr>
          <w:rFonts w:ascii="Calibri" w:hAnsi="Calibri"/>
          <w:color w:val="2D3748"/>
          <w:sz w:val="17"/>
        </w:rPr>
        <w:t>• Commercial Gatekeeping: Deliver an auditable technical foundation and prioritized roadmap for Phase 2 treatment trials, protecting the client against premature capital investment in unproven processing technologies.</w:t>
      </w:r>
    </w:p>
    <w:p>
      <w:pPr>
        <w:spacing w:before="0" w:after="60" w:line="276" w:lineRule="auto"/>
      </w:pPr>
      <w:r>
        <w:rPr>
          <w:rFonts w:ascii="Calibri" w:hAnsi="Calibri"/>
          <w:color w:val="2D3748"/>
          <w:sz w:val="17"/>
        </w:rPr>
        <w:t>Scientific Definition of Success: Under Section 33 of the source SOW, success in Phase 1 is defined by the quality, reproducibility, and defensibility of the diagnostic evidence. Phase 1 is successful when it delivers definitive comparative data, quantified measurement uncertainty, and prioritized root causes—regardless of whether the Tanzanian dal demonstrates fast cooking in its unconditioned state.</w:t>
      </w:r>
    </w:p>
    <w:p>
      <w:pPr>
        <w:keepNext/>
        <w:spacing w:before="260" w:after="60"/>
      </w:pPr>
      <w:r>
        <w:rPr>
          <w:rFonts w:ascii="Calibri" w:hAnsi="Calibri"/>
          <w:b/>
          <w:color w:val="1A365D"/>
          <w:sz w:val="23"/>
        </w:rPr>
        <w:t>4. Phase Architecture &amp; Scope Boundaries</w:t>
      </w:r>
    </w:p>
    <w:p>
      <w:pPr>
        <w:spacing w:before="0" w:after="60" w:line="276" w:lineRule="auto"/>
      </w:pPr>
      <w:r>
        <w:rPr>
          <w:rFonts w:ascii="Calibri" w:hAnsi="Calibri"/>
          <w:color w:val="2D3748"/>
          <w:sz w:val="17"/>
        </w:rPr>
        <w:t>To protect project governance and ensure commercial clarity, the overall technology roadmap is structured into four distinct, sequentially gated phases. Only Phase 1 is offered for commissioning under this proposal.</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296"/>
        <w:gridCol w:w="2592"/>
        <w:gridCol w:w="3600"/>
        <w:gridCol w:w="2592"/>
      </w:tblGrid>
      <w:tr>
        <w:trPr>
          <w:tblHeader/>
          <w:cantSplit/>
        </w:trPr>
        <w:tc>
          <w:tcPr>
            <w:tcW w:type="dxa" w:w="2520"/>
            <w:shd w:fill="1A365D"/>
            <w:tcMar>
              <w:top w:w="100" w:type="dxa"/>
              <w:bottom w:w="100" w:type="dxa"/>
              <w:left w:w="100" w:type="dxa"/>
              <w:right w:w="100" w:type="dxa"/>
            </w:tcMar>
          </w:tcPr>
          <w:p>
            <w:pPr>
              <w:jc w:val="left"/>
            </w:pPr>
            <w:r>
              <w:t>Phase</w:t>
            </w:r>
          </w:p>
        </w:tc>
        <w:tc>
          <w:tcPr>
            <w:tcW w:type="dxa" w:w="2520"/>
            <w:shd w:fill="1A365D"/>
            <w:tcMar>
              <w:top w:w="100" w:type="dxa"/>
              <w:bottom w:w="100" w:type="dxa"/>
              <w:left w:w="100" w:type="dxa"/>
              <w:right w:w="100" w:type="dxa"/>
            </w:tcMar>
          </w:tcPr>
          <w:p>
            <w:pPr>
              <w:jc w:val="left"/>
            </w:pPr>
            <w:r>
              <w:t>Designation &amp; Scope</w:t>
            </w:r>
          </w:p>
        </w:tc>
        <w:tc>
          <w:tcPr>
            <w:tcW w:type="dxa" w:w="2520"/>
            <w:shd w:fill="1A365D"/>
            <w:tcMar>
              <w:top w:w="100" w:type="dxa"/>
              <w:bottom w:w="100" w:type="dxa"/>
              <w:left w:w="100" w:type="dxa"/>
              <w:right w:w="100" w:type="dxa"/>
            </w:tcMar>
          </w:tcPr>
          <w:p>
            <w:pPr>
              <w:jc w:val="left"/>
            </w:pPr>
            <w:r>
              <w:t>Core Technical Deliverables</w:t>
            </w:r>
          </w:p>
        </w:tc>
        <w:tc>
          <w:tcPr>
            <w:tcW w:type="dxa" w:w="2520"/>
            <w:shd w:fill="1A365D"/>
            <w:tcMar>
              <w:top w:w="100" w:type="dxa"/>
              <w:bottom w:w="100" w:type="dxa"/>
              <w:left w:w="100" w:type="dxa"/>
              <w:right w:w="100" w:type="dxa"/>
            </w:tcMar>
          </w:tcPr>
          <w:p>
            <w:pPr>
              <w:jc w:val="left"/>
            </w:pPr>
            <w:r>
              <w:t>Commercial Status</w:t>
            </w:r>
          </w:p>
        </w:tc>
      </w:tr>
      <w:tr>
        <w:trPr>
          <w:cantSplit/>
        </w:trPr>
        <w:tc>
          <w:tcPr>
            <w:tcW w:type="dxa" w:w="2520"/>
            <w:tcMar>
              <w:top w:w="65" w:type="dxa"/>
              <w:bottom w:w="65" w:type="dxa"/>
              <w:left w:w="100" w:type="dxa"/>
              <w:right w:w="100" w:type="dxa"/>
            </w:tcMar>
          </w:tcPr>
          <w:p>
            <w:r>
              <w:rPr>
                <w:rFonts w:ascii="Calibri" w:hAnsi="Calibri"/>
                <w:b/>
                <w:color w:val="2D3748"/>
                <w:sz w:val="15"/>
              </w:rPr>
              <w:t>Phase 1</w:t>
            </w:r>
          </w:p>
        </w:tc>
        <w:tc>
          <w:tcPr>
            <w:tcW w:type="dxa" w:w="2520"/>
            <w:tcMar>
              <w:top w:w="65" w:type="dxa"/>
              <w:bottom w:w="65" w:type="dxa"/>
              <w:left w:w="100" w:type="dxa"/>
              <w:right w:w="100" w:type="dxa"/>
            </w:tcMar>
          </w:tcPr>
          <w:p>
            <w:r>
              <w:rPr>
                <w:rFonts w:ascii="Calibri" w:hAnsi="Calibri"/>
                <w:color w:val="2D3748"/>
                <w:sz w:val="15"/>
              </w:rPr>
              <w:t>Comparative Diagnostic R&amp;D Study</w:t>
            </w:r>
          </w:p>
        </w:tc>
        <w:tc>
          <w:tcPr>
            <w:tcW w:type="dxa" w:w="2520"/>
            <w:tcMar>
              <w:top w:w="65" w:type="dxa"/>
              <w:bottom w:w="65" w:type="dxa"/>
              <w:left w:w="100" w:type="dxa"/>
              <w:right w:w="100" w:type="dxa"/>
            </w:tcMar>
          </w:tcPr>
          <w:p>
            <w:r>
              <w:rPr>
                <w:rFonts w:ascii="Calibri" w:hAnsi="Calibri"/>
                <w:color w:val="2D3748"/>
                <w:sz w:val="15"/>
              </w:rPr>
              <w:t>Standardized baseline comparison, 9 analytical modules, objective cooking protocol, 10-hypothesis discrimination, Phase 2 roadmap.</w:t>
            </w:r>
          </w:p>
        </w:tc>
        <w:tc>
          <w:tcPr>
            <w:tcW w:type="dxa" w:w="2520"/>
            <w:tcMar>
              <w:top w:w="65" w:type="dxa"/>
              <w:bottom w:w="65" w:type="dxa"/>
              <w:left w:w="100" w:type="dxa"/>
              <w:right w:w="100" w:type="dxa"/>
            </w:tcMar>
          </w:tcPr>
          <w:p>
            <w:r>
              <w:rPr>
                <w:rFonts w:ascii="Calibri" w:hAnsi="Calibri"/>
                <w:color w:val="2D3748"/>
                <w:sz w:val="15"/>
              </w:rPr>
              <w:t>CURRENT OFFERING (₹1,73,000 + GST; 20–25 Days)</w:t>
            </w:r>
          </w:p>
        </w:tc>
      </w:tr>
      <w:tr>
        <w:trPr>
          <w:cantSplit/>
        </w:trPr>
        <w:tc>
          <w:tcPr>
            <w:tcW w:type="dxa" w:w="2520"/>
            <w:shd w:fill="F7FAFC"/>
            <w:tcMar>
              <w:top w:w="65" w:type="dxa"/>
              <w:bottom w:w="65" w:type="dxa"/>
              <w:left w:w="100" w:type="dxa"/>
              <w:right w:w="100" w:type="dxa"/>
            </w:tcMar>
          </w:tcPr>
          <w:p>
            <w:r>
              <w:rPr>
                <w:rFonts w:ascii="Calibri" w:hAnsi="Calibri"/>
                <w:b/>
                <w:color w:val="2D3748"/>
                <w:sz w:val="15"/>
              </w:rPr>
              <w:t>Phase 2</w:t>
            </w:r>
          </w:p>
        </w:tc>
        <w:tc>
          <w:tcPr>
            <w:tcW w:type="dxa" w:w="2520"/>
            <w:shd w:fill="F7FAFC"/>
            <w:tcMar>
              <w:top w:w="65" w:type="dxa"/>
              <w:bottom w:w="65" w:type="dxa"/>
              <w:left w:w="100" w:type="dxa"/>
              <w:right w:w="100" w:type="dxa"/>
            </w:tcMar>
          </w:tcPr>
          <w:p>
            <w:r>
              <w:rPr>
                <w:rFonts w:ascii="Calibri" w:hAnsi="Calibri"/>
                <w:color w:val="2D3748"/>
                <w:sz w:val="15"/>
              </w:rPr>
              <w:t>Treatment Development &amp; Mechanistic Validation</w:t>
            </w:r>
          </w:p>
        </w:tc>
        <w:tc>
          <w:tcPr>
            <w:tcW w:type="dxa" w:w="2520"/>
            <w:shd w:fill="F7FAFC"/>
            <w:tcMar>
              <w:top w:w="65" w:type="dxa"/>
              <w:bottom w:w="65" w:type="dxa"/>
              <w:left w:w="100" w:type="dxa"/>
              <w:right w:w="100" w:type="dxa"/>
            </w:tcMar>
          </w:tcPr>
          <w:p>
            <w:r>
              <w:rPr>
                <w:rFonts w:ascii="Calibri" w:hAnsi="Calibri"/>
                <w:color w:val="2D3748"/>
                <w:sz w:val="15"/>
              </w:rPr>
              <w:t>Bench-scale screening of conditioning formulations (bicarbonate, citrate, hydrothermal), dose-response, pH, washing, drying, storage stability.</w:t>
            </w:r>
          </w:p>
        </w:tc>
        <w:tc>
          <w:tcPr>
            <w:tcW w:type="dxa" w:w="2520"/>
            <w:shd w:fill="F7FAFC"/>
            <w:tcMar>
              <w:top w:w="65" w:type="dxa"/>
              <w:bottom w:w="65" w:type="dxa"/>
              <w:left w:w="100" w:type="dxa"/>
              <w:right w:w="100" w:type="dxa"/>
            </w:tcMar>
          </w:tcPr>
          <w:p>
            <w:r>
              <w:rPr>
                <w:rFonts w:ascii="Calibri" w:hAnsi="Calibri"/>
                <w:color w:val="2D3748"/>
                <w:sz w:val="15"/>
              </w:rPr>
              <w:t>Gated Future Scope (Budget defined post-Phase 1)</w:t>
            </w:r>
          </w:p>
        </w:tc>
      </w:tr>
      <w:tr>
        <w:trPr>
          <w:cantSplit/>
        </w:trPr>
        <w:tc>
          <w:tcPr>
            <w:tcW w:type="dxa" w:w="2520"/>
            <w:tcMar>
              <w:top w:w="65" w:type="dxa"/>
              <w:bottom w:w="65" w:type="dxa"/>
              <w:left w:w="100" w:type="dxa"/>
              <w:right w:w="100" w:type="dxa"/>
            </w:tcMar>
          </w:tcPr>
          <w:p>
            <w:r>
              <w:rPr>
                <w:rFonts w:ascii="Calibri" w:hAnsi="Calibri"/>
                <w:b/>
                <w:color w:val="2D3748"/>
                <w:sz w:val="15"/>
              </w:rPr>
              <w:t>Phase 3</w:t>
            </w:r>
          </w:p>
        </w:tc>
        <w:tc>
          <w:tcPr>
            <w:tcW w:type="dxa" w:w="2520"/>
            <w:tcMar>
              <w:top w:w="65" w:type="dxa"/>
              <w:bottom w:w="65" w:type="dxa"/>
              <w:left w:w="100" w:type="dxa"/>
              <w:right w:w="100" w:type="dxa"/>
            </w:tcMar>
          </w:tcPr>
          <w:p>
            <w:r>
              <w:rPr>
                <w:rFonts w:ascii="Calibri" w:hAnsi="Calibri"/>
                <w:color w:val="2D3748"/>
                <w:sz w:val="15"/>
              </w:rPr>
              <w:t>Pilot Scale-Up &amp; Shelf-Life Verification</w:t>
            </w:r>
          </w:p>
        </w:tc>
        <w:tc>
          <w:tcPr>
            <w:tcW w:type="dxa" w:w="2520"/>
            <w:tcMar>
              <w:top w:w="65" w:type="dxa"/>
              <w:bottom w:w="65" w:type="dxa"/>
              <w:left w:w="100" w:type="dxa"/>
              <w:right w:w="100" w:type="dxa"/>
            </w:tcMar>
          </w:tcPr>
          <w:p>
            <w:r>
              <w:rPr>
                <w:rFonts w:ascii="Calibri" w:hAnsi="Calibri"/>
                <w:color w:val="2D3748"/>
                <w:sz w:val="15"/>
              </w:rPr>
              <w:t>Continuous pilot trials, empirical effluent load, microbial hold-time validation, packaging qualification, commercial shelf-life testing.</w:t>
            </w:r>
          </w:p>
        </w:tc>
        <w:tc>
          <w:tcPr>
            <w:tcW w:type="dxa" w:w="2520"/>
            <w:tcMar>
              <w:top w:w="65" w:type="dxa"/>
              <w:bottom w:w="65" w:type="dxa"/>
              <w:left w:w="100" w:type="dxa"/>
              <w:right w:w="100" w:type="dxa"/>
            </w:tcMar>
          </w:tcPr>
          <w:p>
            <w:r>
              <w:rPr>
                <w:rFonts w:ascii="Calibri" w:hAnsi="Calibri"/>
                <w:color w:val="2D3748"/>
                <w:sz w:val="15"/>
              </w:rPr>
              <w:t>Gated Future Milestone (Contingent on Phase 2)</w:t>
            </w:r>
          </w:p>
        </w:tc>
      </w:tr>
      <w:tr>
        <w:trPr>
          <w:cantSplit/>
        </w:trPr>
        <w:tc>
          <w:tcPr>
            <w:tcW w:type="dxa" w:w="2520"/>
            <w:shd w:fill="F7FAFC"/>
            <w:tcMar>
              <w:top w:w="65" w:type="dxa"/>
              <w:bottom w:w="65" w:type="dxa"/>
              <w:left w:w="100" w:type="dxa"/>
              <w:right w:w="100" w:type="dxa"/>
            </w:tcMar>
          </w:tcPr>
          <w:p>
            <w:r>
              <w:rPr>
                <w:rFonts w:ascii="Calibri" w:hAnsi="Calibri"/>
                <w:b/>
                <w:color w:val="2D3748"/>
                <w:sz w:val="15"/>
              </w:rPr>
              <w:t>Phase 4</w:t>
            </w:r>
          </w:p>
        </w:tc>
        <w:tc>
          <w:tcPr>
            <w:tcW w:type="dxa" w:w="2520"/>
            <w:shd w:fill="F7FAFC"/>
            <w:tcMar>
              <w:top w:w="65" w:type="dxa"/>
              <w:bottom w:w="65" w:type="dxa"/>
              <w:left w:w="100" w:type="dxa"/>
              <w:right w:w="100" w:type="dxa"/>
            </w:tcMar>
          </w:tcPr>
          <w:p>
            <w:r>
              <w:rPr>
                <w:rFonts w:ascii="Calibri" w:hAnsi="Calibri"/>
                <w:color w:val="2D3748"/>
                <w:sz w:val="15"/>
              </w:rPr>
              <w:t>15,000 kg/day Plant Design &amp; Execution</w:t>
            </w:r>
          </w:p>
        </w:tc>
        <w:tc>
          <w:tcPr>
            <w:tcW w:type="dxa" w:w="2520"/>
            <w:shd w:fill="F7FAFC"/>
            <w:tcMar>
              <w:top w:w="65" w:type="dxa"/>
              <w:bottom w:w="65" w:type="dxa"/>
              <w:left w:w="100" w:type="dxa"/>
              <w:right w:w="100" w:type="dxa"/>
            </w:tcMar>
          </w:tcPr>
          <w:p>
            <w:r>
              <w:rPr>
                <w:rFonts w:ascii="Calibri" w:hAnsi="Calibri"/>
                <w:color w:val="2D3748"/>
                <w:sz w:val="15"/>
              </w:rPr>
              <w:t>Detailed FEED package, frozen PFD/P&amp;IDs, equipment specifications, civil/structural layouts, procurement support, plant commissioning.</w:t>
            </w:r>
          </w:p>
        </w:tc>
        <w:tc>
          <w:tcPr>
            <w:tcW w:type="dxa" w:w="2520"/>
            <w:shd w:fill="F7FAFC"/>
            <w:tcMar>
              <w:top w:w="65" w:type="dxa"/>
              <w:bottom w:w="65" w:type="dxa"/>
              <w:left w:w="100" w:type="dxa"/>
              <w:right w:w="100" w:type="dxa"/>
            </w:tcMar>
          </w:tcPr>
          <w:p>
            <w:r>
              <w:rPr>
                <w:rFonts w:ascii="Calibri" w:hAnsi="Calibri"/>
                <w:color w:val="2D3748"/>
                <w:sz w:val="15"/>
              </w:rPr>
              <w:t>Long-Term Investment (Provisional conceptual annexure)</w:t>
            </w:r>
          </w:p>
        </w:tc>
      </w:tr>
    </w:tbl>
    <w:p>
      <w:pPr>
        <w:spacing w:before="0" w:after="60" w:line="276" w:lineRule="auto"/>
      </w:pPr>
      <w:r>
        <w:rPr>
          <w:rFonts w:ascii="Calibri" w:hAnsi="Calibri"/>
          <w:color w:val="2D3748"/>
          <w:sz w:val="17"/>
        </w:rPr>
        <w:t>Explicit Exclusions from Phase 1 Scope: Unless approved via written change order, Phase 1 strictly excludes: (1) Formulating, optimizing, or validating commercial chemical treatments; (2) Conducting pilot-scale processing or machinery fabrication; (3) Guaranteeing finished cooking-time reduction; (4) Packaging or multi-month shelf-life stability trials; (5) Issuing construction-ready drawings or detailed FEED for the 15 MT/day facility; (6) Filing regulatory or FSSAI product clearance applications.</w:t>
      </w:r>
    </w:p>
    <w:p>
      <w:pPr>
        <w:keepNext/>
        <w:spacing w:before="260" w:after="60"/>
      </w:pPr>
      <w:r>
        <w:rPr>
          <w:rFonts w:ascii="Calibri" w:hAnsi="Calibri"/>
          <w:b/>
          <w:color w:val="1A365D"/>
          <w:sz w:val="23"/>
        </w:rPr>
        <w:t>5. Overall Technical Approach &amp; Work Packages</w:t>
      </w:r>
    </w:p>
    <w:p>
      <w:pPr>
        <w:spacing w:before="0" w:after="60" w:line="276" w:lineRule="auto"/>
      </w:pPr>
      <w:r>
        <w:rPr>
          <w:rFonts w:ascii="Calibri" w:hAnsi="Calibri"/>
          <w:color w:val="2D3748"/>
          <w:sz w:val="17"/>
        </w:rPr>
        <w:t>The Phase 1 investigation is executed through five inter-dependent Work Packages (WPs) structured to move logically from raw material verification to advanced root-cause synthesis: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584"/>
        <w:gridCol w:w="3168"/>
        <w:gridCol w:w="5328"/>
      </w:tblGrid>
      <w:tr>
        <w:trPr>
          <w:tblHeader/>
          <w:cantSplit/>
        </w:trPr>
        <w:tc>
          <w:tcPr>
            <w:tcW w:type="dxa" w:w="3360"/>
            <w:shd w:fill="1A365D"/>
            <w:tcMar>
              <w:top w:w="100" w:type="dxa"/>
              <w:bottom w:w="100" w:type="dxa"/>
              <w:left w:w="100" w:type="dxa"/>
              <w:right w:w="100" w:type="dxa"/>
            </w:tcMar>
          </w:tcPr>
          <w:p>
            <w:pPr>
              <w:jc w:val="left"/>
            </w:pPr>
            <w:r>
              <w:t>Work Package</w:t>
            </w:r>
          </w:p>
        </w:tc>
        <w:tc>
          <w:tcPr>
            <w:tcW w:type="dxa" w:w="3360"/>
            <w:shd w:fill="1A365D"/>
            <w:tcMar>
              <w:top w:w="100" w:type="dxa"/>
              <w:bottom w:w="100" w:type="dxa"/>
              <w:left w:w="100" w:type="dxa"/>
              <w:right w:w="100" w:type="dxa"/>
            </w:tcMar>
          </w:tcPr>
          <w:p>
            <w:pPr>
              <w:jc w:val="left"/>
            </w:pPr>
            <w:r>
              <w:t>Title &amp; Focus</w:t>
            </w:r>
          </w:p>
        </w:tc>
        <w:tc>
          <w:tcPr>
            <w:tcW w:type="dxa" w:w="3360"/>
            <w:shd w:fill="1A365D"/>
            <w:tcMar>
              <w:top w:w="100" w:type="dxa"/>
              <w:bottom w:w="100" w:type="dxa"/>
              <w:left w:w="100" w:type="dxa"/>
              <w:right w:w="100" w:type="dxa"/>
            </w:tcMar>
          </w:tcPr>
          <w:p>
            <w:pPr>
              <w:jc w:val="left"/>
            </w:pPr>
            <w:r>
              <w:t>Key Operational Activities &amp; Methods</w:t>
            </w:r>
          </w:p>
        </w:tc>
      </w:tr>
      <w:tr>
        <w:trPr>
          <w:cantSplit/>
        </w:trPr>
        <w:tc>
          <w:tcPr>
            <w:tcW w:type="dxa" w:w="3360"/>
            <w:tcMar>
              <w:top w:w="65" w:type="dxa"/>
              <w:bottom w:w="65" w:type="dxa"/>
              <w:left w:w="100" w:type="dxa"/>
              <w:right w:w="100" w:type="dxa"/>
            </w:tcMar>
          </w:tcPr>
          <w:p>
            <w:r>
              <w:rPr>
                <w:rFonts w:ascii="Calibri" w:hAnsi="Calibri"/>
                <w:b/>
                <w:color w:val="2D3748"/>
                <w:sz w:val="15"/>
              </w:rPr>
              <w:t>WP-01</w:t>
            </w:r>
          </w:p>
        </w:tc>
        <w:tc>
          <w:tcPr>
            <w:tcW w:type="dxa" w:w="3360"/>
            <w:tcMar>
              <w:top w:w="65" w:type="dxa"/>
              <w:bottom w:w="65" w:type="dxa"/>
              <w:left w:w="100" w:type="dxa"/>
              <w:right w:w="100" w:type="dxa"/>
            </w:tcMar>
          </w:tcPr>
          <w:p>
            <w:r>
              <w:rPr>
                <w:rFonts w:ascii="Calibri" w:hAnsi="Calibri"/>
                <w:color w:val="2D3748"/>
                <w:sz w:val="15"/>
              </w:rPr>
              <w:t>Sample Intake, Physical &amp; Proximate Screening</w:t>
            </w:r>
          </w:p>
        </w:tc>
        <w:tc>
          <w:tcPr>
            <w:tcW w:type="dxa" w:w="3360"/>
            <w:tcMar>
              <w:top w:w="65" w:type="dxa"/>
              <w:bottom w:w="65" w:type="dxa"/>
              <w:left w:w="100" w:type="dxa"/>
              <w:right w:w="100" w:type="dxa"/>
            </w:tcMar>
          </w:tcPr>
          <w:p>
            <w:r>
              <w:rPr>
                <w:rFonts w:ascii="Calibri" w:hAnsi="Calibri"/>
                <w:color w:val="2D3748"/>
                <w:sz w:val="15"/>
              </w:rPr>
              <w:t>Visual inspection, foreign matter, 1000-grain weight, bulk density, seed-coat ratio, AOAC moisture, protein, fat, ash, and fibre.</w:t>
            </w:r>
          </w:p>
        </w:tc>
      </w:tr>
      <w:tr>
        <w:trPr>
          <w:cantSplit/>
        </w:trPr>
        <w:tc>
          <w:tcPr>
            <w:tcW w:type="dxa" w:w="3360"/>
            <w:shd w:fill="F7FAFC"/>
            <w:tcMar>
              <w:top w:w="65" w:type="dxa"/>
              <w:bottom w:w="65" w:type="dxa"/>
              <w:left w:w="100" w:type="dxa"/>
              <w:right w:w="100" w:type="dxa"/>
            </w:tcMar>
          </w:tcPr>
          <w:p>
            <w:r>
              <w:rPr>
                <w:rFonts w:ascii="Calibri" w:hAnsi="Calibri"/>
                <w:b/>
                <w:color w:val="2D3748"/>
                <w:sz w:val="15"/>
              </w:rPr>
              <w:t>WP-02</w:t>
            </w:r>
          </w:p>
        </w:tc>
        <w:tc>
          <w:tcPr>
            <w:tcW w:type="dxa" w:w="3360"/>
            <w:shd w:fill="F7FAFC"/>
            <w:tcMar>
              <w:top w:w="65" w:type="dxa"/>
              <w:bottom w:w="65" w:type="dxa"/>
              <w:left w:w="100" w:type="dxa"/>
              <w:right w:w="100" w:type="dxa"/>
            </w:tcMar>
          </w:tcPr>
          <w:p>
            <w:r>
              <w:rPr>
                <w:rFonts w:ascii="Calibri" w:hAnsi="Calibri"/>
                <w:color w:val="2D3748"/>
                <w:sz w:val="15"/>
              </w:rPr>
              <w:t>Starch &amp; Thermal Gelatinization Profiling</w:t>
            </w:r>
          </w:p>
        </w:tc>
        <w:tc>
          <w:tcPr>
            <w:tcW w:type="dxa" w:w="3360"/>
            <w:shd w:fill="F7FAFC"/>
            <w:tcMar>
              <w:top w:w="65" w:type="dxa"/>
              <w:bottom w:w="65" w:type="dxa"/>
              <w:left w:w="100" w:type="dxa"/>
              <w:right w:w="100" w:type="dxa"/>
            </w:tcMar>
          </w:tcPr>
          <w:p>
            <w:r>
              <w:rPr>
                <w:rFonts w:ascii="Calibri" w:hAnsi="Calibri"/>
                <w:color w:val="2D3748"/>
                <w:sz w:val="15"/>
              </w:rPr>
              <w:t>Total starch, amylose/amylopectin ratio via Megazyme assay, Differential Scanning Calorimetry (DSC) for onset, peak, conclusion temp and enthalpy.</w:t>
            </w:r>
          </w:p>
        </w:tc>
      </w:tr>
      <w:tr>
        <w:trPr>
          <w:cantSplit/>
        </w:trPr>
        <w:tc>
          <w:tcPr>
            <w:tcW w:type="dxa" w:w="3360"/>
            <w:tcMar>
              <w:top w:w="65" w:type="dxa"/>
              <w:bottom w:w="65" w:type="dxa"/>
              <w:left w:w="100" w:type="dxa"/>
              <w:right w:w="100" w:type="dxa"/>
            </w:tcMar>
          </w:tcPr>
          <w:p>
            <w:r>
              <w:rPr>
                <w:rFonts w:ascii="Calibri" w:hAnsi="Calibri"/>
                <w:b/>
                <w:color w:val="2D3748"/>
                <w:sz w:val="15"/>
              </w:rPr>
              <w:t>WP-03</w:t>
            </w:r>
          </w:p>
        </w:tc>
        <w:tc>
          <w:tcPr>
            <w:tcW w:type="dxa" w:w="3360"/>
            <w:tcMar>
              <w:top w:w="65" w:type="dxa"/>
              <w:bottom w:w="65" w:type="dxa"/>
              <w:left w:w="100" w:type="dxa"/>
              <w:right w:w="100" w:type="dxa"/>
            </w:tcMar>
          </w:tcPr>
          <w:p>
            <w:r>
              <w:rPr>
                <w:rFonts w:ascii="Calibri" w:hAnsi="Calibri"/>
                <w:color w:val="2D3748"/>
                <w:sz w:val="15"/>
              </w:rPr>
              <w:t>Hydration Kinetics &amp; Absorption Modeling</w:t>
            </w:r>
          </w:p>
        </w:tc>
        <w:tc>
          <w:tcPr>
            <w:tcW w:type="dxa" w:w="3360"/>
            <w:tcMar>
              <w:top w:w="65" w:type="dxa"/>
              <w:bottom w:w="65" w:type="dxa"/>
              <w:left w:w="100" w:type="dxa"/>
              <w:right w:w="100" w:type="dxa"/>
            </w:tcMar>
          </w:tcPr>
          <w:p>
            <w:r>
              <w:rPr>
                <w:rFonts w:ascii="Calibri" w:hAnsi="Calibri"/>
                <w:color w:val="2D3748"/>
                <w:sz w:val="15"/>
              </w:rPr>
              <w:t>Gravimetric time-course water absorption at 25°C, 40°C, and 60°C (0–360 min), initial absorption rate, saturation capacity, and leaching losses.</w:t>
            </w:r>
          </w:p>
        </w:tc>
      </w:tr>
      <w:tr>
        <w:trPr>
          <w:cantSplit/>
        </w:trPr>
        <w:tc>
          <w:tcPr>
            <w:tcW w:type="dxa" w:w="3360"/>
            <w:shd w:fill="F7FAFC"/>
            <w:tcMar>
              <w:top w:w="65" w:type="dxa"/>
              <w:bottom w:w="65" w:type="dxa"/>
              <w:left w:w="100" w:type="dxa"/>
              <w:right w:w="100" w:type="dxa"/>
            </w:tcMar>
          </w:tcPr>
          <w:p>
            <w:r>
              <w:rPr>
                <w:rFonts w:ascii="Calibri" w:hAnsi="Calibri"/>
                <w:b/>
                <w:color w:val="2D3748"/>
                <w:sz w:val="15"/>
              </w:rPr>
              <w:t>WP-04</w:t>
            </w:r>
          </w:p>
        </w:tc>
        <w:tc>
          <w:tcPr>
            <w:tcW w:type="dxa" w:w="3360"/>
            <w:shd w:fill="F7FAFC"/>
            <w:tcMar>
              <w:top w:w="65" w:type="dxa"/>
              <w:bottom w:w="65" w:type="dxa"/>
              <w:left w:w="100" w:type="dxa"/>
              <w:right w:w="100" w:type="dxa"/>
            </w:tcMar>
          </w:tcPr>
          <w:p>
            <w:r>
              <w:rPr>
                <w:rFonts w:ascii="Calibri" w:hAnsi="Calibri"/>
                <w:color w:val="2D3748"/>
                <w:sz w:val="15"/>
              </w:rPr>
              <w:t>Structural, Microstructural &amp; Pectin Analysis</w:t>
            </w:r>
          </w:p>
        </w:tc>
        <w:tc>
          <w:tcPr>
            <w:tcW w:type="dxa" w:w="3360"/>
            <w:shd w:fill="F7FAFC"/>
            <w:tcMar>
              <w:top w:w="65" w:type="dxa"/>
              <w:bottom w:w="65" w:type="dxa"/>
              <w:left w:w="100" w:type="dxa"/>
              <w:right w:w="100" w:type="dxa"/>
            </w:tcMar>
          </w:tcPr>
          <w:p>
            <w:r>
              <w:rPr>
                <w:rFonts w:ascii="Calibri" w:hAnsi="Calibri"/>
                <w:color w:val="2D3748"/>
                <w:sz w:val="15"/>
              </w:rPr>
              <w:t>Cotyledon cellular density, seed-coat thickness, chemical fractionation of water-, oxalate-, and alkali-soluble pectin, degree of esterification, ICP-OES mineral profiling.</w:t>
            </w:r>
          </w:p>
        </w:tc>
      </w:tr>
      <w:tr>
        <w:trPr>
          <w:cantSplit/>
        </w:trPr>
        <w:tc>
          <w:tcPr>
            <w:tcW w:type="dxa" w:w="3360"/>
            <w:tcMar>
              <w:top w:w="65" w:type="dxa"/>
              <w:bottom w:w="65" w:type="dxa"/>
              <w:left w:w="100" w:type="dxa"/>
              <w:right w:w="100" w:type="dxa"/>
            </w:tcMar>
          </w:tcPr>
          <w:p>
            <w:r>
              <w:rPr>
                <w:rFonts w:ascii="Calibri" w:hAnsi="Calibri"/>
                <w:b/>
                <w:color w:val="2D3748"/>
                <w:sz w:val="15"/>
              </w:rPr>
              <w:t>WP-05</w:t>
            </w:r>
          </w:p>
        </w:tc>
        <w:tc>
          <w:tcPr>
            <w:tcW w:type="dxa" w:w="3360"/>
            <w:tcMar>
              <w:top w:w="65" w:type="dxa"/>
              <w:bottom w:w="65" w:type="dxa"/>
              <w:left w:w="100" w:type="dxa"/>
              <w:right w:w="100" w:type="dxa"/>
            </w:tcMar>
          </w:tcPr>
          <w:p>
            <w:r>
              <w:rPr>
                <w:rFonts w:ascii="Calibri" w:hAnsi="Calibri"/>
                <w:color w:val="2D3748"/>
                <w:sz w:val="15"/>
              </w:rPr>
              <w:t>Standardized Cooking, Texture &amp; Root-Cause Synthesis</w:t>
            </w:r>
          </w:p>
        </w:tc>
        <w:tc>
          <w:tcPr>
            <w:tcW w:type="dxa" w:w="3360"/>
            <w:tcMar>
              <w:top w:w="65" w:type="dxa"/>
              <w:bottom w:w="65" w:type="dxa"/>
              <w:left w:w="100" w:type="dxa"/>
              <w:right w:w="100" w:type="dxa"/>
            </w:tcMar>
          </w:tcPr>
          <w:p>
            <w:r>
              <w:rPr>
                <w:rFonts w:ascii="Calibri" w:hAnsi="Calibri"/>
                <w:color w:val="2D3748"/>
                <w:sz w:val="15"/>
              </w:rPr>
              <w:t>Instrumented pressurized cooking trials, objective texture analyzer compression/shear force, hard-core rate scoring, multivariate correlation, Phase 2 roadmap.</w:t>
            </w:r>
          </w:p>
        </w:tc>
      </w:tr>
    </w:tbl>
    <w:p>
      <w:pPr>
        <w:keepNext/>
        <w:spacing w:before="180" w:after="40"/>
      </w:pPr>
      <w:r>
        <w:rPr>
          <w:rFonts w:ascii="Calibri" w:hAnsi="Calibri"/>
          <w:b/>
          <w:color w:val="2B6CB0"/>
          <w:sz w:val="20"/>
        </w:rPr>
        <w:t>5.3 In Silico Digital Simulation Methodology &amp; Decision-Support Framework</w:t>
      </w:r>
    </w:p>
    <w:p>
      <w:pPr>
        <w:spacing w:before="0" w:after="60" w:line="276" w:lineRule="auto"/>
      </w:pPr>
      <w:r>
        <w:rPr>
          <w:rFonts w:ascii="Calibri" w:hAnsi="Calibri"/>
          <w:color w:val="2D3748"/>
          <w:sz w:val="17"/>
        </w:rPr>
        <w:t>To maximize analytical rigor and protect client capital prior to laboratory expenditure, FinnoaQ deploys an offline, GPU-accelerated computational engineering methodology as a diagnostic decision-support capability. This digital simulation layer does not replace physical laboratory assays; rather, it performs Optimal Experimental Design (OED) to prioritize the most informative laboratory tests:</w:t>
      </w:r>
    </w:p>
    <w:p>
      <w:pPr>
        <w:spacing w:before="0" w:after="60" w:line="276" w:lineRule="auto"/>
      </w:pPr>
      <w:r>
        <w:rPr>
          <w:rFonts w:ascii="Calibri" w:hAnsi="Calibri"/>
          <w:b/>
          <w:color w:val="1A365D"/>
          <w:sz w:val="17"/>
        </w:rPr>
        <w:t xml:space="preserve">1. Multiphysics PDE Modeling: </w:t>
      </w:r>
      <w:r>
        <w:rPr>
          <w:rFonts w:ascii="Calibri" w:hAnsi="Calibri"/>
          <w:color w:val="2D3748"/>
          <w:sz w:val="17"/>
        </w:rPr>
        <w:t>• 1D Reaction-Diffusion PDE Solver: Solves transient mass transport across the split cotyledon half-thickness (L_half = 1.1 mm) on PyTorch CUDA tensors, coupling aqueous ionic diffusion (Na+, Ca2+, H+), Arrhenius temperature dependence, and stoichiometric middle-lamella pectin de-crosslinking kinetics.</w:t>
      </w:r>
    </w:p>
    <w:p>
      <w:pPr>
        <w:spacing w:before="0" w:after="60" w:line="276" w:lineRule="auto"/>
      </w:pPr>
      <w:r>
        <w:rPr>
          <w:rFonts w:ascii="Calibri" w:hAnsi="Calibri"/>
          <w:b/>
          <w:color w:val="1A365D"/>
          <w:sz w:val="17"/>
        </w:rPr>
        <w:t xml:space="preserve">2. Kinetic Identifiability: </w:t>
      </w:r>
      <w:r>
        <w:rPr>
          <w:rFonts w:ascii="Calibri" w:hAnsi="Calibri"/>
          <w:color w:val="2D3748"/>
          <w:sz w:val="17"/>
        </w:rPr>
        <w:t>• Peleg &amp; Fickian Parameter Identifiability: Computes mathematical bounds and parameter sensitivity on water uptake kinetics, establishing whether a 30-minute soak is limited by external surface resistance or internal cellular diffusion.</w:t>
      </w:r>
    </w:p>
    <w:p>
      <w:pPr>
        <w:spacing w:before="0" w:after="60" w:line="276" w:lineRule="auto"/>
      </w:pPr>
      <w:r>
        <w:rPr>
          <w:rFonts w:ascii="Calibri" w:hAnsi="Calibri"/>
          <w:b/>
          <w:color w:val="1A365D"/>
          <w:sz w:val="17"/>
        </w:rPr>
        <w:t xml:space="preserve">3. Monte Carlo Uncertainty: </w:t>
      </w:r>
      <w:r>
        <w:rPr>
          <w:rFonts w:ascii="Calibri" w:hAnsi="Calibri"/>
          <w:color w:val="2D3748"/>
          <w:sz w:val="17"/>
        </w:rPr>
        <w:t>• GPU-Accelerated Monte Carlo Sweeps: Executes large-scale parameter sweeps (N = 5,000 to 250,000 scenarios) across uncertain inputs (feed moisture, solids loss, drying temperatures) on an NVIDIA GeForce RTX 4050 Laptop GPU, mapping variance envelopes for thermal duty and dryer sizing.</w:t>
      </w:r>
    </w:p>
    <w:p>
      <w:pPr>
        <w:spacing w:before="0" w:after="60" w:line="276" w:lineRule="auto"/>
      </w:pPr>
      <w:r>
        <w:rPr>
          <w:rFonts w:ascii="Calibri" w:hAnsi="Calibri"/>
          <w:b/>
          <w:color w:val="1A365D"/>
          <w:sz w:val="17"/>
        </w:rPr>
        <w:t xml:space="preserve">4. Process Thermodynamic Modeling: </w:t>
      </w:r>
      <w:r>
        <w:rPr>
          <w:rFonts w:ascii="Calibri" w:hAnsi="Calibri"/>
          <w:color w:val="2D3748"/>
          <w:sz w:val="17"/>
        </w:rPr>
        <w:t>• Aspen Plus Electrolyte Property Simulation: Simulates aqueous electrolyte equilibrium (ELECNRTL property method) to predict pH, species activity, and vapor-liquid equilibrium for industrial steep liquor and zero-liquid-discharge evaporator utilities.</w:t>
      </w:r>
    </w:p>
    <w:p>
      <w:pPr>
        <w:spacing w:before="0" w:after="60" w:line="276" w:lineRule="auto"/>
      </w:pPr>
      <w:r>
        <w:rPr>
          <w:rFonts w:ascii="Calibri" w:hAnsi="Calibri"/>
          <w:b/>
          <w:color w:val="1A365D"/>
          <w:sz w:val="17"/>
        </w:rPr>
        <w:t xml:space="preserve">5. Dream-RSI Decision Logic: </w:t>
      </w:r>
      <w:r>
        <w:rPr>
          <w:rFonts w:ascii="Calibri" w:hAnsi="Calibri"/>
          <w:color w:val="2D3748"/>
          <w:sz w:val="17"/>
        </w:rPr>
        <w:t>• Dream-RSI Policy Exploration Tree: Implements an autonomous 8-stage discovery and falsification tree (arXiv:2609.14858 / kudoej/dream-rsi) over recorded experimental traces to evaluate multi-objective Pareto trade-offs (cooking time vs recovery vs sodium retention vs cost) without synthetic lookalikes.</w:t>
      </w:r>
    </w:p>
    <w:tbl>
      <w:tblPr>
        <w:tblW w:type="auto" w:w="0"/>
        <w:jc w:val="center"/>
        <w:tblLayout w:type="fixed"/>
        <w:tblLook w:firstColumn="1" w:firstRow="1" w:lastColumn="0" w:lastRow="0" w:noHBand="0" w:noVBand="1" w:val="04A0"/>
      </w:tblPr>
      <w:tblGrid>
        <w:gridCol w:w="10080"/>
      </w:tblGrid>
      <w:tr>
        <w:tc>
          <w:tcPr>
            <w:tcW w:type="dxa" w:w="10080"/>
            <w:shd w:fill="EDF2F7"/>
            <w:tcMar>
              <w:top w:w="90" w:type="dxa"/>
              <w:bottom w:w="90" w:type="dxa"/>
              <w:left w:w="150" w:type="dxa"/>
              <w:right w:w="120" w:type="dxa"/>
            </w:tcMar>
            <w:tcBorders>
              <w:left w:val="single" w:sz="24" w:space="0" w:color="3182CE"/>
              <w:top w:val="none"/>
              <w:right w:val="none"/>
              <w:bottom w:val="none"/>
            </w:tcBorders>
          </w:tcPr>
          <w:p>
            <w:pPr>
              <w:spacing w:before="0" w:after="40"/>
            </w:pPr>
            <w:r>
              <w:rPr>
                <w:rFonts w:ascii="Calibri" w:hAnsi="Calibri"/>
                <w:b/>
                <w:color w:val="1A365D"/>
                <w:sz w:val="16"/>
              </w:rPr>
              <w:t>[MANDATORY EPISTEMIC TAG &amp; COMPUTATIONAL GOVERNANCE]</w:t>
              <w:br/>
            </w:r>
            <w:r>
              <w:rPr>
                <w:rFonts w:ascii="Calibri" w:hAnsi="Calibri"/>
                <w:i/>
                <w:color w:val="2D3748"/>
                <w:sz w:val="16"/>
              </w:rPr>
              <w:t>All computational outputs are formally classified as COMPUTATIONAL_SIMULATION — UNVALIDATED_PRIOR_TO_LAB_DATA. Simulation models serve strictly as exploratory decision support to rank hypotheses and minimize laboratory expenditure. No simulation result will be represented as physical experimental evidence until validated against the client's actual incoming lot.</w:t>
            </w:r>
          </w:p>
        </w:tc>
      </w:tr>
    </w:tbl>
    <w:p>
      <w:pPr>
        <w:keepNext/>
        <w:spacing w:before="260" w:after="60"/>
      </w:pPr>
      <w:r>
        <w:rPr>
          <w:rFonts w:ascii="Calibri" w:hAnsi="Calibri"/>
          <w:b/>
          <w:color w:val="1A365D"/>
          <w:sz w:val="23"/>
        </w:rPr>
        <w:t>6. Technical Investigation Matrix</w:t>
      </w:r>
    </w:p>
    <w:p>
      <w:pPr>
        <w:spacing w:before="0" w:after="60" w:line="276" w:lineRule="auto"/>
      </w:pPr>
      <w:r>
        <w:rPr>
          <w:rFonts w:ascii="Calibri" w:hAnsi="Calibri"/>
          <w:color w:val="2D3748"/>
          <w:sz w:val="17"/>
        </w:rPr>
        <w:t>The multi-module experimental investigation matrix integrates all physical, chemical, structural, and cooking evaluations across the comparative samples: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152"/>
        <w:gridCol w:w="2160"/>
        <w:gridCol w:w="2592"/>
        <w:gridCol w:w="2016"/>
        <w:gridCol w:w="2160"/>
      </w:tblGrid>
      <w:tr>
        <w:trPr>
          <w:tblHeader/>
          <w:cantSplit/>
        </w:trPr>
        <w:tc>
          <w:tcPr>
            <w:tcW w:type="dxa" w:w="2016"/>
            <w:shd w:fill="1A365D"/>
            <w:tcMar>
              <w:top w:w="100" w:type="dxa"/>
              <w:bottom w:w="100" w:type="dxa"/>
              <w:left w:w="100" w:type="dxa"/>
              <w:right w:w="100" w:type="dxa"/>
            </w:tcMar>
          </w:tcPr>
          <w:p>
            <w:pPr>
              <w:jc w:val="left"/>
            </w:pPr>
            <w:r>
              <w:t>Module</w:t>
            </w:r>
          </w:p>
        </w:tc>
        <w:tc>
          <w:tcPr>
            <w:tcW w:type="dxa" w:w="2016"/>
            <w:shd w:fill="1A365D"/>
            <w:tcMar>
              <w:top w:w="100" w:type="dxa"/>
              <w:bottom w:w="100" w:type="dxa"/>
              <w:left w:w="100" w:type="dxa"/>
              <w:right w:w="100" w:type="dxa"/>
            </w:tcMar>
          </w:tcPr>
          <w:p>
            <w:pPr>
              <w:jc w:val="left"/>
            </w:pPr>
            <w:r>
              <w:t>Analytical Domain</w:t>
            </w:r>
          </w:p>
        </w:tc>
        <w:tc>
          <w:tcPr>
            <w:tcW w:type="dxa" w:w="2016"/>
            <w:shd w:fill="1A365D"/>
            <w:tcMar>
              <w:top w:w="100" w:type="dxa"/>
              <w:bottom w:w="100" w:type="dxa"/>
              <w:left w:w="100" w:type="dxa"/>
              <w:right w:w="100" w:type="dxa"/>
            </w:tcMar>
          </w:tcPr>
          <w:p>
            <w:pPr>
              <w:jc w:val="left"/>
            </w:pPr>
            <w:r>
              <w:t>Key Parameters Measured</w:t>
            </w:r>
          </w:p>
        </w:tc>
        <w:tc>
          <w:tcPr>
            <w:tcW w:type="dxa" w:w="2016"/>
            <w:shd w:fill="1A365D"/>
            <w:tcMar>
              <w:top w:w="100" w:type="dxa"/>
              <w:bottom w:w="100" w:type="dxa"/>
              <w:left w:w="100" w:type="dxa"/>
              <w:right w:w="100" w:type="dxa"/>
            </w:tcMar>
          </w:tcPr>
          <w:p>
            <w:pPr>
              <w:jc w:val="left"/>
            </w:pPr>
            <w:r>
              <w:t>Standard Method / Instrument</w:t>
            </w:r>
          </w:p>
        </w:tc>
        <w:tc>
          <w:tcPr>
            <w:tcW w:type="dxa" w:w="2016"/>
            <w:shd w:fill="1A365D"/>
            <w:tcMar>
              <w:top w:w="100" w:type="dxa"/>
              <w:bottom w:w="100" w:type="dxa"/>
              <w:left w:w="100" w:type="dxa"/>
              <w:right w:w="100" w:type="dxa"/>
            </w:tcMar>
          </w:tcPr>
          <w:p>
            <w:pPr>
              <w:jc w:val="left"/>
            </w:pPr>
            <w:r>
              <w:t>Decision Relevance</w:t>
            </w:r>
          </w:p>
        </w:tc>
      </w:tr>
      <w:tr>
        <w:trPr>
          <w:cantSplit/>
        </w:trPr>
        <w:tc>
          <w:tcPr>
            <w:tcW w:type="dxa" w:w="2016"/>
            <w:tcMar>
              <w:top w:w="65" w:type="dxa"/>
              <w:bottom w:w="65" w:type="dxa"/>
              <w:left w:w="100" w:type="dxa"/>
              <w:right w:w="100" w:type="dxa"/>
            </w:tcMar>
          </w:tcPr>
          <w:p>
            <w:r>
              <w:rPr>
                <w:rFonts w:ascii="Calibri" w:hAnsi="Calibri"/>
                <w:b/>
                <w:color w:val="2D3748"/>
                <w:sz w:val="14"/>
              </w:rPr>
              <w:t>MOD-01</w:t>
            </w:r>
          </w:p>
        </w:tc>
        <w:tc>
          <w:tcPr>
            <w:tcW w:type="dxa" w:w="2016"/>
            <w:tcMar>
              <w:top w:w="65" w:type="dxa"/>
              <w:bottom w:w="65" w:type="dxa"/>
              <w:left w:w="100" w:type="dxa"/>
              <w:right w:w="100" w:type="dxa"/>
            </w:tcMar>
          </w:tcPr>
          <w:p>
            <w:r>
              <w:rPr>
                <w:rFonts w:ascii="Calibri" w:hAnsi="Calibri"/>
                <w:color w:val="2D3748"/>
                <w:sz w:val="14"/>
              </w:rPr>
              <w:t>Physical &amp; Integrity</w:t>
            </w:r>
          </w:p>
        </w:tc>
        <w:tc>
          <w:tcPr>
            <w:tcW w:type="dxa" w:w="2016"/>
            <w:tcMar>
              <w:top w:w="65" w:type="dxa"/>
              <w:bottom w:w="65" w:type="dxa"/>
              <w:left w:w="100" w:type="dxa"/>
              <w:right w:w="100" w:type="dxa"/>
            </w:tcMar>
          </w:tcPr>
          <w:p>
            <w:r>
              <w:rPr>
                <w:rFonts w:ascii="Calibri" w:hAnsi="Calibri"/>
                <w:color w:val="2D3748"/>
                <w:sz w:val="14"/>
              </w:rPr>
              <w:t>Dimensions, 1000-grain weight, bulk density, broken grains, seed-coat %.</w:t>
            </w:r>
          </w:p>
        </w:tc>
        <w:tc>
          <w:tcPr>
            <w:tcW w:type="dxa" w:w="2016"/>
            <w:tcMar>
              <w:top w:w="65" w:type="dxa"/>
              <w:bottom w:w="65" w:type="dxa"/>
              <w:left w:w="100" w:type="dxa"/>
              <w:right w:w="100" w:type="dxa"/>
            </w:tcMar>
          </w:tcPr>
          <w:p>
            <w:r>
              <w:rPr>
                <w:rFonts w:ascii="Calibri" w:hAnsi="Calibri"/>
                <w:color w:val="2D3748"/>
                <w:sz w:val="14"/>
              </w:rPr>
              <w:t>IS 4333 / Caliper &amp; Density Flask</w:t>
            </w:r>
          </w:p>
        </w:tc>
        <w:tc>
          <w:tcPr>
            <w:tcW w:type="dxa" w:w="2016"/>
            <w:tcMar>
              <w:top w:w="65" w:type="dxa"/>
              <w:bottom w:w="65" w:type="dxa"/>
              <w:left w:w="100" w:type="dxa"/>
              <w:right w:w="100" w:type="dxa"/>
            </w:tcMar>
          </w:tcPr>
          <w:p>
            <w:r>
              <w:rPr>
                <w:rFonts w:ascii="Calibri" w:hAnsi="Calibri"/>
                <w:color w:val="2D3748"/>
                <w:sz w:val="14"/>
              </w:rPr>
              <w:t>Identifies geometric barriers &amp; milling quality.</w:t>
            </w:r>
          </w:p>
        </w:tc>
      </w:tr>
      <w:tr>
        <w:trPr>
          <w:cantSplit/>
        </w:trPr>
        <w:tc>
          <w:tcPr>
            <w:tcW w:type="dxa" w:w="2016"/>
            <w:shd w:fill="F7FAFC"/>
            <w:tcMar>
              <w:top w:w="65" w:type="dxa"/>
              <w:bottom w:w="65" w:type="dxa"/>
              <w:left w:w="100" w:type="dxa"/>
              <w:right w:w="100" w:type="dxa"/>
            </w:tcMar>
          </w:tcPr>
          <w:p>
            <w:r>
              <w:rPr>
                <w:rFonts w:ascii="Calibri" w:hAnsi="Calibri"/>
                <w:b/>
                <w:color w:val="2D3748"/>
                <w:sz w:val="14"/>
              </w:rPr>
              <w:t>MOD-02</w:t>
            </w:r>
          </w:p>
        </w:tc>
        <w:tc>
          <w:tcPr>
            <w:tcW w:type="dxa" w:w="2016"/>
            <w:shd w:fill="F7FAFC"/>
            <w:tcMar>
              <w:top w:w="65" w:type="dxa"/>
              <w:bottom w:w="65" w:type="dxa"/>
              <w:left w:w="100" w:type="dxa"/>
              <w:right w:w="100" w:type="dxa"/>
            </w:tcMar>
          </w:tcPr>
          <w:p>
            <w:r>
              <w:rPr>
                <w:rFonts w:ascii="Calibri" w:hAnsi="Calibri"/>
                <w:color w:val="2D3748"/>
                <w:sz w:val="14"/>
              </w:rPr>
              <w:t>Proximate Composition</w:t>
            </w:r>
          </w:p>
        </w:tc>
        <w:tc>
          <w:tcPr>
            <w:tcW w:type="dxa" w:w="2016"/>
            <w:shd w:fill="F7FAFC"/>
            <w:tcMar>
              <w:top w:w="65" w:type="dxa"/>
              <w:bottom w:w="65" w:type="dxa"/>
              <w:left w:w="100" w:type="dxa"/>
              <w:right w:w="100" w:type="dxa"/>
            </w:tcMar>
          </w:tcPr>
          <w:p>
            <w:r>
              <w:rPr>
                <w:rFonts w:ascii="Calibri" w:hAnsi="Calibri"/>
                <w:color w:val="2D3748"/>
                <w:sz w:val="14"/>
              </w:rPr>
              <w:t>Moisture (WB), crude protein, crude fat, crude fibre, total ash, carbohydrates.</w:t>
            </w:r>
          </w:p>
        </w:tc>
        <w:tc>
          <w:tcPr>
            <w:tcW w:type="dxa" w:w="2016"/>
            <w:shd w:fill="F7FAFC"/>
            <w:tcMar>
              <w:top w:w="65" w:type="dxa"/>
              <w:bottom w:w="65" w:type="dxa"/>
              <w:left w:w="100" w:type="dxa"/>
              <w:right w:w="100" w:type="dxa"/>
            </w:tcMar>
          </w:tcPr>
          <w:p>
            <w:r>
              <w:rPr>
                <w:rFonts w:ascii="Calibri" w:hAnsi="Calibri"/>
                <w:color w:val="2D3748"/>
                <w:sz w:val="14"/>
              </w:rPr>
              <w:t>AOAC 925.10 / 920.87 / 922.06 / 923.03</w:t>
            </w:r>
          </w:p>
        </w:tc>
        <w:tc>
          <w:tcPr>
            <w:tcW w:type="dxa" w:w="2016"/>
            <w:shd w:fill="F7FAFC"/>
            <w:tcMar>
              <w:top w:w="65" w:type="dxa"/>
              <w:bottom w:w="65" w:type="dxa"/>
              <w:left w:w="100" w:type="dxa"/>
              <w:right w:w="100" w:type="dxa"/>
            </w:tcMar>
          </w:tcPr>
          <w:p>
            <w:r>
              <w:rPr>
                <w:rFonts w:ascii="Calibri" w:hAnsi="Calibri"/>
                <w:color w:val="2D3748"/>
                <w:sz w:val="14"/>
              </w:rPr>
              <w:t>Establishes baseline chemical composition &amp; dry matter.</w:t>
            </w:r>
          </w:p>
        </w:tc>
      </w:tr>
      <w:tr>
        <w:trPr>
          <w:cantSplit/>
        </w:trPr>
        <w:tc>
          <w:tcPr>
            <w:tcW w:type="dxa" w:w="2016"/>
            <w:tcMar>
              <w:top w:w="65" w:type="dxa"/>
              <w:bottom w:w="65" w:type="dxa"/>
              <w:left w:w="100" w:type="dxa"/>
              <w:right w:w="100" w:type="dxa"/>
            </w:tcMar>
          </w:tcPr>
          <w:p>
            <w:r>
              <w:rPr>
                <w:rFonts w:ascii="Calibri" w:hAnsi="Calibri"/>
                <w:b/>
                <w:color w:val="2D3748"/>
                <w:sz w:val="14"/>
              </w:rPr>
              <w:t>MOD-03</w:t>
            </w:r>
          </w:p>
        </w:tc>
        <w:tc>
          <w:tcPr>
            <w:tcW w:type="dxa" w:w="2016"/>
            <w:tcMar>
              <w:top w:w="65" w:type="dxa"/>
              <w:bottom w:w="65" w:type="dxa"/>
              <w:left w:w="100" w:type="dxa"/>
              <w:right w:w="100" w:type="dxa"/>
            </w:tcMar>
          </w:tcPr>
          <w:p>
            <w:r>
              <w:rPr>
                <w:rFonts w:ascii="Calibri" w:hAnsi="Calibri"/>
                <w:color w:val="2D3748"/>
                <w:sz w:val="14"/>
              </w:rPr>
              <w:t>Starch Properties</w:t>
            </w:r>
          </w:p>
        </w:tc>
        <w:tc>
          <w:tcPr>
            <w:tcW w:type="dxa" w:w="2016"/>
            <w:tcMar>
              <w:top w:w="65" w:type="dxa"/>
              <w:bottom w:w="65" w:type="dxa"/>
              <w:left w:w="100" w:type="dxa"/>
              <w:right w:w="100" w:type="dxa"/>
            </w:tcMar>
          </w:tcPr>
          <w:p>
            <w:r>
              <w:rPr>
                <w:rFonts w:ascii="Calibri" w:hAnsi="Calibri"/>
                <w:color w:val="2D3748"/>
                <w:sz w:val="14"/>
              </w:rPr>
              <w:t>Total starch content, amylose percentage, amylopectin ratio.</w:t>
            </w:r>
          </w:p>
        </w:tc>
        <w:tc>
          <w:tcPr>
            <w:tcW w:type="dxa" w:w="2016"/>
            <w:tcMar>
              <w:top w:w="65" w:type="dxa"/>
              <w:bottom w:w="65" w:type="dxa"/>
              <w:left w:w="100" w:type="dxa"/>
              <w:right w:w="100" w:type="dxa"/>
            </w:tcMar>
          </w:tcPr>
          <w:p>
            <w:r>
              <w:rPr>
                <w:rFonts w:ascii="Calibri" w:hAnsi="Calibri"/>
                <w:color w:val="2D3748"/>
                <w:sz w:val="14"/>
              </w:rPr>
              <w:t>Megazyme K-AMYL / Spectrophotometry</w:t>
            </w:r>
          </w:p>
        </w:tc>
        <w:tc>
          <w:tcPr>
            <w:tcW w:type="dxa" w:w="2016"/>
            <w:tcMar>
              <w:top w:w="65" w:type="dxa"/>
              <w:bottom w:w="65" w:type="dxa"/>
              <w:left w:w="100" w:type="dxa"/>
              <w:right w:w="100" w:type="dxa"/>
            </w:tcMar>
          </w:tcPr>
          <w:p>
            <w:r>
              <w:rPr>
                <w:rFonts w:ascii="Calibri" w:hAnsi="Calibri"/>
                <w:color w:val="2D3748"/>
                <w:sz w:val="14"/>
              </w:rPr>
              <w:t>Assesses starch retrogradation &amp; swelling potential.</w:t>
            </w:r>
          </w:p>
        </w:tc>
      </w:tr>
      <w:tr>
        <w:trPr>
          <w:cantSplit/>
        </w:trPr>
        <w:tc>
          <w:tcPr>
            <w:tcW w:type="dxa" w:w="2016"/>
            <w:shd w:fill="F7FAFC"/>
            <w:tcMar>
              <w:top w:w="65" w:type="dxa"/>
              <w:bottom w:w="65" w:type="dxa"/>
              <w:left w:w="100" w:type="dxa"/>
              <w:right w:w="100" w:type="dxa"/>
            </w:tcMar>
          </w:tcPr>
          <w:p>
            <w:r>
              <w:rPr>
                <w:rFonts w:ascii="Calibri" w:hAnsi="Calibri"/>
                <w:b/>
                <w:color w:val="2D3748"/>
                <w:sz w:val="14"/>
              </w:rPr>
              <w:t>MOD-04</w:t>
            </w:r>
          </w:p>
        </w:tc>
        <w:tc>
          <w:tcPr>
            <w:tcW w:type="dxa" w:w="2016"/>
            <w:shd w:fill="F7FAFC"/>
            <w:tcMar>
              <w:top w:w="65" w:type="dxa"/>
              <w:bottom w:w="65" w:type="dxa"/>
              <w:left w:w="100" w:type="dxa"/>
              <w:right w:w="100" w:type="dxa"/>
            </w:tcMar>
          </w:tcPr>
          <w:p>
            <w:r>
              <w:rPr>
                <w:rFonts w:ascii="Calibri" w:hAnsi="Calibri"/>
                <w:color w:val="2D3748"/>
                <w:sz w:val="14"/>
              </w:rPr>
              <w:t>DSC Thermal Behavior</w:t>
            </w:r>
          </w:p>
        </w:tc>
        <w:tc>
          <w:tcPr>
            <w:tcW w:type="dxa" w:w="2016"/>
            <w:shd w:fill="F7FAFC"/>
            <w:tcMar>
              <w:top w:w="65" w:type="dxa"/>
              <w:bottom w:w="65" w:type="dxa"/>
              <w:left w:w="100" w:type="dxa"/>
              <w:right w:w="100" w:type="dxa"/>
            </w:tcMar>
          </w:tcPr>
          <w:p>
            <w:r>
              <w:rPr>
                <w:rFonts w:ascii="Calibri" w:hAnsi="Calibri"/>
                <w:color w:val="2D3748"/>
                <w:sz w:val="14"/>
              </w:rPr>
              <w:t>Gelatinization onset (To), peak (Tp), conclusion (Tc), enthalpy (ΔHgel).</w:t>
            </w:r>
          </w:p>
        </w:tc>
        <w:tc>
          <w:tcPr>
            <w:tcW w:type="dxa" w:w="2016"/>
            <w:shd w:fill="F7FAFC"/>
            <w:tcMar>
              <w:top w:w="65" w:type="dxa"/>
              <w:bottom w:w="65" w:type="dxa"/>
              <w:left w:w="100" w:type="dxa"/>
              <w:right w:w="100" w:type="dxa"/>
            </w:tcMar>
          </w:tcPr>
          <w:p>
            <w:r>
              <w:rPr>
                <w:rFonts w:ascii="Calibri" w:hAnsi="Calibri"/>
                <w:color w:val="2D3748"/>
                <w:sz w:val="14"/>
              </w:rPr>
              <w:t>AACC 56-11.02 / Differential Scanning Calorimeter</w:t>
            </w:r>
          </w:p>
        </w:tc>
        <w:tc>
          <w:tcPr>
            <w:tcW w:type="dxa" w:w="2016"/>
            <w:shd w:fill="F7FAFC"/>
            <w:tcMar>
              <w:top w:w="65" w:type="dxa"/>
              <w:bottom w:w="65" w:type="dxa"/>
              <w:left w:w="100" w:type="dxa"/>
              <w:right w:w="100" w:type="dxa"/>
            </w:tcMar>
          </w:tcPr>
          <w:p>
            <w:r>
              <w:rPr>
                <w:rFonts w:ascii="Calibri" w:hAnsi="Calibri"/>
                <w:color w:val="2D3748"/>
                <w:sz w:val="14"/>
              </w:rPr>
              <w:t>Identifies if starch requires higher cooking temperature.</w:t>
            </w:r>
          </w:p>
        </w:tc>
      </w:tr>
      <w:tr>
        <w:trPr>
          <w:cantSplit/>
        </w:trPr>
        <w:tc>
          <w:tcPr>
            <w:tcW w:type="dxa" w:w="2016"/>
            <w:tcMar>
              <w:top w:w="65" w:type="dxa"/>
              <w:bottom w:w="65" w:type="dxa"/>
              <w:left w:w="100" w:type="dxa"/>
              <w:right w:w="100" w:type="dxa"/>
            </w:tcMar>
          </w:tcPr>
          <w:p>
            <w:r>
              <w:rPr>
                <w:rFonts w:ascii="Calibri" w:hAnsi="Calibri"/>
                <w:b/>
                <w:color w:val="2D3748"/>
                <w:sz w:val="14"/>
              </w:rPr>
              <w:t>MOD-05</w:t>
            </w:r>
          </w:p>
        </w:tc>
        <w:tc>
          <w:tcPr>
            <w:tcW w:type="dxa" w:w="2016"/>
            <w:tcMar>
              <w:top w:w="65" w:type="dxa"/>
              <w:bottom w:w="65" w:type="dxa"/>
              <w:left w:w="100" w:type="dxa"/>
              <w:right w:w="100" w:type="dxa"/>
            </w:tcMar>
          </w:tcPr>
          <w:p>
            <w:r>
              <w:rPr>
                <w:rFonts w:ascii="Calibri" w:hAnsi="Calibri"/>
                <w:color w:val="2D3748"/>
                <w:sz w:val="14"/>
              </w:rPr>
              <w:t>Hydration Kinetics</w:t>
            </w:r>
          </w:p>
        </w:tc>
        <w:tc>
          <w:tcPr>
            <w:tcW w:type="dxa" w:w="2016"/>
            <w:tcMar>
              <w:top w:w="65" w:type="dxa"/>
              <w:bottom w:w="65" w:type="dxa"/>
              <w:left w:w="100" w:type="dxa"/>
              <w:right w:w="100" w:type="dxa"/>
            </w:tcMar>
          </w:tcPr>
          <w:p>
            <w:r>
              <w:rPr>
                <w:rFonts w:ascii="Calibri" w:hAnsi="Calibri"/>
                <w:color w:val="2D3748"/>
                <w:sz w:val="14"/>
              </w:rPr>
              <w:t>Water absorption rate (k), equilibrium capacity, leached solids at 25/40/60°C.</w:t>
            </w:r>
          </w:p>
        </w:tc>
        <w:tc>
          <w:tcPr>
            <w:tcW w:type="dxa" w:w="2016"/>
            <w:tcMar>
              <w:top w:w="65" w:type="dxa"/>
              <w:bottom w:w="65" w:type="dxa"/>
              <w:left w:w="100" w:type="dxa"/>
              <w:right w:w="100" w:type="dxa"/>
            </w:tcMar>
          </w:tcPr>
          <w:p>
            <w:r>
              <w:rPr>
                <w:rFonts w:ascii="Calibri" w:hAnsi="Calibri"/>
                <w:color w:val="2D3748"/>
                <w:sz w:val="14"/>
              </w:rPr>
              <w:t>AACC 56-20 / Gravimetric Kinetic Cell</w:t>
            </w:r>
          </w:p>
        </w:tc>
        <w:tc>
          <w:tcPr>
            <w:tcW w:type="dxa" w:w="2016"/>
            <w:tcMar>
              <w:top w:w="65" w:type="dxa"/>
              <w:bottom w:w="65" w:type="dxa"/>
              <w:left w:w="100" w:type="dxa"/>
              <w:right w:w="100" w:type="dxa"/>
            </w:tcMar>
          </w:tcPr>
          <w:p>
            <w:r>
              <w:rPr>
                <w:rFonts w:ascii="Calibri" w:hAnsi="Calibri"/>
                <w:color w:val="2D3748"/>
                <w:sz w:val="14"/>
              </w:rPr>
              <w:t>Isolates water penetration rate from cooking reactions.</w:t>
            </w:r>
          </w:p>
        </w:tc>
      </w:tr>
      <w:tr>
        <w:trPr>
          <w:cantSplit/>
        </w:trPr>
        <w:tc>
          <w:tcPr>
            <w:tcW w:type="dxa" w:w="2016"/>
            <w:shd w:fill="F7FAFC"/>
            <w:tcMar>
              <w:top w:w="65" w:type="dxa"/>
              <w:bottom w:w="65" w:type="dxa"/>
              <w:left w:w="100" w:type="dxa"/>
              <w:right w:w="100" w:type="dxa"/>
            </w:tcMar>
          </w:tcPr>
          <w:p>
            <w:r>
              <w:rPr>
                <w:rFonts w:ascii="Calibri" w:hAnsi="Calibri"/>
                <w:b/>
                <w:color w:val="2D3748"/>
                <w:sz w:val="14"/>
              </w:rPr>
              <w:t>MOD-06</w:t>
            </w:r>
          </w:p>
        </w:tc>
        <w:tc>
          <w:tcPr>
            <w:tcW w:type="dxa" w:w="2016"/>
            <w:shd w:fill="F7FAFC"/>
            <w:tcMar>
              <w:top w:w="65" w:type="dxa"/>
              <w:bottom w:w="65" w:type="dxa"/>
              <w:left w:w="100" w:type="dxa"/>
              <w:right w:w="100" w:type="dxa"/>
            </w:tcMar>
          </w:tcPr>
          <w:p>
            <w:r>
              <w:rPr>
                <w:rFonts w:ascii="Calibri" w:hAnsi="Calibri"/>
                <w:color w:val="2D3748"/>
                <w:sz w:val="14"/>
              </w:rPr>
              <w:t>Pectin &amp; Cell-Wall</w:t>
            </w:r>
          </w:p>
        </w:tc>
        <w:tc>
          <w:tcPr>
            <w:tcW w:type="dxa" w:w="2016"/>
            <w:shd w:fill="F7FAFC"/>
            <w:tcMar>
              <w:top w:w="65" w:type="dxa"/>
              <w:bottom w:w="65" w:type="dxa"/>
              <w:left w:w="100" w:type="dxa"/>
              <w:right w:w="100" w:type="dxa"/>
            </w:tcMar>
          </w:tcPr>
          <w:p>
            <w:r>
              <w:rPr>
                <w:rFonts w:ascii="Calibri" w:hAnsi="Calibri"/>
                <w:color w:val="2D3748"/>
                <w:sz w:val="14"/>
              </w:rPr>
              <w:t>Water-, oxalate-, alkali-soluble pectin, degree of esterification (DE).</w:t>
            </w:r>
          </w:p>
        </w:tc>
        <w:tc>
          <w:tcPr>
            <w:tcW w:type="dxa" w:w="2016"/>
            <w:shd w:fill="F7FAFC"/>
            <w:tcMar>
              <w:top w:w="65" w:type="dxa"/>
              <w:bottom w:w="65" w:type="dxa"/>
              <w:left w:w="100" w:type="dxa"/>
              <w:right w:w="100" w:type="dxa"/>
            </w:tcMar>
          </w:tcPr>
          <w:p>
            <w:r>
              <w:rPr>
                <w:rFonts w:ascii="Calibri" w:hAnsi="Calibri"/>
                <w:color w:val="2D3748"/>
                <w:sz w:val="14"/>
              </w:rPr>
              <w:t>Carbohydrate Polymers / Chemical Fractionation</w:t>
            </w:r>
          </w:p>
        </w:tc>
        <w:tc>
          <w:tcPr>
            <w:tcW w:type="dxa" w:w="2016"/>
            <w:shd w:fill="F7FAFC"/>
            <w:tcMar>
              <w:top w:w="65" w:type="dxa"/>
              <w:bottom w:w="65" w:type="dxa"/>
              <w:left w:w="100" w:type="dxa"/>
              <w:right w:w="100" w:type="dxa"/>
            </w:tcMar>
          </w:tcPr>
          <w:p>
            <w:r>
              <w:rPr>
                <w:rFonts w:ascii="Calibri" w:hAnsi="Calibri"/>
                <w:color w:val="2D3748"/>
                <w:sz w:val="14"/>
              </w:rPr>
              <w:t>Tests middle lamella pectin solubility &amp; crosslinking.</w:t>
            </w:r>
          </w:p>
        </w:tc>
      </w:tr>
      <w:tr>
        <w:trPr>
          <w:cantSplit/>
        </w:trPr>
        <w:tc>
          <w:tcPr>
            <w:tcW w:type="dxa" w:w="2016"/>
            <w:tcMar>
              <w:top w:w="65" w:type="dxa"/>
              <w:bottom w:w="65" w:type="dxa"/>
              <w:left w:w="100" w:type="dxa"/>
              <w:right w:w="100" w:type="dxa"/>
            </w:tcMar>
          </w:tcPr>
          <w:p>
            <w:r>
              <w:rPr>
                <w:rFonts w:ascii="Calibri" w:hAnsi="Calibri"/>
                <w:b/>
                <w:color w:val="2D3748"/>
                <w:sz w:val="14"/>
              </w:rPr>
              <w:t>MOD-07</w:t>
            </w:r>
          </w:p>
        </w:tc>
        <w:tc>
          <w:tcPr>
            <w:tcW w:type="dxa" w:w="2016"/>
            <w:tcMar>
              <w:top w:w="65" w:type="dxa"/>
              <w:bottom w:w="65" w:type="dxa"/>
              <w:left w:w="100" w:type="dxa"/>
              <w:right w:w="100" w:type="dxa"/>
            </w:tcMar>
          </w:tcPr>
          <w:p>
            <w:r>
              <w:rPr>
                <w:rFonts w:ascii="Calibri" w:hAnsi="Calibri"/>
                <w:color w:val="2D3748"/>
                <w:sz w:val="14"/>
              </w:rPr>
              <w:t>Minerals &amp; Phytate</w:t>
            </w:r>
          </w:p>
        </w:tc>
        <w:tc>
          <w:tcPr>
            <w:tcW w:type="dxa" w:w="2016"/>
            <w:tcMar>
              <w:top w:w="65" w:type="dxa"/>
              <w:bottom w:w="65" w:type="dxa"/>
              <w:left w:w="100" w:type="dxa"/>
              <w:right w:w="100" w:type="dxa"/>
            </w:tcMar>
          </w:tcPr>
          <w:p>
            <w:r>
              <w:rPr>
                <w:rFonts w:ascii="Calibri" w:hAnsi="Calibri"/>
                <w:color w:val="2D3748"/>
                <w:sz w:val="14"/>
              </w:rPr>
              <w:t>Calcium, magnesium, iron, phosphorus, potassium, phytic acid, Ca:phytate ratio.</w:t>
            </w:r>
          </w:p>
        </w:tc>
        <w:tc>
          <w:tcPr>
            <w:tcW w:type="dxa" w:w="2016"/>
            <w:tcMar>
              <w:top w:w="65" w:type="dxa"/>
              <w:bottom w:w="65" w:type="dxa"/>
              <w:left w:w="100" w:type="dxa"/>
              <w:right w:w="100" w:type="dxa"/>
            </w:tcMar>
          </w:tcPr>
          <w:p>
            <w:r>
              <w:rPr>
                <w:rFonts w:ascii="Calibri" w:hAnsi="Calibri"/>
                <w:color w:val="2D3748"/>
                <w:sz w:val="14"/>
              </w:rPr>
              <w:t>AOAC 999.11 / ICP-OES &amp; Wade Reagent</w:t>
            </w:r>
          </w:p>
        </w:tc>
        <w:tc>
          <w:tcPr>
            <w:tcW w:type="dxa" w:w="2016"/>
            <w:tcMar>
              <w:top w:w="65" w:type="dxa"/>
              <w:bottom w:w="65" w:type="dxa"/>
              <w:left w:w="100" w:type="dxa"/>
              <w:right w:w="100" w:type="dxa"/>
            </w:tcMar>
          </w:tcPr>
          <w:p>
            <w:r>
              <w:rPr>
                <w:rFonts w:ascii="Calibri" w:hAnsi="Calibri"/>
                <w:color w:val="2D3748"/>
                <w:sz w:val="14"/>
              </w:rPr>
              <w:t>Quantifies divalent cation availability for pectate bridges.</w:t>
            </w:r>
          </w:p>
        </w:tc>
      </w:tr>
      <w:tr>
        <w:trPr>
          <w:cantSplit/>
        </w:trPr>
        <w:tc>
          <w:tcPr>
            <w:tcW w:type="dxa" w:w="2016"/>
            <w:shd w:fill="F7FAFC"/>
            <w:tcMar>
              <w:top w:w="65" w:type="dxa"/>
              <w:bottom w:w="65" w:type="dxa"/>
              <w:left w:w="100" w:type="dxa"/>
              <w:right w:w="100" w:type="dxa"/>
            </w:tcMar>
          </w:tcPr>
          <w:p>
            <w:r>
              <w:rPr>
                <w:rFonts w:ascii="Calibri" w:hAnsi="Calibri"/>
                <w:b/>
                <w:color w:val="2D3748"/>
                <w:sz w:val="14"/>
              </w:rPr>
              <w:t>MOD-08</w:t>
            </w:r>
          </w:p>
        </w:tc>
        <w:tc>
          <w:tcPr>
            <w:tcW w:type="dxa" w:w="2016"/>
            <w:shd w:fill="F7FAFC"/>
            <w:tcMar>
              <w:top w:w="65" w:type="dxa"/>
              <w:bottom w:w="65" w:type="dxa"/>
              <w:left w:w="100" w:type="dxa"/>
              <w:right w:w="100" w:type="dxa"/>
            </w:tcMar>
          </w:tcPr>
          <w:p>
            <w:r>
              <w:rPr>
                <w:rFonts w:ascii="Calibri" w:hAnsi="Calibri"/>
                <w:color w:val="2D3748"/>
                <w:sz w:val="14"/>
              </w:rPr>
              <w:t>Hardness &amp; Texture</w:t>
            </w:r>
          </w:p>
        </w:tc>
        <w:tc>
          <w:tcPr>
            <w:tcW w:type="dxa" w:w="2016"/>
            <w:shd w:fill="F7FAFC"/>
            <w:tcMar>
              <w:top w:w="65" w:type="dxa"/>
              <w:bottom w:w="65" w:type="dxa"/>
              <w:left w:w="100" w:type="dxa"/>
              <w:right w:w="100" w:type="dxa"/>
            </w:tcMar>
          </w:tcPr>
          <w:p>
            <w:r>
              <w:rPr>
                <w:rFonts w:ascii="Calibri" w:hAnsi="Calibri"/>
                <w:color w:val="2D3748"/>
                <w:sz w:val="14"/>
              </w:rPr>
              <w:t>Raw grain puncture resistance, soaked firmness, peak compression force.</w:t>
            </w:r>
          </w:p>
        </w:tc>
        <w:tc>
          <w:tcPr>
            <w:tcW w:type="dxa" w:w="2016"/>
            <w:shd w:fill="F7FAFC"/>
            <w:tcMar>
              <w:top w:w="65" w:type="dxa"/>
              <w:bottom w:w="65" w:type="dxa"/>
              <w:left w:w="100" w:type="dxa"/>
              <w:right w:w="100" w:type="dxa"/>
            </w:tcMar>
          </w:tcPr>
          <w:p>
            <w:r>
              <w:rPr>
                <w:rFonts w:ascii="Calibri" w:hAnsi="Calibri"/>
                <w:color w:val="2D3748"/>
                <w:sz w:val="14"/>
              </w:rPr>
              <w:t>TA.XT Plus Texture Analyzer / 50kg Load Cell</w:t>
            </w:r>
          </w:p>
        </w:tc>
        <w:tc>
          <w:tcPr>
            <w:tcW w:type="dxa" w:w="2016"/>
            <w:shd w:fill="F7FAFC"/>
            <w:tcMar>
              <w:top w:w="65" w:type="dxa"/>
              <w:bottom w:w="65" w:type="dxa"/>
              <w:left w:w="100" w:type="dxa"/>
              <w:right w:w="100" w:type="dxa"/>
            </w:tcMar>
          </w:tcPr>
          <w:p>
            <w:r>
              <w:rPr>
                <w:rFonts w:ascii="Calibri" w:hAnsi="Calibri"/>
                <w:color w:val="2D3748"/>
                <w:sz w:val="14"/>
              </w:rPr>
              <w:t>Establishes objective mechanical firmness baseline.</w:t>
            </w:r>
          </w:p>
        </w:tc>
      </w:tr>
      <w:tr>
        <w:trPr>
          <w:cantSplit/>
        </w:trPr>
        <w:tc>
          <w:tcPr>
            <w:tcW w:type="dxa" w:w="2016"/>
            <w:tcMar>
              <w:top w:w="65" w:type="dxa"/>
              <w:bottom w:w="65" w:type="dxa"/>
              <w:left w:w="100" w:type="dxa"/>
              <w:right w:w="100" w:type="dxa"/>
            </w:tcMar>
          </w:tcPr>
          <w:p>
            <w:r>
              <w:rPr>
                <w:rFonts w:ascii="Calibri" w:hAnsi="Calibri"/>
                <w:b/>
                <w:color w:val="2D3748"/>
                <w:sz w:val="14"/>
              </w:rPr>
              <w:t>MOD-09</w:t>
            </w:r>
          </w:p>
        </w:tc>
        <w:tc>
          <w:tcPr>
            <w:tcW w:type="dxa" w:w="2016"/>
            <w:tcMar>
              <w:top w:w="65" w:type="dxa"/>
              <w:bottom w:w="65" w:type="dxa"/>
              <w:left w:w="100" w:type="dxa"/>
              <w:right w:w="100" w:type="dxa"/>
            </w:tcMar>
          </w:tcPr>
          <w:p>
            <w:r>
              <w:rPr>
                <w:rFonts w:ascii="Calibri" w:hAnsi="Calibri"/>
                <w:color w:val="2D3748"/>
                <w:sz w:val="14"/>
              </w:rPr>
              <w:t>Standardized Cooking</w:t>
            </w:r>
          </w:p>
        </w:tc>
        <w:tc>
          <w:tcPr>
            <w:tcW w:type="dxa" w:w="2016"/>
            <w:tcMar>
              <w:top w:w="65" w:type="dxa"/>
              <w:bottom w:w="65" w:type="dxa"/>
              <w:left w:w="100" w:type="dxa"/>
              <w:right w:w="100" w:type="dxa"/>
            </w:tcMar>
          </w:tcPr>
          <w:p>
            <w:r>
              <w:rPr>
                <w:rFonts w:ascii="Calibri" w:hAnsi="Calibri"/>
                <w:color w:val="2D3748"/>
                <w:sz w:val="14"/>
              </w:rPr>
              <w:t>Cooking curve (0–60 min), objective time-to-softness, hard-core rate, solids loss.</w:t>
            </w:r>
          </w:p>
        </w:tc>
        <w:tc>
          <w:tcPr>
            <w:tcW w:type="dxa" w:w="2016"/>
            <w:tcMar>
              <w:top w:w="65" w:type="dxa"/>
              <w:bottom w:w="65" w:type="dxa"/>
              <w:left w:w="100" w:type="dxa"/>
              <w:right w:w="100" w:type="dxa"/>
            </w:tcMar>
          </w:tcPr>
          <w:p>
            <w:r>
              <w:rPr>
                <w:rFonts w:ascii="Calibri" w:hAnsi="Calibri"/>
                <w:color w:val="2D3748"/>
                <w:sz w:val="14"/>
              </w:rPr>
              <w:t>Pressurized Vessel / Instrumented Load Cell</w:t>
            </w:r>
          </w:p>
        </w:tc>
        <w:tc>
          <w:tcPr>
            <w:tcW w:type="dxa" w:w="2016"/>
            <w:tcMar>
              <w:top w:w="65" w:type="dxa"/>
              <w:bottom w:w="65" w:type="dxa"/>
              <w:left w:w="100" w:type="dxa"/>
              <w:right w:w="100" w:type="dxa"/>
            </w:tcMar>
          </w:tcPr>
          <w:p>
            <w:r>
              <w:rPr>
                <w:rFonts w:ascii="Calibri" w:hAnsi="Calibri"/>
                <w:color w:val="2D3748"/>
                <w:sz w:val="14"/>
              </w:rPr>
              <w:t>Replaces domestic whistle counting with objective kinetics.</w:t>
            </w:r>
          </w:p>
        </w:tc>
      </w:tr>
    </w:tbl>
    <w:p>
      <w:pPr>
        <w:keepNext/>
        <w:spacing w:before="180" w:after="40"/>
      </w:pPr>
      <w:r>
        <w:rPr>
          <w:rFonts w:ascii="Calibri" w:hAnsi="Calibri"/>
          <w:b/>
          <w:color w:val="2B6CB0"/>
          <w:sz w:val="20"/>
        </w:rPr>
        <w:t>6.1 Comprehensive 10-Hypothesis Discrimination Register (Client Feedback A)</w:t>
      </w:r>
    </w:p>
    <w:p>
      <w:pPr>
        <w:spacing w:before="0" w:after="60" w:line="276" w:lineRule="auto"/>
      </w:pPr>
      <w:r>
        <w:rPr>
          <w:rFonts w:ascii="Calibri" w:hAnsi="Calibri"/>
          <w:color w:val="2D3748"/>
          <w:sz w:val="17"/>
        </w:rPr>
        <w:t>To correct the scientific deficiencies of prior drafts (Client Feedback A), pectin–mineral interactions are no longer assumed to explain the cooking behaviour of the client's particular lot. Phase 1 investigates a comprehensive register of ten competing hypotheses. Each hypothesis defines observable predictions, discriminating tests, and experimental boundaries: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152"/>
        <w:gridCol w:w="2592"/>
        <w:gridCol w:w="3456"/>
        <w:gridCol w:w="2880"/>
      </w:tblGrid>
      <w:tr>
        <w:trPr>
          <w:tblHeader/>
          <w:cantSplit/>
        </w:trPr>
        <w:tc>
          <w:tcPr>
            <w:tcW w:type="dxa" w:w="2520"/>
            <w:shd w:fill="1A365D"/>
            <w:tcMar>
              <w:top w:w="100" w:type="dxa"/>
              <w:bottom w:w="100" w:type="dxa"/>
              <w:left w:w="100" w:type="dxa"/>
              <w:right w:w="100" w:type="dxa"/>
            </w:tcMar>
          </w:tcPr>
          <w:p>
            <w:pPr>
              <w:jc w:val="left"/>
            </w:pPr>
            <w:r>
              <w:t>Hypothesis</w:t>
            </w:r>
          </w:p>
        </w:tc>
        <w:tc>
          <w:tcPr>
            <w:tcW w:type="dxa" w:w="2520"/>
            <w:shd w:fill="1A365D"/>
            <w:tcMar>
              <w:top w:w="100" w:type="dxa"/>
              <w:bottom w:w="100" w:type="dxa"/>
              <w:left w:w="100" w:type="dxa"/>
              <w:right w:w="100" w:type="dxa"/>
            </w:tcMar>
          </w:tcPr>
          <w:p>
            <w:pPr>
              <w:jc w:val="left"/>
            </w:pPr>
            <w:r>
              <w:t>Candidate Mechanism</w:t>
            </w:r>
          </w:p>
        </w:tc>
        <w:tc>
          <w:tcPr>
            <w:tcW w:type="dxa" w:w="2520"/>
            <w:shd w:fill="1A365D"/>
            <w:tcMar>
              <w:top w:w="100" w:type="dxa"/>
              <w:bottom w:w="100" w:type="dxa"/>
              <w:left w:w="100" w:type="dxa"/>
              <w:right w:w="100" w:type="dxa"/>
            </w:tcMar>
          </w:tcPr>
          <w:p>
            <w:pPr>
              <w:jc w:val="left"/>
            </w:pPr>
            <w:r>
              <w:t>Observable Predictions &amp; Test</w:t>
            </w:r>
          </w:p>
        </w:tc>
        <w:tc>
          <w:tcPr>
            <w:tcW w:type="dxa" w:w="2520"/>
            <w:shd w:fill="1A365D"/>
            <w:tcMar>
              <w:top w:w="100" w:type="dxa"/>
              <w:bottom w:w="100" w:type="dxa"/>
              <w:left w:w="100" w:type="dxa"/>
              <w:right w:w="100" w:type="dxa"/>
            </w:tcMar>
          </w:tcPr>
          <w:p>
            <w:pPr>
              <w:jc w:val="left"/>
            </w:pPr>
            <w:r>
              <w:t>Discriminating Status &amp; Limits</w:t>
            </w:r>
          </w:p>
        </w:tc>
      </w:tr>
      <w:tr>
        <w:trPr>
          <w:cantSplit/>
        </w:trPr>
        <w:tc>
          <w:tcPr>
            <w:tcW w:type="dxa" w:w="2520"/>
            <w:tcMar>
              <w:top w:w="65" w:type="dxa"/>
              <w:bottom w:w="65" w:type="dxa"/>
              <w:left w:w="100" w:type="dxa"/>
              <w:right w:w="100" w:type="dxa"/>
            </w:tcMar>
          </w:tcPr>
          <w:p>
            <w:r>
              <w:rPr>
                <w:rFonts w:ascii="Calibri" w:hAnsi="Calibri"/>
                <w:b/>
                <w:color w:val="2D3748"/>
                <w:sz w:val="14"/>
              </w:rPr>
              <w:t>H1</w:t>
            </w:r>
          </w:p>
        </w:tc>
        <w:tc>
          <w:tcPr>
            <w:tcW w:type="dxa" w:w="2520"/>
            <w:tcMar>
              <w:top w:w="65" w:type="dxa"/>
              <w:bottom w:w="65" w:type="dxa"/>
              <w:left w:w="100" w:type="dxa"/>
              <w:right w:w="100" w:type="dxa"/>
            </w:tcMar>
          </w:tcPr>
          <w:p>
            <w:r>
              <w:rPr>
                <w:rFonts w:ascii="Calibri" w:hAnsi="Calibri"/>
                <w:color w:val="2D3748"/>
                <w:sz w:val="14"/>
              </w:rPr>
              <w:t>Hydration Kinetics / Diffusion Barrier</w:t>
            </w:r>
          </w:p>
        </w:tc>
        <w:tc>
          <w:tcPr>
            <w:tcW w:type="dxa" w:w="2520"/>
            <w:tcMar>
              <w:top w:w="65" w:type="dxa"/>
              <w:bottom w:w="65" w:type="dxa"/>
              <w:left w:w="100" w:type="dxa"/>
              <w:right w:w="100" w:type="dxa"/>
            </w:tcMar>
          </w:tcPr>
          <w:p>
            <w:r>
              <w:rPr>
                <w:rFonts w:ascii="Calibri" w:hAnsi="Calibri"/>
                <w:color w:val="2D3748"/>
                <w:sz w:val="14"/>
              </w:rPr>
              <w:t>Slower water uptake curve, lower initial hydration rate (k), delayed moisture penetration into cotyledon core.</w:t>
            </w:r>
          </w:p>
        </w:tc>
        <w:tc>
          <w:tcPr>
            <w:tcW w:type="dxa" w:w="2520"/>
            <w:tcMar>
              <w:top w:w="65" w:type="dxa"/>
              <w:bottom w:w="65" w:type="dxa"/>
              <w:left w:w="100" w:type="dxa"/>
              <w:right w:w="100" w:type="dxa"/>
            </w:tcMar>
          </w:tcPr>
          <w:p>
            <w:r>
              <w:rPr>
                <w:rFonts w:ascii="Calibri" w:hAnsi="Calibri"/>
                <w:color w:val="2D3748"/>
                <w:sz w:val="14"/>
              </w:rPr>
              <w:t>WP-03 gravimetric time-course; separates diffusion limits from cooking limits.</w:t>
            </w:r>
          </w:p>
        </w:tc>
      </w:tr>
      <w:tr>
        <w:trPr>
          <w:cantSplit/>
        </w:trPr>
        <w:tc>
          <w:tcPr>
            <w:tcW w:type="dxa" w:w="2520"/>
            <w:shd w:fill="F7FAFC"/>
            <w:tcMar>
              <w:top w:w="65" w:type="dxa"/>
              <w:bottom w:w="65" w:type="dxa"/>
              <w:left w:w="100" w:type="dxa"/>
              <w:right w:w="100" w:type="dxa"/>
            </w:tcMar>
          </w:tcPr>
          <w:p>
            <w:r>
              <w:rPr>
                <w:rFonts w:ascii="Calibri" w:hAnsi="Calibri"/>
                <w:b/>
                <w:color w:val="2D3748"/>
                <w:sz w:val="14"/>
              </w:rPr>
              <w:t>H2</w:t>
            </w:r>
          </w:p>
        </w:tc>
        <w:tc>
          <w:tcPr>
            <w:tcW w:type="dxa" w:w="2520"/>
            <w:shd w:fill="F7FAFC"/>
            <w:tcMar>
              <w:top w:w="65" w:type="dxa"/>
              <w:bottom w:w="65" w:type="dxa"/>
              <w:left w:w="100" w:type="dxa"/>
              <w:right w:w="100" w:type="dxa"/>
            </w:tcMar>
          </w:tcPr>
          <w:p>
            <w:r>
              <w:rPr>
                <w:rFonts w:ascii="Calibri" w:hAnsi="Calibri"/>
                <w:color w:val="2D3748"/>
                <w:sz w:val="14"/>
              </w:rPr>
              <w:t>Seed-Coat &amp; Microstructural Resistance</w:t>
            </w:r>
          </w:p>
        </w:tc>
        <w:tc>
          <w:tcPr>
            <w:tcW w:type="dxa" w:w="2520"/>
            <w:shd w:fill="F7FAFC"/>
            <w:tcMar>
              <w:top w:w="65" w:type="dxa"/>
              <w:bottom w:w="65" w:type="dxa"/>
              <w:left w:w="100" w:type="dxa"/>
              <w:right w:w="100" w:type="dxa"/>
            </w:tcMar>
          </w:tcPr>
          <w:p>
            <w:r>
              <w:rPr>
                <w:rFonts w:ascii="Calibri" w:hAnsi="Calibri"/>
                <w:color w:val="2D3748"/>
                <w:sz w:val="14"/>
              </w:rPr>
              <w:t>Residual seed-coat fragments, thicker hylar boundary, or dense outer cotyledon cell packing restricting fluid flow.</w:t>
            </w:r>
          </w:p>
        </w:tc>
        <w:tc>
          <w:tcPr>
            <w:tcW w:type="dxa" w:w="2520"/>
            <w:shd w:fill="F7FAFC"/>
            <w:tcMar>
              <w:top w:w="65" w:type="dxa"/>
              <w:bottom w:w="65" w:type="dxa"/>
              <w:left w:w="100" w:type="dxa"/>
              <w:right w:w="100" w:type="dxa"/>
            </w:tcMar>
          </w:tcPr>
          <w:p>
            <w:r>
              <w:rPr>
                <w:rFonts w:ascii="Calibri" w:hAnsi="Calibri"/>
                <w:color w:val="2D3748"/>
                <w:sz w:val="14"/>
              </w:rPr>
              <w:t>WP-01 seed-coat ratio &amp; WP-04 light microscopy; evaluates physical milling scouring.</w:t>
            </w:r>
          </w:p>
        </w:tc>
      </w:tr>
      <w:tr>
        <w:trPr>
          <w:cantSplit/>
        </w:trPr>
        <w:tc>
          <w:tcPr>
            <w:tcW w:type="dxa" w:w="2520"/>
            <w:tcMar>
              <w:top w:w="65" w:type="dxa"/>
              <w:bottom w:w="65" w:type="dxa"/>
              <w:left w:w="100" w:type="dxa"/>
              <w:right w:w="100" w:type="dxa"/>
            </w:tcMar>
          </w:tcPr>
          <w:p>
            <w:r>
              <w:rPr>
                <w:rFonts w:ascii="Calibri" w:hAnsi="Calibri"/>
                <w:b/>
                <w:color w:val="2D3748"/>
                <w:sz w:val="14"/>
              </w:rPr>
              <w:t>H3</w:t>
            </w:r>
          </w:p>
        </w:tc>
        <w:tc>
          <w:tcPr>
            <w:tcW w:type="dxa" w:w="2520"/>
            <w:tcMar>
              <w:top w:w="65" w:type="dxa"/>
              <w:bottom w:w="65" w:type="dxa"/>
              <w:left w:w="100" w:type="dxa"/>
              <w:right w:w="100" w:type="dxa"/>
            </w:tcMar>
          </w:tcPr>
          <w:p>
            <w:r>
              <w:rPr>
                <w:rFonts w:ascii="Calibri" w:hAnsi="Calibri"/>
                <w:color w:val="2D3748"/>
                <w:sz w:val="14"/>
              </w:rPr>
              <w:t>Cell-Wall Pectin &amp; Mineral Crosslinking</w:t>
            </w:r>
          </w:p>
        </w:tc>
        <w:tc>
          <w:tcPr>
            <w:tcW w:type="dxa" w:w="2520"/>
            <w:tcMar>
              <w:top w:w="65" w:type="dxa"/>
              <w:bottom w:w="65" w:type="dxa"/>
              <w:left w:w="100" w:type="dxa"/>
              <w:right w:w="100" w:type="dxa"/>
            </w:tcMar>
          </w:tcPr>
          <w:p>
            <w:r>
              <w:rPr>
                <w:rFonts w:ascii="Calibri" w:hAnsi="Calibri"/>
                <w:color w:val="2D3748"/>
                <w:sz w:val="14"/>
              </w:rPr>
              <w:t>Higher insoluble pectin fraction, elevated calcium/magnesium crosslinks, lower phytate-to-mineral molar ratio.</w:t>
            </w:r>
          </w:p>
        </w:tc>
        <w:tc>
          <w:tcPr>
            <w:tcW w:type="dxa" w:w="2520"/>
            <w:tcMar>
              <w:top w:w="65" w:type="dxa"/>
              <w:bottom w:w="65" w:type="dxa"/>
              <w:left w:w="100" w:type="dxa"/>
              <w:right w:w="100" w:type="dxa"/>
            </w:tcMar>
          </w:tcPr>
          <w:p>
            <w:r>
              <w:rPr>
                <w:rFonts w:ascii="Calibri" w:hAnsi="Calibri"/>
                <w:color w:val="2D3748"/>
                <w:sz w:val="14"/>
              </w:rPr>
              <w:t>WP-04 pectin fractions &amp; ICP-OES minerals; plausible biochemical hypothesis.</w:t>
            </w:r>
          </w:p>
        </w:tc>
      </w:tr>
      <w:tr>
        <w:trPr>
          <w:cantSplit/>
        </w:trPr>
        <w:tc>
          <w:tcPr>
            <w:tcW w:type="dxa" w:w="2520"/>
            <w:shd w:fill="F7FAFC"/>
            <w:tcMar>
              <w:top w:w="65" w:type="dxa"/>
              <w:bottom w:w="65" w:type="dxa"/>
              <w:left w:w="100" w:type="dxa"/>
              <w:right w:w="100" w:type="dxa"/>
            </w:tcMar>
          </w:tcPr>
          <w:p>
            <w:r>
              <w:rPr>
                <w:rFonts w:ascii="Calibri" w:hAnsi="Calibri"/>
                <w:b/>
                <w:color w:val="2D3748"/>
                <w:sz w:val="14"/>
              </w:rPr>
              <w:t>H4</w:t>
            </w:r>
          </w:p>
        </w:tc>
        <w:tc>
          <w:tcPr>
            <w:tcW w:type="dxa" w:w="2520"/>
            <w:shd w:fill="F7FAFC"/>
            <w:tcMar>
              <w:top w:w="65" w:type="dxa"/>
              <w:bottom w:w="65" w:type="dxa"/>
              <w:left w:w="100" w:type="dxa"/>
              <w:right w:w="100" w:type="dxa"/>
            </w:tcMar>
          </w:tcPr>
          <w:p>
            <w:r>
              <w:rPr>
                <w:rFonts w:ascii="Calibri" w:hAnsi="Calibri"/>
                <w:color w:val="2D3748"/>
                <w:sz w:val="14"/>
              </w:rPr>
              <w:t>Starch Gelatinization &amp; Thermal Impedance</w:t>
            </w:r>
          </w:p>
        </w:tc>
        <w:tc>
          <w:tcPr>
            <w:tcW w:type="dxa" w:w="2520"/>
            <w:shd w:fill="F7FAFC"/>
            <w:tcMar>
              <w:top w:w="65" w:type="dxa"/>
              <w:bottom w:w="65" w:type="dxa"/>
              <w:left w:w="100" w:type="dxa"/>
              <w:right w:w="100" w:type="dxa"/>
            </w:tcMar>
          </w:tcPr>
          <w:p>
            <w:r>
              <w:rPr>
                <w:rFonts w:ascii="Calibri" w:hAnsi="Calibri"/>
                <w:color w:val="2D3748"/>
                <w:sz w:val="14"/>
              </w:rPr>
              <w:t>Elevated DSC gelatinization peak temperature (Tp &gt; 78°C) or higher transition enthalpy requiring prolonged heat input.</w:t>
            </w:r>
          </w:p>
        </w:tc>
        <w:tc>
          <w:tcPr>
            <w:tcW w:type="dxa" w:w="2520"/>
            <w:shd w:fill="F7FAFC"/>
            <w:tcMar>
              <w:top w:w="65" w:type="dxa"/>
              <w:bottom w:w="65" w:type="dxa"/>
              <w:left w:w="100" w:type="dxa"/>
              <w:right w:w="100" w:type="dxa"/>
            </w:tcMar>
          </w:tcPr>
          <w:p>
            <w:r>
              <w:rPr>
                <w:rFonts w:ascii="Calibri" w:hAnsi="Calibri"/>
                <w:color w:val="2D3748"/>
                <w:sz w:val="14"/>
              </w:rPr>
              <w:t>WP-02 DSC thermal assay; identifies intrinsic starch cooking resistance.</w:t>
            </w:r>
          </w:p>
        </w:tc>
      </w:tr>
      <w:tr>
        <w:trPr>
          <w:cantSplit/>
        </w:trPr>
        <w:tc>
          <w:tcPr>
            <w:tcW w:type="dxa" w:w="2520"/>
            <w:tcMar>
              <w:top w:w="65" w:type="dxa"/>
              <w:bottom w:w="65" w:type="dxa"/>
              <w:left w:w="100" w:type="dxa"/>
              <w:right w:w="100" w:type="dxa"/>
            </w:tcMar>
          </w:tcPr>
          <w:p>
            <w:r>
              <w:rPr>
                <w:rFonts w:ascii="Calibri" w:hAnsi="Calibri"/>
                <w:b/>
                <w:color w:val="2D3748"/>
                <w:sz w:val="14"/>
              </w:rPr>
              <w:t>H5</w:t>
            </w:r>
          </w:p>
        </w:tc>
        <w:tc>
          <w:tcPr>
            <w:tcW w:type="dxa" w:w="2520"/>
            <w:tcMar>
              <w:top w:w="65" w:type="dxa"/>
              <w:bottom w:w="65" w:type="dxa"/>
              <w:left w:w="100" w:type="dxa"/>
              <w:right w:w="100" w:type="dxa"/>
            </w:tcMar>
          </w:tcPr>
          <w:p>
            <w:r>
              <w:rPr>
                <w:rFonts w:ascii="Calibri" w:hAnsi="Calibri"/>
                <w:color w:val="2D3748"/>
                <w:sz w:val="14"/>
              </w:rPr>
              <w:t>Cultivar Genetics &amp; Agronomic Origin</w:t>
            </w:r>
          </w:p>
        </w:tc>
        <w:tc>
          <w:tcPr>
            <w:tcW w:type="dxa" w:w="2520"/>
            <w:tcMar>
              <w:top w:w="65" w:type="dxa"/>
              <w:bottom w:w="65" w:type="dxa"/>
              <w:left w:w="100" w:type="dxa"/>
              <w:right w:w="100" w:type="dxa"/>
            </w:tcMar>
          </w:tcPr>
          <w:p>
            <w:r>
              <w:rPr>
                <w:rFonts w:ascii="Calibri" w:hAnsi="Calibri"/>
                <w:color w:val="2D3748"/>
                <w:sz w:val="14"/>
              </w:rPr>
              <w:t>Distinct genetic variety, protein matrix density, or soil mineral accumulation unique to East African agro-climates.</w:t>
            </w:r>
          </w:p>
        </w:tc>
        <w:tc>
          <w:tcPr>
            <w:tcW w:type="dxa" w:w="2520"/>
            <w:tcMar>
              <w:top w:w="65" w:type="dxa"/>
              <w:bottom w:w="65" w:type="dxa"/>
              <w:left w:w="100" w:type="dxa"/>
              <w:right w:w="100" w:type="dxa"/>
            </w:tcMar>
          </w:tcPr>
          <w:p>
            <w:r>
              <w:rPr>
                <w:rFonts w:ascii="Calibri" w:hAnsi="Calibri"/>
                <w:color w:val="2D3748"/>
                <w:sz w:val="14"/>
              </w:rPr>
              <w:t>Requires sample lot metadata; Phase 1 identifies phenotypic expression only.</w:t>
            </w:r>
          </w:p>
        </w:tc>
      </w:tr>
      <w:tr>
        <w:trPr>
          <w:cantSplit/>
        </w:trPr>
        <w:tc>
          <w:tcPr>
            <w:tcW w:type="dxa" w:w="2520"/>
            <w:shd w:fill="F7FAFC"/>
            <w:tcMar>
              <w:top w:w="65" w:type="dxa"/>
              <w:bottom w:w="65" w:type="dxa"/>
              <w:left w:w="100" w:type="dxa"/>
              <w:right w:w="100" w:type="dxa"/>
            </w:tcMar>
          </w:tcPr>
          <w:p>
            <w:r>
              <w:rPr>
                <w:rFonts w:ascii="Calibri" w:hAnsi="Calibri"/>
                <w:b/>
                <w:color w:val="2D3748"/>
                <w:sz w:val="14"/>
              </w:rPr>
              <w:t>H6</w:t>
            </w:r>
          </w:p>
        </w:tc>
        <w:tc>
          <w:tcPr>
            <w:tcW w:type="dxa" w:w="2520"/>
            <w:shd w:fill="F7FAFC"/>
            <w:tcMar>
              <w:top w:w="65" w:type="dxa"/>
              <w:bottom w:w="65" w:type="dxa"/>
              <w:left w:w="100" w:type="dxa"/>
              <w:right w:w="100" w:type="dxa"/>
            </w:tcMar>
          </w:tcPr>
          <w:p>
            <w:r>
              <w:rPr>
                <w:rFonts w:ascii="Calibri" w:hAnsi="Calibri"/>
                <w:color w:val="2D3748"/>
                <w:sz w:val="14"/>
              </w:rPr>
              <w:t>Commercial Dehulling &amp; Processing History</w:t>
            </w:r>
          </w:p>
        </w:tc>
        <w:tc>
          <w:tcPr>
            <w:tcW w:type="dxa" w:w="2520"/>
            <w:shd w:fill="F7FAFC"/>
            <w:tcMar>
              <w:top w:w="65" w:type="dxa"/>
              <w:bottom w:w="65" w:type="dxa"/>
              <w:left w:w="100" w:type="dxa"/>
              <w:right w:w="100" w:type="dxa"/>
            </w:tcMar>
          </w:tcPr>
          <w:p>
            <w:r>
              <w:rPr>
                <w:rFonts w:ascii="Calibri" w:hAnsi="Calibri"/>
                <w:color w:val="2D3748"/>
                <w:sz w:val="14"/>
              </w:rPr>
              <w:t>Thermal case-hardening from dry milling, excessive frictional heat during emery scouring, or residual polishing oil.</w:t>
            </w:r>
          </w:p>
        </w:tc>
        <w:tc>
          <w:tcPr>
            <w:tcW w:type="dxa" w:w="2520"/>
            <w:shd w:fill="F7FAFC"/>
            <w:tcMar>
              <w:top w:w="65" w:type="dxa"/>
              <w:bottom w:w="65" w:type="dxa"/>
              <w:left w:w="100" w:type="dxa"/>
              <w:right w:w="100" w:type="dxa"/>
            </w:tcMar>
          </w:tcPr>
          <w:p>
            <w:r>
              <w:rPr>
                <w:rFonts w:ascii="Calibri" w:hAnsi="Calibri"/>
                <w:color w:val="2D3748"/>
                <w:sz w:val="14"/>
              </w:rPr>
              <w:t>Surface lipid assay &amp; microstructural examination; identifies commercial processing damage.</w:t>
            </w:r>
          </w:p>
        </w:tc>
      </w:tr>
      <w:tr>
        <w:trPr>
          <w:cantSplit/>
        </w:trPr>
        <w:tc>
          <w:tcPr>
            <w:tcW w:type="dxa" w:w="2520"/>
            <w:tcMar>
              <w:top w:w="65" w:type="dxa"/>
              <w:bottom w:w="65" w:type="dxa"/>
              <w:left w:w="100" w:type="dxa"/>
              <w:right w:w="100" w:type="dxa"/>
            </w:tcMar>
          </w:tcPr>
          <w:p>
            <w:r>
              <w:rPr>
                <w:rFonts w:ascii="Calibri" w:hAnsi="Calibri"/>
                <w:b/>
                <w:color w:val="2D3748"/>
                <w:sz w:val="14"/>
              </w:rPr>
              <w:t>H7</w:t>
            </w:r>
          </w:p>
        </w:tc>
        <w:tc>
          <w:tcPr>
            <w:tcW w:type="dxa" w:w="2520"/>
            <w:tcMar>
              <w:top w:w="65" w:type="dxa"/>
              <w:bottom w:w="65" w:type="dxa"/>
              <w:left w:w="100" w:type="dxa"/>
              <w:right w:w="100" w:type="dxa"/>
            </w:tcMar>
          </w:tcPr>
          <w:p>
            <w:r>
              <w:rPr>
                <w:rFonts w:ascii="Calibri" w:hAnsi="Calibri"/>
                <w:color w:val="2D3748"/>
                <w:sz w:val="14"/>
              </w:rPr>
              <w:t>Storage Age &amp; Hard-to-Cook (HTC) Defect</w:t>
            </w:r>
          </w:p>
        </w:tc>
        <w:tc>
          <w:tcPr>
            <w:tcW w:type="dxa" w:w="2520"/>
            <w:tcMar>
              <w:top w:w="65" w:type="dxa"/>
              <w:bottom w:w="65" w:type="dxa"/>
              <w:left w:w="100" w:type="dxa"/>
              <w:right w:w="100" w:type="dxa"/>
            </w:tcMar>
          </w:tcPr>
          <w:p>
            <w:r>
              <w:rPr>
                <w:rFonts w:ascii="Calibri" w:hAnsi="Calibri"/>
                <w:color w:val="2D3748"/>
                <w:sz w:val="14"/>
              </w:rPr>
              <w:t>Prolonged transit/storage under high temperature (&gt;30°C) and RH (&gt;70%) inducing phytase loss and pectin crosslinking.</w:t>
            </w:r>
          </w:p>
        </w:tc>
        <w:tc>
          <w:tcPr>
            <w:tcW w:type="dxa" w:w="2520"/>
            <w:tcMar>
              <w:top w:w="65" w:type="dxa"/>
              <w:bottom w:w="65" w:type="dxa"/>
              <w:left w:w="100" w:type="dxa"/>
              <w:right w:w="100" w:type="dxa"/>
            </w:tcMar>
          </w:tcPr>
          <w:p>
            <w:r>
              <w:rPr>
                <w:rFonts w:ascii="Calibri" w:hAnsi="Calibri"/>
                <w:color w:val="2D3748"/>
                <w:sz w:val="14"/>
              </w:rPr>
              <w:t>Standard legume aging marker; correlated with storage records and ion leakage.</w:t>
            </w:r>
          </w:p>
        </w:tc>
      </w:tr>
      <w:tr>
        <w:trPr>
          <w:cantSplit/>
        </w:trPr>
        <w:tc>
          <w:tcPr>
            <w:tcW w:type="dxa" w:w="2520"/>
            <w:shd w:fill="F7FAFC"/>
            <w:tcMar>
              <w:top w:w="65" w:type="dxa"/>
              <w:bottom w:w="65" w:type="dxa"/>
              <w:left w:w="100" w:type="dxa"/>
              <w:right w:w="100" w:type="dxa"/>
            </w:tcMar>
          </w:tcPr>
          <w:p>
            <w:r>
              <w:rPr>
                <w:rFonts w:ascii="Calibri" w:hAnsi="Calibri"/>
                <w:b/>
                <w:color w:val="2D3748"/>
                <w:sz w:val="14"/>
              </w:rPr>
              <w:t>H8</w:t>
            </w:r>
          </w:p>
        </w:tc>
        <w:tc>
          <w:tcPr>
            <w:tcW w:type="dxa" w:w="2520"/>
            <w:shd w:fill="F7FAFC"/>
            <w:tcMar>
              <w:top w:w="65" w:type="dxa"/>
              <w:bottom w:w="65" w:type="dxa"/>
              <w:left w:w="100" w:type="dxa"/>
              <w:right w:w="100" w:type="dxa"/>
            </w:tcMar>
          </w:tcPr>
          <w:p>
            <w:r>
              <w:rPr>
                <w:rFonts w:ascii="Calibri" w:hAnsi="Calibri"/>
                <w:color w:val="2D3748"/>
                <w:sz w:val="14"/>
              </w:rPr>
              <w:t>Grain Physical Geometry &amp; Split Uniformity</w:t>
            </w:r>
          </w:p>
        </w:tc>
        <w:tc>
          <w:tcPr>
            <w:tcW w:type="dxa" w:w="2520"/>
            <w:shd w:fill="F7FAFC"/>
            <w:tcMar>
              <w:top w:w="65" w:type="dxa"/>
              <w:bottom w:w="65" w:type="dxa"/>
              <w:left w:w="100" w:type="dxa"/>
              <w:right w:w="100" w:type="dxa"/>
            </w:tcMar>
          </w:tcPr>
          <w:p>
            <w:r>
              <w:rPr>
                <w:rFonts w:ascii="Calibri" w:hAnsi="Calibri"/>
                <w:color w:val="2D3748"/>
                <w:sz w:val="14"/>
              </w:rPr>
              <w:t>Larger cotyledon thickness, lower surface-area-to-volume ratio, or higher broken grain fraction skewing water distribution.</w:t>
            </w:r>
          </w:p>
        </w:tc>
        <w:tc>
          <w:tcPr>
            <w:tcW w:type="dxa" w:w="2520"/>
            <w:shd w:fill="F7FAFC"/>
            <w:tcMar>
              <w:top w:w="65" w:type="dxa"/>
              <w:bottom w:w="65" w:type="dxa"/>
              <w:left w:w="100" w:type="dxa"/>
              <w:right w:w="100" w:type="dxa"/>
            </w:tcMar>
          </w:tcPr>
          <w:p>
            <w:r>
              <w:rPr>
                <w:rFonts w:ascii="Calibri" w:hAnsi="Calibri"/>
                <w:color w:val="2D3748"/>
                <w:sz w:val="14"/>
              </w:rPr>
              <w:t>WP-01 caliper dimensions and 1000-grain mass; isolates geometric confounders.</w:t>
            </w:r>
          </w:p>
        </w:tc>
      </w:tr>
      <w:tr>
        <w:trPr>
          <w:cantSplit/>
        </w:trPr>
        <w:tc>
          <w:tcPr>
            <w:tcW w:type="dxa" w:w="2520"/>
            <w:tcMar>
              <w:top w:w="65" w:type="dxa"/>
              <w:bottom w:w="65" w:type="dxa"/>
              <w:left w:w="100" w:type="dxa"/>
              <w:right w:w="100" w:type="dxa"/>
            </w:tcMar>
          </w:tcPr>
          <w:p>
            <w:r>
              <w:rPr>
                <w:rFonts w:ascii="Calibri" w:hAnsi="Calibri"/>
                <w:b/>
                <w:color w:val="2D3748"/>
                <w:sz w:val="14"/>
              </w:rPr>
              <w:t>H9</w:t>
            </w:r>
          </w:p>
        </w:tc>
        <w:tc>
          <w:tcPr>
            <w:tcW w:type="dxa" w:w="2520"/>
            <w:tcMar>
              <w:top w:w="65" w:type="dxa"/>
              <w:bottom w:w="65" w:type="dxa"/>
              <w:left w:w="100" w:type="dxa"/>
              <w:right w:w="100" w:type="dxa"/>
            </w:tcMar>
          </w:tcPr>
          <w:p>
            <w:r>
              <w:rPr>
                <w:rFonts w:ascii="Calibri" w:hAnsi="Calibri"/>
                <w:color w:val="2D3748"/>
                <w:sz w:val="14"/>
              </w:rPr>
              <w:t>Cooking Apparatus &amp; Measurement Confounders</w:t>
            </w:r>
          </w:p>
        </w:tc>
        <w:tc>
          <w:tcPr>
            <w:tcW w:type="dxa" w:w="2520"/>
            <w:tcMar>
              <w:top w:w="65" w:type="dxa"/>
              <w:bottom w:w="65" w:type="dxa"/>
              <w:left w:w="100" w:type="dxa"/>
              <w:right w:w="100" w:type="dxa"/>
            </w:tcMar>
          </w:tcPr>
          <w:p>
            <w:r>
              <w:rPr>
                <w:rFonts w:ascii="Calibri" w:hAnsi="Calibri"/>
                <w:color w:val="2D3748"/>
                <w:sz w:val="14"/>
              </w:rPr>
              <w:t>Apparatus heat transfer, pressure vessel venting variability, or whistle-counting bias in domestic observation.</w:t>
            </w:r>
          </w:p>
        </w:tc>
        <w:tc>
          <w:tcPr>
            <w:tcW w:type="dxa" w:w="2520"/>
            <w:tcMar>
              <w:top w:w="65" w:type="dxa"/>
              <w:bottom w:w="65" w:type="dxa"/>
              <w:left w:w="100" w:type="dxa"/>
              <w:right w:w="100" w:type="dxa"/>
            </w:tcMar>
          </w:tcPr>
          <w:p>
            <w:r>
              <w:rPr>
                <w:rFonts w:ascii="Calibri" w:hAnsi="Calibri"/>
                <w:color w:val="2D3748"/>
                <w:sz w:val="14"/>
              </w:rPr>
              <w:t>WP-05 standardized cooking protocol eliminates domestic apparatus artefacts.</w:t>
            </w:r>
          </w:p>
        </w:tc>
      </w:tr>
      <w:tr>
        <w:trPr>
          <w:cantSplit/>
        </w:trPr>
        <w:tc>
          <w:tcPr>
            <w:tcW w:type="dxa" w:w="2520"/>
            <w:shd w:fill="F7FAFC"/>
            <w:tcMar>
              <w:top w:w="65" w:type="dxa"/>
              <w:bottom w:w="65" w:type="dxa"/>
              <w:left w:w="100" w:type="dxa"/>
              <w:right w:w="100" w:type="dxa"/>
            </w:tcMar>
          </w:tcPr>
          <w:p>
            <w:r>
              <w:rPr>
                <w:rFonts w:ascii="Calibri" w:hAnsi="Calibri"/>
                <w:b/>
                <w:color w:val="2D3748"/>
                <w:sz w:val="14"/>
              </w:rPr>
              <w:t>H10</w:t>
            </w:r>
          </w:p>
        </w:tc>
        <w:tc>
          <w:tcPr>
            <w:tcW w:type="dxa" w:w="2520"/>
            <w:shd w:fill="F7FAFC"/>
            <w:tcMar>
              <w:top w:w="65" w:type="dxa"/>
              <w:bottom w:w="65" w:type="dxa"/>
              <w:left w:w="100" w:type="dxa"/>
              <w:right w:w="100" w:type="dxa"/>
            </w:tcMar>
          </w:tcPr>
          <w:p>
            <w:r>
              <w:rPr>
                <w:rFonts w:ascii="Calibri" w:hAnsi="Calibri"/>
                <w:color w:val="2D3748"/>
                <w:sz w:val="14"/>
              </w:rPr>
              <w:t>Multi-Factorial Synergistic Interaction</w:t>
            </w:r>
          </w:p>
        </w:tc>
        <w:tc>
          <w:tcPr>
            <w:tcW w:type="dxa" w:w="2520"/>
            <w:shd w:fill="F7FAFC"/>
            <w:tcMar>
              <w:top w:w="65" w:type="dxa"/>
              <w:bottom w:w="65" w:type="dxa"/>
              <w:left w:w="100" w:type="dxa"/>
              <w:right w:w="100" w:type="dxa"/>
            </w:tcMar>
          </w:tcPr>
          <w:p>
            <w:r>
              <w:rPr>
                <w:rFonts w:ascii="Calibri" w:hAnsi="Calibri"/>
                <w:color w:val="2D3748"/>
                <w:sz w:val="14"/>
              </w:rPr>
              <w:t>Simultaneous interaction of slow hydration (H1) and cell-wall pectin resistance (H3) amplifying total cooking latency.</w:t>
            </w:r>
          </w:p>
        </w:tc>
        <w:tc>
          <w:tcPr>
            <w:tcW w:type="dxa" w:w="2520"/>
            <w:shd w:fill="F7FAFC"/>
            <w:tcMar>
              <w:top w:w="65" w:type="dxa"/>
              <w:bottom w:w="65" w:type="dxa"/>
              <w:left w:w="100" w:type="dxa"/>
              <w:right w:w="100" w:type="dxa"/>
            </w:tcMar>
          </w:tcPr>
          <w:p>
            <w:r>
              <w:rPr>
                <w:rFonts w:ascii="Calibri" w:hAnsi="Calibri"/>
                <w:color w:val="2D3748"/>
                <w:sz w:val="14"/>
              </w:rPr>
              <w:t>Multivariate correlation &amp; regression modeling in WP-05 final synthesis.</w:t>
            </w:r>
          </w:p>
        </w:tc>
      </w:tr>
    </w:tbl>
    <w:p>
      <w:pPr>
        <w:spacing w:before="0" w:after="60" w:line="276" w:lineRule="auto"/>
      </w:pPr>
      <w:r>
        <w:rPr>
          <w:rFonts w:ascii="Calibri" w:hAnsi="Calibri"/>
          <w:color w:val="2D3748"/>
          <w:sz w:val="17"/>
        </w:rPr>
        <w:t>Evidence Language Ladder: To maintain scientific integrity, Phase 1 conclusions strictly observe the following four-tier hierarchy: (1) Measured Difference: Directly observed analytical variance between samples; (2) Statistical Association: Correlation supported by data but not establishing directionality; (3) Plausible Hypothesis: Literature-compatible mechanism not yet causally proven for the target lot; (4) Controlled Causal Effect: Established only when controlled intervention trials isolate the mechanism in Phase 2.</w:t>
      </w:r>
    </w:p>
    <w:p>
      <w:pPr>
        <w:keepNext/>
        <w:spacing w:before="260" w:after="60"/>
      </w:pPr>
      <w:r>
        <w:rPr>
          <w:rFonts w:ascii="Calibri" w:hAnsi="Calibri"/>
          <w:b/>
          <w:color w:val="1A365D"/>
          <w:sz w:val="23"/>
        </w:rPr>
        <w:t>7. Food Safety, Regulatory Separation &amp; Product Acceptance Criteria</w:t>
      </w:r>
    </w:p>
    <w:p>
      <w:pPr>
        <w:spacing w:before="0" w:after="60" w:line="276" w:lineRule="auto"/>
      </w:pPr>
      <w:r>
        <w:rPr>
          <w:rFonts w:ascii="Calibri" w:hAnsi="Calibri"/>
          <w:color w:val="2D3748"/>
          <w:sz w:val="17"/>
        </w:rPr>
        <w:t>Under project governance standards, statutory food safety regulations are formally segregated from internal commercial product quality specifications. The commercial product falls under FSSAI Category 2.4.6.15 (Dehulled Split Pulses):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160"/>
        <w:gridCol w:w="2592"/>
        <w:gridCol w:w="2592"/>
        <w:gridCol w:w="2736"/>
      </w:tblGrid>
      <w:tr>
        <w:trPr>
          <w:tblHeader/>
          <w:cantSplit/>
        </w:trPr>
        <w:tc>
          <w:tcPr>
            <w:tcW w:type="dxa" w:w="2520"/>
            <w:shd w:fill="1A365D"/>
            <w:tcMar>
              <w:top w:w="100" w:type="dxa"/>
              <w:bottom w:w="100" w:type="dxa"/>
              <w:left w:w="100" w:type="dxa"/>
              <w:right w:w="100" w:type="dxa"/>
            </w:tcMar>
          </w:tcPr>
          <w:p>
            <w:pPr>
              <w:jc w:val="left"/>
            </w:pPr>
            <w:r>
              <w:t>Quality / Safety Parameter</w:t>
            </w:r>
          </w:p>
        </w:tc>
        <w:tc>
          <w:tcPr>
            <w:tcW w:type="dxa" w:w="2520"/>
            <w:shd w:fill="1A365D"/>
            <w:tcMar>
              <w:top w:w="100" w:type="dxa"/>
              <w:bottom w:w="100" w:type="dxa"/>
              <w:left w:w="100" w:type="dxa"/>
              <w:right w:w="100" w:type="dxa"/>
            </w:tcMar>
          </w:tcPr>
          <w:p>
            <w:pPr>
              <w:jc w:val="left"/>
            </w:pPr>
            <w:r>
              <w:t>Classification &amp; Authority</w:t>
            </w:r>
          </w:p>
        </w:tc>
        <w:tc>
          <w:tcPr>
            <w:tcW w:type="dxa" w:w="2520"/>
            <w:shd w:fill="1A365D"/>
            <w:tcMar>
              <w:top w:w="100" w:type="dxa"/>
              <w:bottom w:w="100" w:type="dxa"/>
              <w:left w:w="100" w:type="dxa"/>
              <w:right w:w="100" w:type="dxa"/>
            </w:tcMar>
          </w:tcPr>
          <w:p>
            <w:pPr>
              <w:jc w:val="left"/>
            </w:pPr>
            <w:r>
              <w:t>Numerical Standard / Limit</w:t>
            </w:r>
          </w:p>
        </w:tc>
        <w:tc>
          <w:tcPr>
            <w:tcW w:type="dxa" w:w="2520"/>
            <w:shd w:fill="1A365D"/>
            <w:tcMar>
              <w:top w:w="100" w:type="dxa"/>
              <w:bottom w:w="100" w:type="dxa"/>
              <w:left w:w="100" w:type="dxa"/>
              <w:right w:w="100" w:type="dxa"/>
            </w:tcMar>
          </w:tcPr>
          <w:p>
            <w:pPr>
              <w:jc w:val="left"/>
            </w:pPr>
            <w:r>
              <w:t>Measurement Method &amp; Stage</w:t>
            </w:r>
          </w:p>
        </w:tc>
      </w:tr>
      <w:tr>
        <w:trPr>
          <w:cantSplit/>
        </w:trPr>
        <w:tc>
          <w:tcPr>
            <w:tcW w:type="dxa" w:w="2520"/>
            <w:tcMar>
              <w:top w:w="65" w:type="dxa"/>
              <w:bottom w:w="65" w:type="dxa"/>
              <w:left w:w="100" w:type="dxa"/>
              <w:right w:w="100" w:type="dxa"/>
            </w:tcMar>
          </w:tcPr>
          <w:p>
            <w:r>
              <w:rPr>
                <w:rFonts w:ascii="Calibri" w:hAnsi="Calibri"/>
                <w:b/>
                <w:color w:val="2D3748"/>
                <w:sz w:val="15"/>
              </w:rPr>
              <w:t>Moisture Content</w:t>
            </w:r>
          </w:p>
        </w:tc>
        <w:tc>
          <w:tcPr>
            <w:tcW w:type="dxa" w:w="2520"/>
            <w:tcMar>
              <w:top w:w="65" w:type="dxa"/>
              <w:bottom w:w="65" w:type="dxa"/>
              <w:left w:w="100" w:type="dxa"/>
              <w:right w:w="100" w:type="dxa"/>
            </w:tcMar>
          </w:tcPr>
          <w:p>
            <w:r>
              <w:rPr>
                <w:rFonts w:ascii="Calibri" w:hAnsi="Calibri"/>
                <w:color w:val="2D3748"/>
                <w:sz w:val="15"/>
              </w:rPr>
              <w:t>FSSAI Statutory Standard (Clause 2.4.6.15)</w:t>
            </w:r>
          </w:p>
        </w:tc>
        <w:tc>
          <w:tcPr>
            <w:tcW w:type="dxa" w:w="2520"/>
            <w:tcMar>
              <w:top w:w="65" w:type="dxa"/>
              <w:bottom w:w="65" w:type="dxa"/>
              <w:left w:w="100" w:type="dxa"/>
              <w:right w:w="100" w:type="dxa"/>
            </w:tcMar>
          </w:tcPr>
          <w:p>
            <w:r>
              <w:rPr>
                <w:rFonts w:ascii="Calibri" w:hAnsi="Calibri"/>
                <w:color w:val="2D3748"/>
                <w:sz w:val="15"/>
              </w:rPr>
              <w:t>Maximum 14.0% w/w (Wet Basis)</w:t>
            </w:r>
          </w:p>
        </w:tc>
        <w:tc>
          <w:tcPr>
            <w:tcW w:type="dxa" w:w="2520"/>
            <w:tcMar>
              <w:top w:w="65" w:type="dxa"/>
              <w:bottom w:w="65" w:type="dxa"/>
              <w:left w:w="100" w:type="dxa"/>
              <w:right w:w="100" w:type="dxa"/>
            </w:tcMar>
          </w:tcPr>
          <w:p>
            <w:r>
              <w:rPr>
                <w:rFonts w:ascii="Calibri" w:hAnsi="Calibri"/>
                <w:color w:val="2D3748"/>
                <w:sz w:val="15"/>
              </w:rPr>
              <w:t>AOAC 925.10 / Mandatory release check</w:t>
            </w:r>
          </w:p>
        </w:tc>
      </w:tr>
      <w:tr>
        <w:trPr>
          <w:cantSplit/>
        </w:trPr>
        <w:tc>
          <w:tcPr>
            <w:tcW w:type="dxa" w:w="2520"/>
            <w:shd w:fill="F7FAFC"/>
            <w:tcMar>
              <w:top w:w="65" w:type="dxa"/>
              <w:bottom w:w="65" w:type="dxa"/>
              <w:left w:w="100" w:type="dxa"/>
              <w:right w:w="100" w:type="dxa"/>
            </w:tcMar>
          </w:tcPr>
          <w:p>
            <w:r>
              <w:rPr>
                <w:rFonts w:ascii="Calibri" w:hAnsi="Calibri"/>
                <w:b/>
                <w:color w:val="2D3748"/>
                <w:sz w:val="15"/>
              </w:rPr>
              <w:t>Broken Grains / Fines</w:t>
            </w:r>
          </w:p>
        </w:tc>
        <w:tc>
          <w:tcPr>
            <w:tcW w:type="dxa" w:w="2520"/>
            <w:shd w:fill="F7FAFC"/>
            <w:tcMar>
              <w:top w:w="65" w:type="dxa"/>
              <w:bottom w:w="65" w:type="dxa"/>
              <w:left w:w="100" w:type="dxa"/>
              <w:right w:w="100" w:type="dxa"/>
            </w:tcMar>
          </w:tcPr>
          <w:p>
            <w:r>
              <w:rPr>
                <w:rFonts w:ascii="Calibri" w:hAnsi="Calibri"/>
                <w:color w:val="2D3748"/>
                <w:sz w:val="15"/>
              </w:rPr>
              <w:t>FSSAI Statutory Standard (Clause 2.4.6.15)</w:t>
            </w:r>
          </w:p>
        </w:tc>
        <w:tc>
          <w:tcPr>
            <w:tcW w:type="dxa" w:w="2520"/>
            <w:shd w:fill="F7FAFC"/>
            <w:tcMar>
              <w:top w:w="65" w:type="dxa"/>
              <w:bottom w:w="65" w:type="dxa"/>
              <w:left w:w="100" w:type="dxa"/>
              <w:right w:w="100" w:type="dxa"/>
            </w:tcMar>
          </w:tcPr>
          <w:p>
            <w:r>
              <w:rPr>
                <w:rFonts w:ascii="Calibri" w:hAnsi="Calibri"/>
                <w:color w:val="2D3748"/>
                <w:sz w:val="15"/>
              </w:rPr>
              <w:t>Maximum 5.0% w/w broken dal</w:t>
            </w:r>
          </w:p>
        </w:tc>
        <w:tc>
          <w:tcPr>
            <w:tcW w:type="dxa" w:w="2520"/>
            <w:shd w:fill="F7FAFC"/>
            <w:tcMar>
              <w:top w:w="65" w:type="dxa"/>
              <w:bottom w:w="65" w:type="dxa"/>
              <w:left w:w="100" w:type="dxa"/>
              <w:right w:w="100" w:type="dxa"/>
            </w:tcMar>
          </w:tcPr>
          <w:p>
            <w:r>
              <w:rPr>
                <w:rFonts w:ascii="Calibri" w:hAnsi="Calibri"/>
                <w:color w:val="2D3748"/>
                <w:sz w:val="15"/>
              </w:rPr>
              <w:t>IS 4333 Part 1 / Sieve analysis</w:t>
            </w:r>
          </w:p>
        </w:tc>
      </w:tr>
      <w:tr>
        <w:trPr>
          <w:cantSplit/>
        </w:trPr>
        <w:tc>
          <w:tcPr>
            <w:tcW w:type="dxa" w:w="2520"/>
            <w:tcMar>
              <w:top w:w="65" w:type="dxa"/>
              <w:bottom w:w="65" w:type="dxa"/>
              <w:left w:w="100" w:type="dxa"/>
              <w:right w:w="100" w:type="dxa"/>
            </w:tcMar>
          </w:tcPr>
          <w:p>
            <w:r>
              <w:rPr>
                <w:rFonts w:ascii="Calibri" w:hAnsi="Calibri"/>
                <w:b/>
                <w:color w:val="2D3748"/>
                <w:sz w:val="15"/>
              </w:rPr>
              <w:t>Project Broken Target</w:t>
            </w:r>
          </w:p>
        </w:tc>
        <w:tc>
          <w:tcPr>
            <w:tcW w:type="dxa" w:w="2520"/>
            <w:tcMar>
              <w:top w:w="65" w:type="dxa"/>
              <w:bottom w:w="65" w:type="dxa"/>
              <w:left w:w="100" w:type="dxa"/>
              <w:right w:w="100" w:type="dxa"/>
            </w:tcMar>
          </w:tcPr>
          <w:p>
            <w:r>
              <w:rPr>
                <w:rFonts w:ascii="Calibri" w:hAnsi="Calibri"/>
                <w:color w:val="2D3748"/>
                <w:sz w:val="15"/>
              </w:rPr>
              <w:t>Project Acceptance Target (Internal Quality)</w:t>
            </w:r>
          </w:p>
        </w:tc>
        <w:tc>
          <w:tcPr>
            <w:tcW w:type="dxa" w:w="2520"/>
            <w:tcMar>
              <w:top w:w="65" w:type="dxa"/>
              <w:bottom w:w="65" w:type="dxa"/>
              <w:left w:w="100" w:type="dxa"/>
              <w:right w:w="100" w:type="dxa"/>
            </w:tcMar>
          </w:tcPr>
          <w:p>
            <w:r>
              <w:rPr>
                <w:rFonts w:ascii="Calibri" w:hAnsi="Calibri"/>
                <w:color w:val="2D3748"/>
                <w:sz w:val="15"/>
              </w:rPr>
              <w:t>Maximum 2.0% w/w broken dal</w:t>
            </w:r>
          </w:p>
        </w:tc>
        <w:tc>
          <w:tcPr>
            <w:tcW w:type="dxa" w:w="2520"/>
            <w:tcMar>
              <w:top w:w="65" w:type="dxa"/>
              <w:bottom w:w="65" w:type="dxa"/>
              <w:left w:w="100" w:type="dxa"/>
              <w:right w:w="100" w:type="dxa"/>
            </w:tcMar>
          </w:tcPr>
          <w:p>
            <w:r>
              <w:rPr>
                <w:rFonts w:ascii="Calibri" w:hAnsi="Calibri"/>
                <w:color w:val="2D3748"/>
                <w:sz w:val="15"/>
              </w:rPr>
              <w:t>Stricter internal commercial specification</w:t>
            </w:r>
          </w:p>
        </w:tc>
      </w:tr>
      <w:tr>
        <w:trPr>
          <w:cantSplit/>
        </w:trPr>
        <w:tc>
          <w:tcPr>
            <w:tcW w:type="dxa" w:w="2520"/>
            <w:shd w:fill="F7FAFC"/>
            <w:tcMar>
              <w:top w:w="65" w:type="dxa"/>
              <w:bottom w:w="65" w:type="dxa"/>
              <w:left w:w="100" w:type="dxa"/>
              <w:right w:w="100" w:type="dxa"/>
            </w:tcMar>
          </w:tcPr>
          <w:p>
            <w:r>
              <w:rPr>
                <w:rFonts w:ascii="Calibri" w:hAnsi="Calibri"/>
                <w:b/>
                <w:color w:val="2D3748"/>
                <w:sz w:val="15"/>
              </w:rPr>
              <w:t>Finished Sodium Content</w:t>
            </w:r>
          </w:p>
        </w:tc>
        <w:tc>
          <w:tcPr>
            <w:tcW w:type="dxa" w:w="2520"/>
            <w:shd w:fill="F7FAFC"/>
            <w:tcMar>
              <w:top w:w="65" w:type="dxa"/>
              <w:bottom w:w="65" w:type="dxa"/>
              <w:left w:w="100" w:type="dxa"/>
              <w:right w:w="100" w:type="dxa"/>
            </w:tcMar>
          </w:tcPr>
          <w:p>
            <w:r>
              <w:rPr>
                <w:rFonts w:ascii="Calibri" w:hAnsi="Calibri"/>
                <w:color w:val="2D3748"/>
                <w:sz w:val="15"/>
              </w:rPr>
              <w:t>Project Acceptance Target (Commercial Quality)</w:t>
            </w:r>
          </w:p>
        </w:tc>
        <w:tc>
          <w:tcPr>
            <w:tcW w:type="dxa" w:w="2520"/>
            <w:shd w:fill="F7FAFC"/>
            <w:tcMar>
              <w:top w:w="65" w:type="dxa"/>
              <w:bottom w:w="65" w:type="dxa"/>
              <w:left w:w="100" w:type="dxa"/>
              <w:right w:w="100" w:type="dxa"/>
            </w:tcMar>
          </w:tcPr>
          <w:p>
            <w:r>
              <w:rPr>
                <w:rFonts w:ascii="Calibri" w:hAnsi="Calibri"/>
                <w:color w:val="2D3748"/>
                <w:sz w:val="15"/>
              </w:rPr>
              <w:t>Maximum 150 mg / 100 g dry dal</w:t>
            </w:r>
          </w:p>
        </w:tc>
        <w:tc>
          <w:tcPr>
            <w:tcW w:type="dxa" w:w="2520"/>
            <w:shd w:fill="F7FAFC"/>
            <w:tcMar>
              <w:top w:w="65" w:type="dxa"/>
              <w:bottom w:w="65" w:type="dxa"/>
              <w:left w:w="100" w:type="dxa"/>
              <w:right w:w="100" w:type="dxa"/>
            </w:tcMar>
          </w:tcPr>
          <w:p>
            <w:r>
              <w:rPr>
                <w:rFonts w:ascii="Calibri" w:hAnsi="Calibri"/>
                <w:color w:val="2D3748"/>
                <w:sz w:val="15"/>
              </w:rPr>
              <w:t>ICP-OES / Evaluated post-drying in Phase 2</w:t>
            </w:r>
          </w:p>
        </w:tc>
      </w:tr>
      <w:tr>
        <w:trPr>
          <w:cantSplit/>
        </w:trPr>
        <w:tc>
          <w:tcPr>
            <w:tcW w:type="dxa" w:w="2520"/>
            <w:tcMar>
              <w:top w:w="65" w:type="dxa"/>
              <w:bottom w:w="65" w:type="dxa"/>
              <w:left w:w="100" w:type="dxa"/>
              <w:right w:w="100" w:type="dxa"/>
            </w:tcMar>
          </w:tcPr>
          <w:p>
            <w:r>
              <w:rPr>
                <w:rFonts w:ascii="Calibri" w:hAnsi="Calibri"/>
                <w:b/>
                <w:color w:val="2D3748"/>
                <w:sz w:val="15"/>
              </w:rPr>
              <w:t>Water Activity (aw)</w:t>
            </w:r>
          </w:p>
        </w:tc>
        <w:tc>
          <w:tcPr>
            <w:tcW w:type="dxa" w:w="2520"/>
            <w:tcMar>
              <w:top w:w="65" w:type="dxa"/>
              <w:bottom w:w="65" w:type="dxa"/>
              <w:left w:w="100" w:type="dxa"/>
              <w:right w:w="100" w:type="dxa"/>
            </w:tcMar>
          </w:tcPr>
          <w:p>
            <w:r>
              <w:rPr>
                <w:rFonts w:ascii="Calibri" w:hAnsi="Calibri"/>
                <w:color w:val="2D3748"/>
                <w:sz w:val="15"/>
              </w:rPr>
              <w:t>Project Acceptance Target (Microbial Stability)</w:t>
            </w:r>
          </w:p>
        </w:tc>
        <w:tc>
          <w:tcPr>
            <w:tcW w:type="dxa" w:w="2520"/>
            <w:tcMar>
              <w:top w:w="65" w:type="dxa"/>
              <w:bottom w:w="65" w:type="dxa"/>
              <w:left w:w="100" w:type="dxa"/>
              <w:right w:w="100" w:type="dxa"/>
            </w:tcMar>
          </w:tcPr>
          <w:p>
            <w:r>
              <w:rPr>
                <w:rFonts w:ascii="Calibri" w:hAnsi="Calibri"/>
                <w:color w:val="2D3748"/>
                <w:sz w:val="15"/>
              </w:rPr>
              <w:t>aw &lt; 0.60 at 10.0% ± 0.5% moisture</w:t>
            </w:r>
          </w:p>
        </w:tc>
        <w:tc>
          <w:tcPr>
            <w:tcW w:type="dxa" w:w="2520"/>
            <w:tcMar>
              <w:top w:w="65" w:type="dxa"/>
              <w:bottom w:w="65" w:type="dxa"/>
              <w:left w:w="100" w:type="dxa"/>
              <w:right w:w="100" w:type="dxa"/>
            </w:tcMar>
          </w:tcPr>
          <w:p>
            <w:r>
              <w:rPr>
                <w:rFonts w:ascii="Calibri" w:hAnsi="Calibri"/>
                <w:color w:val="2D3748"/>
                <w:sz w:val="15"/>
              </w:rPr>
              <w:t>Chilled mirror dew-point hygrometer</w:t>
            </w:r>
          </w:p>
        </w:tc>
      </w:tr>
    </w:tbl>
    <w:p>
      <w:pPr>
        <w:spacing w:before="0" w:after="60" w:line="276" w:lineRule="auto"/>
      </w:pPr>
      <w:r>
        <w:rPr>
          <w:rFonts w:ascii="Calibri" w:hAnsi="Calibri"/>
          <w:color w:val="2D3748"/>
          <w:sz w:val="17"/>
        </w:rPr>
        <w:t>Laboratory Safety Rule: No human sensory evaluation or tasting of uncharacterized experimental samples will occur during Phase 1. Formal organoleptic panels are restricted to Phase 2 under certified food-grade hygiene protocols.</w:t>
      </w:r>
    </w:p>
    <w:p>
      <w:pPr>
        <w:keepNext/>
        <w:spacing w:before="260" w:after="60"/>
      </w:pPr>
      <w:r>
        <w:rPr>
          <w:rFonts w:ascii="Calibri" w:hAnsi="Calibri"/>
          <w:b/>
          <w:color w:val="1A365D"/>
          <w:sz w:val="23"/>
        </w:rPr>
        <w:t>8. Key Deliverables &amp; Final Technical Report Structure</w:t>
      </w:r>
    </w:p>
    <w:p>
      <w:pPr>
        <w:spacing w:before="0" w:after="60" w:line="276" w:lineRule="auto"/>
      </w:pPr>
      <w:r>
        <w:rPr>
          <w:rFonts w:ascii="Calibri" w:hAnsi="Calibri"/>
          <w:color w:val="2D3748"/>
          <w:sz w:val="17"/>
        </w:rPr>
        <w:t>FinnoaQ will provide the complete suite of 14 key deliverables defined in Section 21 of the source SOW:</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5040"/>
        <w:gridCol w:w="5040"/>
      </w:tblGrid>
      <w:tr>
        <w:trPr>
          <w:tblHeader/>
          <w:cantSplit/>
        </w:trPr>
        <w:tc>
          <w:tcPr>
            <w:tcW w:type="dxa" w:w="5040"/>
            <w:shd w:fill="1A365D"/>
            <w:tcMar>
              <w:top w:w="100" w:type="dxa"/>
              <w:bottom w:w="100" w:type="dxa"/>
              <w:left w:w="100" w:type="dxa"/>
              <w:right w:w="100" w:type="dxa"/>
            </w:tcMar>
          </w:tcPr>
          <w:p>
            <w:pPr>
              <w:jc w:val="left"/>
            </w:pPr>
            <w:r>
              <w:t>Deliverables 1 to 7 (Analytical Modules)</w:t>
            </w:r>
          </w:p>
        </w:tc>
        <w:tc>
          <w:tcPr>
            <w:tcW w:type="dxa" w:w="5040"/>
            <w:shd w:fill="1A365D"/>
            <w:tcMar>
              <w:top w:w="100" w:type="dxa"/>
              <w:bottom w:w="100" w:type="dxa"/>
              <w:left w:w="100" w:type="dxa"/>
              <w:right w:w="100" w:type="dxa"/>
            </w:tcMar>
          </w:tcPr>
          <w:p>
            <w:pPr>
              <w:jc w:val="left"/>
            </w:pPr>
            <w:r>
              <w:t>Deliverables 8 to 14 (Synthesis &amp; Reports)</w:t>
            </w:r>
          </w:p>
        </w:tc>
      </w:tr>
      <w:tr>
        <w:trPr>
          <w:cantSplit/>
        </w:trPr>
        <w:tc>
          <w:tcPr>
            <w:tcW w:type="dxa" w:w="5040"/>
            <w:tcMar>
              <w:top w:w="65" w:type="dxa"/>
              <w:bottom w:w="65" w:type="dxa"/>
              <w:left w:w="100" w:type="dxa"/>
              <w:right w:w="100" w:type="dxa"/>
            </w:tcMar>
          </w:tcPr>
          <w:p>
            <w:r>
              <w:rPr>
                <w:rFonts w:ascii="Calibri" w:hAnsi="Calibri"/>
                <w:color w:val="2D3748"/>
                <w:sz w:val="15"/>
              </w:rPr>
              <w:t>DEL-01: Sample Characterization Report</w:t>
            </w:r>
          </w:p>
        </w:tc>
        <w:tc>
          <w:tcPr>
            <w:tcW w:type="dxa" w:w="5040"/>
            <w:tcMar>
              <w:top w:w="65" w:type="dxa"/>
              <w:bottom w:w="65" w:type="dxa"/>
              <w:left w:w="100" w:type="dxa"/>
              <w:right w:w="100" w:type="dxa"/>
            </w:tcMar>
          </w:tcPr>
          <w:p>
            <w:r>
              <w:rPr>
                <w:rFonts w:ascii="Calibri" w:hAnsi="Calibri"/>
                <w:color w:val="2D3748"/>
                <w:sz w:val="15"/>
              </w:rPr>
              <w:t>DEL-08: Hardness &amp; Texture Analysis Report</w:t>
            </w:r>
          </w:p>
        </w:tc>
      </w:tr>
      <w:tr>
        <w:trPr>
          <w:cantSplit/>
        </w:trPr>
        <w:tc>
          <w:tcPr>
            <w:tcW w:type="dxa" w:w="5040"/>
            <w:shd w:fill="F7FAFC"/>
            <w:tcMar>
              <w:top w:w="65" w:type="dxa"/>
              <w:bottom w:w="65" w:type="dxa"/>
              <w:left w:w="100" w:type="dxa"/>
              <w:right w:w="100" w:type="dxa"/>
            </w:tcMar>
          </w:tcPr>
          <w:p>
            <w:r>
              <w:rPr>
                <w:rFonts w:ascii="Calibri" w:hAnsi="Calibri"/>
                <w:color w:val="2D3748"/>
                <w:sz w:val="15"/>
              </w:rPr>
              <w:t>DEL-02: Proximate Chemical Composition Report</w:t>
            </w:r>
          </w:p>
        </w:tc>
        <w:tc>
          <w:tcPr>
            <w:tcW w:type="dxa" w:w="5040"/>
            <w:shd w:fill="F7FAFC"/>
            <w:tcMar>
              <w:top w:w="65" w:type="dxa"/>
              <w:bottom w:w="65" w:type="dxa"/>
              <w:left w:w="100" w:type="dxa"/>
              <w:right w:w="100" w:type="dxa"/>
            </w:tcMar>
          </w:tcPr>
          <w:p>
            <w:r>
              <w:rPr>
                <w:rFonts w:ascii="Calibri" w:hAnsi="Calibri"/>
                <w:color w:val="2D3748"/>
                <w:sz w:val="15"/>
              </w:rPr>
              <w:t>DEL-09: Standardized Cooking Performance Report</w:t>
            </w:r>
          </w:p>
        </w:tc>
      </w:tr>
      <w:tr>
        <w:trPr>
          <w:cantSplit/>
        </w:trPr>
        <w:tc>
          <w:tcPr>
            <w:tcW w:type="dxa" w:w="5040"/>
            <w:tcMar>
              <w:top w:w="65" w:type="dxa"/>
              <w:bottom w:w="65" w:type="dxa"/>
              <w:left w:w="100" w:type="dxa"/>
              <w:right w:w="100" w:type="dxa"/>
            </w:tcMar>
          </w:tcPr>
          <w:p>
            <w:r>
              <w:rPr>
                <w:rFonts w:ascii="Calibri" w:hAnsi="Calibri"/>
                <w:color w:val="2D3748"/>
                <w:sz w:val="15"/>
              </w:rPr>
              <w:t>DEL-03: Starch &amp; Gelatinization Report</w:t>
            </w:r>
          </w:p>
        </w:tc>
        <w:tc>
          <w:tcPr>
            <w:tcW w:type="dxa" w:w="5040"/>
            <w:tcMar>
              <w:top w:w="65" w:type="dxa"/>
              <w:bottom w:w="65" w:type="dxa"/>
              <w:left w:w="100" w:type="dxa"/>
              <w:right w:w="100" w:type="dxa"/>
            </w:tcMar>
          </w:tcPr>
          <w:p>
            <w:r>
              <w:rPr>
                <w:rFonts w:ascii="Calibri" w:hAnsi="Calibri"/>
                <w:color w:val="2D3748"/>
                <w:sz w:val="15"/>
              </w:rPr>
              <w:t>DEL-10: Tanzanian vs. Indian Benchmarking Matrix</w:t>
            </w:r>
          </w:p>
        </w:tc>
      </w:tr>
      <w:tr>
        <w:trPr>
          <w:cantSplit/>
        </w:trPr>
        <w:tc>
          <w:tcPr>
            <w:tcW w:type="dxa" w:w="5040"/>
            <w:shd w:fill="F7FAFC"/>
            <w:tcMar>
              <w:top w:w="65" w:type="dxa"/>
              <w:bottom w:w="65" w:type="dxa"/>
              <w:left w:w="100" w:type="dxa"/>
              <w:right w:w="100" w:type="dxa"/>
            </w:tcMar>
          </w:tcPr>
          <w:p>
            <w:r>
              <w:rPr>
                <w:rFonts w:ascii="Calibri" w:hAnsi="Calibri"/>
                <w:color w:val="2D3748"/>
                <w:sz w:val="15"/>
              </w:rPr>
              <w:t>DEL-04: Hydration &amp; Water Absorption Report</w:t>
            </w:r>
          </w:p>
        </w:tc>
        <w:tc>
          <w:tcPr>
            <w:tcW w:type="dxa" w:w="5040"/>
            <w:shd w:fill="F7FAFC"/>
            <w:tcMar>
              <w:top w:w="65" w:type="dxa"/>
              <w:bottom w:w="65" w:type="dxa"/>
              <w:left w:w="100" w:type="dxa"/>
              <w:right w:w="100" w:type="dxa"/>
            </w:tcMar>
          </w:tcPr>
          <w:p>
            <w:r>
              <w:rPr>
                <w:rFonts w:ascii="Calibri" w:hAnsi="Calibri"/>
                <w:color w:val="2D3748"/>
                <w:sz w:val="15"/>
              </w:rPr>
              <w:t>DEL-11: Integrated Root-Cause Analysis Dossier</w:t>
            </w:r>
          </w:p>
        </w:tc>
      </w:tr>
      <w:tr>
        <w:trPr>
          <w:cantSplit/>
        </w:trPr>
        <w:tc>
          <w:tcPr>
            <w:tcW w:type="dxa" w:w="5040"/>
            <w:tcMar>
              <w:top w:w="65" w:type="dxa"/>
              <w:bottom w:w="65" w:type="dxa"/>
              <w:left w:w="100" w:type="dxa"/>
              <w:right w:w="100" w:type="dxa"/>
            </w:tcMar>
          </w:tcPr>
          <w:p>
            <w:r>
              <w:rPr>
                <w:rFonts w:ascii="Calibri" w:hAnsi="Calibri"/>
                <w:color w:val="2D3748"/>
                <w:sz w:val="15"/>
              </w:rPr>
              <w:t>DEL-05: Structural &amp; Seed-Coat Assessment</w:t>
            </w:r>
          </w:p>
        </w:tc>
        <w:tc>
          <w:tcPr>
            <w:tcW w:type="dxa" w:w="5040"/>
            <w:tcMar>
              <w:top w:w="65" w:type="dxa"/>
              <w:bottom w:w="65" w:type="dxa"/>
              <w:left w:w="100" w:type="dxa"/>
              <w:right w:w="100" w:type="dxa"/>
            </w:tcMar>
          </w:tcPr>
          <w:p>
            <w:r>
              <w:rPr>
                <w:rFonts w:ascii="Calibri" w:hAnsi="Calibri"/>
                <w:color w:val="2D3748"/>
                <w:sz w:val="15"/>
              </w:rPr>
              <w:t>DEL-12: Phase 2 Technology Recommendations</w:t>
            </w:r>
          </w:p>
        </w:tc>
      </w:tr>
      <w:tr>
        <w:trPr>
          <w:cantSplit/>
        </w:trPr>
        <w:tc>
          <w:tcPr>
            <w:tcW w:type="dxa" w:w="5040"/>
            <w:shd w:fill="F7FAFC"/>
            <w:tcMar>
              <w:top w:w="65" w:type="dxa"/>
              <w:bottom w:w="65" w:type="dxa"/>
              <w:left w:w="100" w:type="dxa"/>
              <w:right w:w="100" w:type="dxa"/>
            </w:tcMar>
          </w:tcPr>
          <w:p>
            <w:r>
              <w:rPr>
                <w:rFonts w:ascii="Calibri" w:hAnsi="Calibri"/>
                <w:color w:val="2D3748"/>
                <w:sz w:val="15"/>
              </w:rPr>
              <w:t>DEL-06: Pectin &amp; Cell-Wall Fractionation Report</w:t>
            </w:r>
          </w:p>
        </w:tc>
        <w:tc>
          <w:tcPr>
            <w:tcW w:type="dxa" w:w="5040"/>
            <w:shd w:fill="F7FAFC"/>
            <w:tcMar>
              <w:top w:w="65" w:type="dxa"/>
              <w:bottom w:w="65" w:type="dxa"/>
              <w:left w:w="100" w:type="dxa"/>
              <w:right w:w="100" w:type="dxa"/>
            </w:tcMar>
          </w:tcPr>
          <w:p>
            <w:r>
              <w:rPr>
                <w:rFonts w:ascii="Calibri" w:hAnsi="Calibri"/>
                <w:color w:val="2D3748"/>
                <w:sz w:val="15"/>
              </w:rPr>
              <w:t>DEL-13: Executive Management Summary Briefing</w:t>
            </w:r>
          </w:p>
        </w:tc>
      </w:tr>
      <w:tr>
        <w:trPr>
          <w:cantSplit/>
        </w:trPr>
        <w:tc>
          <w:tcPr>
            <w:tcW w:type="dxa" w:w="5040"/>
            <w:tcMar>
              <w:top w:w="65" w:type="dxa"/>
              <w:bottom w:w="65" w:type="dxa"/>
              <w:left w:w="100" w:type="dxa"/>
              <w:right w:w="100" w:type="dxa"/>
            </w:tcMar>
          </w:tcPr>
          <w:p>
            <w:r>
              <w:rPr>
                <w:rFonts w:ascii="Calibri" w:hAnsi="Calibri"/>
                <w:color w:val="2D3748"/>
                <w:sz w:val="15"/>
              </w:rPr>
              <w:t>DEL-07: Mineral &amp; Phytate Assessment Report</w:t>
            </w:r>
          </w:p>
        </w:tc>
        <w:tc>
          <w:tcPr>
            <w:tcW w:type="dxa" w:w="5040"/>
            <w:tcMar>
              <w:top w:w="65" w:type="dxa"/>
              <w:bottom w:w="65" w:type="dxa"/>
              <w:left w:w="100" w:type="dxa"/>
              <w:right w:w="100" w:type="dxa"/>
            </w:tcMar>
          </w:tcPr>
          <w:p>
            <w:r>
              <w:rPr>
                <w:rFonts w:ascii="Calibri" w:hAnsi="Calibri"/>
                <w:color w:val="2D3748"/>
                <w:sz w:val="15"/>
              </w:rPr>
              <w:t>DEL-14: Comprehensive Final Technical R&amp;D Report</w:t>
            </w:r>
          </w:p>
        </w:tc>
      </w:tr>
    </w:tbl>
    <w:p>
      <w:pPr>
        <w:spacing w:before="0" w:after="60" w:line="276" w:lineRule="auto"/>
      </w:pPr>
      <w:r>
        <w:rPr>
          <w:rFonts w:ascii="Calibri" w:hAnsi="Calibri"/>
          <w:color w:val="2D3748"/>
          <w:sz w:val="17"/>
        </w:rPr>
        <w:t>Final Technical Report Structure: The final deliverable comprises a comprehensive 23-section technical dossier covering executive summary, background, experimental design, analytical methodologies, detailed results for all modules, benchmark matrices, statistical analyses, root-cause assessment, Phase 2 roadmap, study limitations, and raw data appendices.</w:t>
      </w:r>
    </w:p>
    <w:p>
      <w:pPr>
        <w:keepNext/>
        <w:spacing w:before="260" w:after="60"/>
      </w:pPr>
      <w:r>
        <w:rPr>
          <w:rFonts w:ascii="Calibri" w:hAnsi="Calibri"/>
          <w:b/>
          <w:color w:val="1A365D"/>
          <w:sz w:val="23"/>
        </w:rPr>
        <w:t>9. Project Timeline &amp; Operational Milestones</w:t>
      </w:r>
    </w:p>
    <w:p>
      <w:pPr>
        <w:spacing w:before="0" w:after="60" w:line="276" w:lineRule="auto"/>
      </w:pPr>
      <w:r>
        <w:rPr>
          <w:rFonts w:ascii="Calibri" w:hAnsi="Calibri"/>
          <w:color w:val="2D3748"/>
          <w:sz w:val="17"/>
        </w:rPr>
        <w:t>The indicative turnaround is 20–25 business days across five operational stages (source SOW Section 27):</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296"/>
        <w:gridCol w:w="1872"/>
        <w:gridCol w:w="4032"/>
        <w:gridCol w:w="2880"/>
      </w:tblGrid>
      <w:tr>
        <w:trPr>
          <w:tblHeader/>
          <w:cantSplit/>
        </w:trPr>
        <w:tc>
          <w:tcPr>
            <w:tcW w:type="dxa" w:w="2520"/>
            <w:shd w:fill="1A365D"/>
            <w:tcMar>
              <w:top w:w="100" w:type="dxa"/>
              <w:bottom w:w="100" w:type="dxa"/>
              <w:left w:w="100" w:type="dxa"/>
              <w:right w:w="100" w:type="dxa"/>
            </w:tcMar>
          </w:tcPr>
          <w:p>
            <w:pPr>
              <w:jc w:val="left"/>
            </w:pPr>
            <w:r>
              <w:t>Stage</w:t>
            </w:r>
          </w:p>
        </w:tc>
        <w:tc>
          <w:tcPr>
            <w:tcW w:type="dxa" w:w="2520"/>
            <w:shd w:fill="1A365D"/>
            <w:tcMar>
              <w:top w:w="100" w:type="dxa"/>
              <w:bottom w:w="100" w:type="dxa"/>
              <w:left w:w="100" w:type="dxa"/>
              <w:right w:w="100" w:type="dxa"/>
            </w:tcMar>
          </w:tcPr>
          <w:p>
            <w:pPr>
              <w:jc w:val="left"/>
            </w:pPr>
            <w:r>
              <w:t>Timeline</w:t>
            </w:r>
          </w:p>
        </w:tc>
        <w:tc>
          <w:tcPr>
            <w:tcW w:type="dxa" w:w="2520"/>
            <w:shd w:fill="1A365D"/>
            <w:tcMar>
              <w:top w:w="100" w:type="dxa"/>
              <w:bottom w:w="100" w:type="dxa"/>
              <w:left w:w="100" w:type="dxa"/>
              <w:right w:w="100" w:type="dxa"/>
            </w:tcMar>
          </w:tcPr>
          <w:p>
            <w:pPr>
              <w:jc w:val="left"/>
            </w:pPr>
            <w:r>
              <w:t>Key Operational Activities</w:t>
            </w:r>
          </w:p>
        </w:tc>
        <w:tc>
          <w:tcPr>
            <w:tcW w:type="dxa" w:w="2520"/>
            <w:shd w:fill="1A365D"/>
            <w:tcMar>
              <w:top w:w="100" w:type="dxa"/>
              <w:bottom w:w="100" w:type="dxa"/>
              <w:left w:w="100" w:type="dxa"/>
              <w:right w:w="100" w:type="dxa"/>
            </w:tcMar>
          </w:tcPr>
          <w:p>
            <w:pPr>
              <w:jc w:val="left"/>
            </w:pPr>
            <w:r>
              <w:t>Dependencies &amp; Deliverables</w:t>
            </w:r>
          </w:p>
        </w:tc>
      </w:tr>
      <w:tr>
        <w:trPr>
          <w:cantSplit/>
        </w:trPr>
        <w:tc>
          <w:tcPr>
            <w:tcW w:type="dxa" w:w="2520"/>
            <w:tcMar>
              <w:top w:w="65" w:type="dxa"/>
              <w:bottom w:w="65" w:type="dxa"/>
              <w:left w:w="100" w:type="dxa"/>
              <w:right w:w="100" w:type="dxa"/>
            </w:tcMar>
          </w:tcPr>
          <w:p>
            <w:r>
              <w:rPr>
                <w:rFonts w:ascii="Calibri" w:hAnsi="Calibri"/>
                <w:b/>
                <w:color w:val="2D3748"/>
                <w:sz w:val="15"/>
              </w:rPr>
              <w:t>Stage 1</w:t>
            </w:r>
          </w:p>
        </w:tc>
        <w:tc>
          <w:tcPr>
            <w:tcW w:type="dxa" w:w="2520"/>
            <w:tcMar>
              <w:top w:w="65" w:type="dxa"/>
              <w:bottom w:w="65" w:type="dxa"/>
              <w:left w:w="100" w:type="dxa"/>
              <w:right w:w="100" w:type="dxa"/>
            </w:tcMar>
          </w:tcPr>
          <w:p>
            <w:r>
              <w:rPr>
                <w:rFonts w:ascii="Calibri" w:hAnsi="Calibri"/>
                <w:color w:val="2D3748"/>
                <w:sz w:val="15"/>
              </w:rPr>
              <w:t>Days 1–3</w:t>
            </w:r>
          </w:p>
        </w:tc>
        <w:tc>
          <w:tcPr>
            <w:tcW w:type="dxa" w:w="2520"/>
            <w:tcMar>
              <w:top w:w="65" w:type="dxa"/>
              <w:bottom w:w="65" w:type="dxa"/>
              <w:left w:w="100" w:type="dxa"/>
              <w:right w:w="100" w:type="dxa"/>
            </w:tcMar>
          </w:tcPr>
          <w:p>
            <w:r>
              <w:rPr>
                <w:rFonts w:ascii="Calibri" w:hAnsi="Calibri"/>
                <w:color w:val="2D3748"/>
                <w:sz w:val="15"/>
              </w:rPr>
              <w:t>Sample intake, physical inspection, chain of custody coding, allocation to internal/external labs.</w:t>
            </w:r>
          </w:p>
        </w:tc>
        <w:tc>
          <w:tcPr>
            <w:tcW w:type="dxa" w:w="2520"/>
            <w:tcMar>
              <w:top w:w="65" w:type="dxa"/>
              <w:bottom w:w="65" w:type="dxa"/>
              <w:left w:w="100" w:type="dxa"/>
              <w:right w:w="100" w:type="dxa"/>
            </w:tcMar>
          </w:tcPr>
          <w:p>
            <w:r>
              <w:rPr>
                <w:rFonts w:ascii="Calibri" w:hAnsi="Calibri"/>
                <w:color w:val="2D3748"/>
                <w:sz w:val="15"/>
              </w:rPr>
              <w:t>Sample receipt + Milestone 1 advance</w:t>
            </w:r>
          </w:p>
        </w:tc>
      </w:tr>
      <w:tr>
        <w:trPr>
          <w:cantSplit/>
        </w:trPr>
        <w:tc>
          <w:tcPr>
            <w:tcW w:type="dxa" w:w="2520"/>
            <w:shd w:fill="F7FAFC"/>
            <w:tcMar>
              <w:top w:w="65" w:type="dxa"/>
              <w:bottom w:w="65" w:type="dxa"/>
              <w:left w:w="100" w:type="dxa"/>
              <w:right w:w="100" w:type="dxa"/>
            </w:tcMar>
          </w:tcPr>
          <w:p>
            <w:r>
              <w:rPr>
                <w:rFonts w:ascii="Calibri" w:hAnsi="Calibri"/>
                <w:b/>
                <w:color w:val="2D3748"/>
                <w:sz w:val="15"/>
              </w:rPr>
              <w:t>Stage 2</w:t>
            </w:r>
          </w:p>
        </w:tc>
        <w:tc>
          <w:tcPr>
            <w:tcW w:type="dxa" w:w="2520"/>
            <w:shd w:fill="F7FAFC"/>
            <w:tcMar>
              <w:top w:w="65" w:type="dxa"/>
              <w:bottom w:w="65" w:type="dxa"/>
              <w:left w:w="100" w:type="dxa"/>
              <w:right w:w="100" w:type="dxa"/>
            </w:tcMar>
          </w:tcPr>
          <w:p>
            <w:r>
              <w:rPr>
                <w:rFonts w:ascii="Calibri" w:hAnsi="Calibri"/>
                <w:color w:val="2D3748"/>
                <w:sz w:val="15"/>
              </w:rPr>
              <w:t>Days 4–14</w:t>
            </w:r>
          </w:p>
        </w:tc>
        <w:tc>
          <w:tcPr>
            <w:tcW w:type="dxa" w:w="2520"/>
            <w:shd w:fill="F7FAFC"/>
            <w:tcMar>
              <w:top w:w="65" w:type="dxa"/>
              <w:bottom w:w="65" w:type="dxa"/>
              <w:left w:w="100" w:type="dxa"/>
              <w:right w:w="100" w:type="dxa"/>
            </w:tcMar>
          </w:tcPr>
          <w:p>
            <w:r>
              <w:rPr>
                <w:rFonts w:ascii="Calibri" w:hAnsi="Calibri"/>
                <w:color w:val="2D3748"/>
                <w:sz w:val="15"/>
              </w:rPr>
              <w:t>Proximate chemical analysis, starch/amylose assays, DSC thermal runs, mineral/phytate testing.</w:t>
            </w:r>
          </w:p>
        </w:tc>
        <w:tc>
          <w:tcPr>
            <w:tcW w:type="dxa" w:w="2520"/>
            <w:shd w:fill="F7FAFC"/>
            <w:tcMar>
              <w:top w:w="65" w:type="dxa"/>
              <w:bottom w:w="65" w:type="dxa"/>
              <w:left w:w="100" w:type="dxa"/>
              <w:right w:w="100" w:type="dxa"/>
            </w:tcMar>
          </w:tcPr>
          <w:p>
            <w:r>
              <w:rPr>
                <w:rFonts w:ascii="Calibri" w:hAnsi="Calibri"/>
                <w:color w:val="2D3748"/>
                <w:sz w:val="15"/>
              </w:rPr>
              <w:t>Completion of Stage 1 preparation</w:t>
            </w:r>
          </w:p>
        </w:tc>
      </w:tr>
      <w:tr>
        <w:trPr>
          <w:cantSplit/>
        </w:trPr>
        <w:tc>
          <w:tcPr>
            <w:tcW w:type="dxa" w:w="2520"/>
            <w:tcMar>
              <w:top w:w="65" w:type="dxa"/>
              <w:bottom w:w="65" w:type="dxa"/>
              <w:left w:w="100" w:type="dxa"/>
              <w:right w:w="100" w:type="dxa"/>
            </w:tcMar>
          </w:tcPr>
          <w:p>
            <w:r>
              <w:rPr>
                <w:rFonts w:ascii="Calibri" w:hAnsi="Calibri"/>
                <w:b/>
                <w:color w:val="2D3748"/>
                <w:sz w:val="15"/>
              </w:rPr>
              <w:t>Stage 3</w:t>
            </w:r>
          </w:p>
        </w:tc>
        <w:tc>
          <w:tcPr>
            <w:tcW w:type="dxa" w:w="2520"/>
            <w:tcMar>
              <w:top w:w="65" w:type="dxa"/>
              <w:bottom w:w="65" w:type="dxa"/>
              <w:left w:w="100" w:type="dxa"/>
              <w:right w:w="100" w:type="dxa"/>
            </w:tcMar>
          </w:tcPr>
          <w:p>
            <w:r>
              <w:rPr>
                <w:rFonts w:ascii="Calibri" w:hAnsi="Calibri"/>
                <w:color w:val="2D3748"/>
                <w:sz w:val="15"/>
              </w:rPr>
              <w:t>Days 10–18</w:t>
            </w:r>
          </w:p>
        </w:tc>
        <w:tc>
          <w:tcPr>
            <w:tcW w:type="dxa" w:w="2520"/>
            <w:tcMar>
              <w:top w:w="65" w:type="dxa"/>
              <w:bottom w:w="65" w:type="dxa"/>
              <w:left w:w="100" w:type="dxa"/>
              <w:right w:w="100" w:type="dxa"/>
            </w:tcMar>
          </w:tcPr>
          <w:p>
            <w:r>
              <w:rPr>
                <w:rFonts w:ascii="Calibri" w:hAnsi="Calibri"/>
                <w:color w:val="2D3748"/>
                <w:sz w:val="15"/>
              </w:rPr>
              <w:t>Time-course hydration kinetics, standardized pressurized cooking runs, texture analyzer shear testing.</w:t>
            </w:r>
          </w:p>
        </w:tc>
        <w:tc>
          <w:tcPr>
            <w:tcW w:type="dxa" w:w="2520"/>
            <w:tcMar>
              <w:top w:w="65" w:type="dxa"/>
              <w:bottom w:w="65" w:type="dxa"/>
              <w:left w:w="100" w:type="dxa"/>
              <w:right w:w="100" w:type="dxa"/>
            </w:tcMar>
          </w:tcPr>
          <w:p>
            <w:r>
              <w:rPr>
                <w:rFonts w:ascii="Calibri" w:hAnsi="Calibri"/>
                <w:color w:val="2D3748"/>
                <w:sz w:val="15"/>
              </w:rPr>
              <w:t>Conducted in parallel with Stage 2</w:t>
            </w:r>
          </w:p>
        </w:tc>
      </w:tr>
      <w:tr>
        <w:trPr>
          <w:cantSplit/>
        </w:trPr>
        <w:tc>
          <w:tcPr>
            <w:tcW w:type="dxa" w:w="2520"/>
            <w:shd w:fill="F7FAFC"/>
            <w:tcMar>
              <w:top w:w="65" w:type="dxa"/>
              <w:bottom w:w="65" w:type="dxa"/>
              <w:left w:w="100" w:type="dxa"/>
              <w:right w:w="100" w:type="dxa"/>
            </w:tcMar>
          </w:tcPr>
          <w:p>
            <w:r>
              <w:rPr>
                <w:rFonts w:ascii="Calibri" w:hAnsi="Calibri"/>
                <w:b/>
                <w:color w:val="2D3748"/>
                <w:sz w:val="15"/>
              </w:rPr>
              <w:t>Stage 4</w:t>
            </w:r>
          </w:p>
        </w:tc>
        <w:tc>
          <w:tcPr>
            <w:tcW w:type="dxa" w:w="2520"/>
            <w:shd w:fill="F7FAFC"/>
            <w:tcMar>
              <w:top w:w="65" w:type="dxa"/>
              <w:bottom w:w="65" w:type="dxa"/>
              <w:left w:w="100" w:type="dxa"/>
              <w:right w:w="100" w:type="dxa"/>
            </w:tcMar>
          </w:tcPr>
          <w:p>
            <w:r>
              <w:rPr>
                <w:rFonts w:ascii="Calibri" w:hAnsi="Calibri"/>
                <w:color w:val="2D3748"/>
                <w:sz w:val="15"/>
              </w:rPr>
              <w:t>Days 18–22</w:t>
            </w:r>
          </w:p>
        </w:tc>
        <w:tc>
          <w:tcPr>
            <w:tcW w:type="dxa" w:w="2520"/>
            <w:shd w:fill="F7FAFC"/>
            <w:tcMar>
              <w:top w:w="65" w:type="dxa"/>
              <w:bottom w:w="65" w:type="dxa"/>
              <w:left w:w="100" w:type="dxa"/>
              <w:right w:w="100" w:type="dxa"/>
            </w:tcMar>
          </w:tcPr>
          <w:p>
            <w:r>
              <w:rPr>
                <w:rFonts w:ascii="Calibri" w:hAnsi="Calibri"/>
                <w:color w:val="2D3748"/>
                <w:sz w:val="15"/>
              </w:rPr>
              <w:t>Data consolidation, statistical evaluation, cross-verification, multivariate correlation, root-cause synthesis.</w:t>
            </w:r>
          </w:p>
        </w:tc>
        <w:tc>
          <w:tcPr>
            <w:tcW w:type="dxa" w:w="2520"/>
            <w:shd w:fill="F7FAFC"/>
            <w:tcMar>
              <w:top w:w="65" w:type="dxa"/>
              <w:bottom w:w="65" w:type="dxa"/>
              <w:left w:w="100" w:type="dxa"/>
              <w:right w:w="100" w:type="dxa"/>
            </w:tcMar>
          </w:tcPr>
          <w:p>
            <w:r>
              <w:rPr>
                <w:rFonts w:ascii="Calibri" w:hAnsi="Calibri"/>
                <w:color w:val="2D3748"/>
                <w:sz w:val="15"/>
              </w:rPr>
              <w:t>Receipt of all analytical data sheets</w:t>
            </w:r>
          </w:p>
        </w:tc>
      </w:tr>
      <w:tr>
        <w:trPr>
          <w:cantSplit/>
        </w:trPr>
        <w:tc>
          <w:tcPr>
            <w:tcW w:type="dxa" w:w="2520"/>
            <w:tcMar>
              <w:top w:w="65" w:type="dxa"/>
              <w:bottom w:w="65" w:type="dxa"/>
              <w:left w:w="100" w:type="dxa"/>
              <w:right w:w="100" w:type="dxa"/>
            </w:tcMar>
          </w:tcPr>
          <w:p>
            <w:r>
              <w:rPr>
                <w:rFonts w:ascii="Calibri" w:hAnsi="Calibri"/>
                <w:b/>
                <w:color w:val="2D3748"/>
                <w:sz w:val="15"/>
              </w:rPr>
              <w:t>Stage 5</w:t>
            </w:r>
          </w:p>
        </w:tc>
        <w:tc>
          <w:tcPr>
            <w:tcW w:type="dxa" w:w="2520"/>
            <w:tcMar>
              <w:top w:w="65" w:type="dxa"/>
              <w:bottom w:w="65" w:type="dxa"/>
              <w:left w:w="100" w:type="dxa"/>
              <w:right w:w="100" w:type="dxa"/>
            </w:tcMar>
          </w:tcPr>
          <w:p>
            <w:r>
              <w:rPr>
                <w:rFonts w:ascii="Calibri" w:hAnsi="Calibri"/>
                <w:color w:val="2D3748"/>
                <w:sz w:val="15"/>
              </w:rPr>
              <w:t>Days 22–25</w:t>
            </w:r>
          </w:p>
        </w:tc>
        <w:tc>
          <w:tcPr>
            <w:tcW w:type="dxa" w:w="2520"/>
            <w:tcMar>
              <w:top w:w="65" w:type="dxa"/>
              <w:bottom w:w="65" w:type="dxa"/>
              <w:left w:w="100" w:type="dxa"/>
              <w:right w:w="100" w:type="dxa"/>
            </w:tcMar>
          </w:tcPr>
          <w:p>
            <w:r>
              <w:rPr>
                <w:rFonts w:ascii="Calibri" w:hAnsi="Calibri"/>
                <w:color w:val="2D3748"/>
                <w:sz w:val="15"/>
              </w:rPr>
              <w:t>Final technical report compilation, executive briefing preparation, submission, and client presentation.</w:t>
            </w:r>
          </w:p>
        </w:tc>
        <w:tc>
          <w:tcPr>
            <w:tcW w:type="dxa" w:w="2520"/>
            <w:tcMar>
              <w:top w:w="65" w:type="dxa"/>
              <w:bottom w:w="65" w:type="dxa"/>
              <w:left w:w="100" w:type="dxa"/>
              <w:right w:w="100" w:type="dxa"/>
            </w:tcMar>
          </w:tcPr>
          <w:p>
            <w:r>
              <w:rPr>
                <w:rFonts w:ascii="Calibri" w:hAnsi="Calibri"/>
                <w:color w:val="2D3748"/>
                <w:sz w:val="15"/>
              </w:rPr>
              <w:t>Final report sign-off + Milestone 3</w:t>
            </w:r>
          </w:p>
        </w:tc>
      </w:tr>
    </w:tbl>
    <w:p>
      <w:pPr>
        <w:keepNext/>
        <w:spacing w:before="260" w:after="60"/>
      </w:pPr>
      <w:r>
        <w:rPr>
          <w:rFonts w:ascii="Calibri" w:hAnsi="Calibri"/>
          <w:b/>
          <w:color w:val="1A365D"/>
          <w:sz w:val="23"/>
        </w:rPr>
        <w:t>10. Sample Requirements, Allocation Budget &amp; Multi-Lot Options</w:t>
      </w:r>
    </w:p>
    <w:p>
      <w:pPr>
        <w:spacing w:before="0" w:after="60" w:line="276" w:lineRule="auto"/>
      </w:pPr>
      <w:r>
        <w:rPr>
          <w:rFonts w:ascii="Calibri" w:hAnsi="Calibri"/>
          <w:color w:val="2D3748"/>
          <w:sz w:val="17"/>
        </w:rPr>
        <w:t>Under Section 3 of the source SOW, the recommended sample mass is approximately 2.5–3.0 kg per lot. A rigorous physical sample allocation budget was performed across all analytical modules: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728"/>
        <w:gridCol w:w="4320"/>
        <w:gridCol w:w="2016"/>
        <w:gridCol w:w="2016"/>
      </w:tblGrid>
      <w:tr>
        <w:trPr>
          <w:tblHeader/>
          <w:cantSplit/>
        </w:trPr>
        <w:tc>
          <w:tcPr>
            <w:tcW w:type="dxa" w:w="2520"/>
            <w:shd w:fill="1A365D"/>
            <w:tcMar>
              <w:top w:w="100" w:type="dxa"/>
              <w:bottom w:w="100" w:type="dxa"/>
              <w:left w:w="100" w:type="dxa"/>
              <w:right w:w="100" w:type="dxa"/>
            </w:tcMar>
          </w:tcPr>
          <w:p>
            <w:pPr>
              <w:jc w:val="left"/>
            </w:pPr>
            <w:r>
              <w:t>Module / Allocation</w:t>
            </w:r>
          </w:p>
        </w:tc>
        <w:tc>
          <w:tcPr>
            <w:tcW w:type="dxa" w:w="2520"/>
            <w:shd w:fill="1A365D"/>
            <w:tcMar>
              <w:top w:w="100" w:type="dxa"/>
              <w:bottom w:w="100" w:type="dxa"/>
              <w:left w:w="100" w:type="dxa"/>
              <w:right w:w="100" w:type="dxa"/>
            </w:tcMar>
          </w:tcPr>
          <w:p>
            <w:pPr>
              <w:jc w:val="left"/>
            </w:pPr>
            <w:r>
              <w:t>Analytical Activity &amp; Replicate Structure</w:t>
            </w:r>
          </w:p>
        </w:tc>
        <w:tc>
          <w:tcPr>
            <w:tcW w:type="dxa" w:w="2520"/>
            <w:shd w:fill="1A365D"/>
            <w:tcMar>
              <w:top w:w="100" w:type="dxa"/>
              <w:bottom w:w="100" w:type="dxa"/>
              <w:left w:w="100" w:type="dxa"/>
              <w:right w:w="100" w:type="dxa"/>
            </w:tcMar>
          </w:tcPr>
          <w:p>
            <w:pPr>
              <w:jc w:val="left"/>
            </w:pPr>
            <w:r>
              <w:t>Mass Budget (g)</w:t>
            </w:r>
          </w:p>
        </w:tc>
        <w:tc>
          <w:tcPr>
            <w:tcW w:type="dxa" w:w="2520"/>
            <w:shd w:fill="1A365D"/>
            <w:tcMar>
              <w:top w:w="100" w:type="dxa"/>
              <w:bottom w:w="100" w:type="dxa"/>
              <w:left w:w="100" w:type="dxa"/>
              <w:right w:w="100" w:type="dxa"/>
            </w:tcMar>
          </w:tcPr>
          <w:p>
            <w:pPr>
              <w:jc w:val="left"/>
            </w:pPr>
            <w:r>
              <w:t>Allocation Basis</w:t>
            </w:r>
          </w:p>
        </w:tc>
      </w:tr>
      <w:tr>
        <w:trPr>
          <w:cantSplit/>
        </w:trPr>
        <w:tc>
          <w:tcPr>
            <w:tcW w:type="dxa" w:w="2520"/>
            <w:tcMar>
              <w:top w:w="65" w:type="dxa"/>
              <w:bottom w:w="65" w:type="dxa"/>
              <w:left w:w="100" w:type="dxa"/>
              <w:right w:w="100" w:type="dxa"/>
            </w:tcMar>
          </w:tcPr>
          <w:p>
            <w:r>
              <w:rPr>
                <w:rFonts w:ascii="Calibri" w:hAnsi="Calibri"/>
                <w:color w:val="2D3748"/>
                <w:sz w:val="15"/>
              </w:rPr>
              <w:t>MOD-01</w:t>
            </w:r>
          </w:p>
        </w:tc>
        <w:tc>
          <w:tcPr>
            <w:tcW w:type="dxa" w:w="2520"/>
            <w:tcMar>
              <w:top w:w="65" w:type="dxa"/>
              <w:bottom w:w="65" w:type="dxa"/>
              <w:left w:w="100" w:type="dxa"/>
              <w:right w:w="100" w:type="dxa"/>
            </w:tcMar>
          </w:tcPr>
          <w:p>
            <w:r>
              <w:rPr>
                <w:rFonts w:ascii="Calibri" w:hAnsi="Calibri"/>
                <w:color w:val="2D3748"/>
                <w:sz w:val="15"/>
              </w:rPr>
              <w:t>Physical &amp; Preliminary Grain Integrity Characterization</w:t>
            </w:r>
          </w:p>
        </w:tc>
        <w:tc>
          <w:tcPr>
            <w:tcW w:type="dxa" w:w="2520"/>
            <w:tcMar>
              <w:top w:w="65" w:type="dxa"/>
              <w:bottom w:w="65" w:type="dxa"/>
              <w:left w:w="100" w:type="dxa"/>
              <w:right w:w="100" w:type="dxa"/>
            </w:tcMar>
          </w:tcPr>
          <w:p>
            <w:r>
              <w:rPr>
                <w:rFonts w:ascii="Calibri" w:hAnsi="Calibri"/>
                <w:color w:val="2D3748"/>
                <w:sz w:val="15"/>
              </w:rPr>
              <w:t>150 g</w:t>
            </w:r>
          </w:p>
        </w:tc>
        <w:tc>
          <w:tcPr>
            <w:tcW w:type="dxa" w:w="2520"/>
            <w:tcMar>
              <w:top w:w="65" w:type="dxa"/>
              <w:bottom w:w="65" w:type="dxa"/>
              <w:left w:w="100" w:type="dxa"/>
              <w:right w:w="100" w:type="dxa"/>
            </w:tcMar>
          </w:tcPr>
          <w:p>
            <w:r>
              <w:rPr>
                <w:rFonts w:ascii="Calibri" w:hAnsi="Calibri"/>
                <w:color w:val="2D3748"/>
                <w:sz w:val="15"/>
              </w:rPr>
              <w:t>3 batches x 3 repeats + reserve</w:t>
            </w:r>
          </w:p>
        </w:tc>
      </w:tr>
      <w:tr>
        <w:trPr>
          <w:cantSplit/>
        </w:trPr>
        <w:tc>
          <w:tcPr>
            <w:tcW w:type="dxa" w:w="2520"/>
            <w:shd w:fill="F7FAFC"/>
            <w:tcMar>
              <w:top w:w="65" w:type="dxa"/>
              <w:bottom w:w="65" w:type="dxa"/>
              <w:left w:w="100" w:type="dxa"/>
              <w:right w:w="100" w:type="dxa"/>
            </w:tcMar>
          </w:tcPr>
          <w:p>
            <w:r>
              <w:rPr>
                <w:rFonts w:ascii="Calibri" w:hAnsi="Calibri"/>
                <w:color w:val="2D3748"/>
                <w:sz w:val="15"/>
              </w:rPr>
              <w:t>MOD-02</w:t>
            </w:r>
          </w:p>
        </w:tc>
        <w:tc>
          <w:tcPr>
            <w:tcW w:type="dxa" w:w="2520"/>
            <w:shd w:fill="F7FAFC"/>
            <w:tcMar>
              <w:top w:w="65" w:type="dxa"/>
              <w:bottom w:w="65" w:type="dxa"/>
              <w:left w:w="100" w:type="dxa"/>
              <w:right w:w="100" w:type="dxa"/>
            </w:tcMar>
          </w:tcPr>
          <w:p>
            <w:r>
              <w:rPr>
                <w:rFonts w:ascii="Calibri" w:hAnsi="Calibri"/>
                <w:color w:val="2D3748"/>
                <w:sz w:val="15"/>
              </w:rPr>
              <w:t>Proximate Chemical Composition (Moisture, Protein, Fat, Ash, Fibre)</w:t>
            </w:r>
          </w:p>
        </w:tc>
        <w:tc>
          <w:tcPr>
            <w:tcW w:type="dxa" w:w="2520"/>
            <w:shd w:fill="F7FAFC"/>
            <w:tcMar>
              <w:top w:w="65" w:type="dxa"/>
              <w:bottom w:w="65" w:type="dxa"/>
              <w:left w:w="100" w:type="dxa"/>
              <w:right w:w="100" w:type="dxa"/>
            </w:tcMar>
          </w:tcPr>
          <w:p>
            <w:r>
              <w:rPr>
                <w:rFonts w:ascii="Calibri" w:hAnsi="Calibri"/>
                <w:color w:val="2D3748"/>
                <w:sz w:val="15"/>
              </w:rPr>
              <w:t>250 g</w:t>
            </w:r>
          </w:p>
        </w:tc>
        <w:tc>
          <w:tcPr>
            <w:tcW w:type="dxa" w:w="2520"/>
            <w:shd w:fill="F7FAFC"/>
            <w:tcMar>
              <w:top w:w="65" w:type="dxa"/>
              <w:bottom w:w="65" w:type="dxa"/>
              <w:left w:w="100" w:type="dxa"/>
              <w:right w:w="100" w:type="dxa"/>
            </w:tcMar>
          </w:tcPr>
          <w:p>
            <w:r>
              <w:rPr>
                <w:rFonts w:ascii="Calibri" w:hAnsi="Calibri"/>
                <w:color w:val="2D3748"/>
                <w:sz w:val="15"/>
              </w:rPr>
              <w:t>Triplicate AOAC external lab minimum</w:t>
            </w:r>
          </w:p>
        </w:tc>
      </w:tr>
      <w:tr>
        <w:trPr>
          <w:cantSplit/>
        </w:trPr>
        <w:tc>
          <w:tcPr>
            <w:tcW w:type="dxa" w:w="2520"/>
            <w:tcMar>
              <w:top w:w="65" w:type="dxa"/>
              <w:bottom w:w="65" w:type="dxa"/>
              <w:left w:w="100" w:type="dxa"/>
              <w:right w:w="100" w:type="dxa"/>
            </w:tcMar>
          </w:tcPr>
          <w:p>
            <w:r>
              <w:rPr>
                <w:rFonts w:ascii="Calibri" w:hAnsi="Calibri"/>
                <w:color w:val="2D3748"/>
                <w:sz w:val="15"/>
              </w:rPr>
              <w:t>MOD-03</w:t>
            </w:r>
          </w:p>
        </w:tc>
        <w:tc>
          <w:tcPr>
            <w:tcW w:type="dxa" w:w="2520"/>
            <w:tcMar>
              <w:top w:w="65" w:type="dxa"/>
              <w:bottom w:w="65" w:type="dxa"/>
              <w:left w:w="100" w:type="dxa"/>
              <w:right w:w="100" w:type="dxa"/>
            </w:tcMar>
          </w:tcPr>
          <w:p>
            <w:r>
              <w:rPr>
                <w:rFonts w:ascii="Calibri" w:hAnsi="Calibri"/>
                <w:color w:val="2D3748"/>
                <w:sz w:val="15"/>
              </w:rPr>
              <w:t>Starch &amp; Amylose / Amylopectin Spectrophotometric Assay</w:t>
            </w:r>
          </w:p>
        </w:tc>
        <w:tc>
          <w:tcPr>
            <w:tcW w:type="dxa" w:w="2520"/>
            <w:tcMar>
              <w:top w:w="65" w:type="dxa"/>
              <w:bottom w:w="65" w:type="dxa"/>
              <w:left w:w="100" w:type="dxa"/>
              <w:right w:w="100" w:type="dxa"/>
            </w:tcMar>
          </w:tcPr>
          <w:p>
            <w:r>
              <w:rPr>
                <w:rFonts w:ascii="Calibri" w:hAnsi="Calibri"/>
                <w:color w:val="2D3748"/>
                <w:sz w:val="15"/>
              </w:rPr>
              <w:t>150 g</w:t>
            </w:r>
          </w:p>
        </w:tc>
        <w:tc>
          <w:tcPr>
            <w:tcW w:type="dxa" w:w="2520"/>
            <w:tcMar>
              <w:top w:w="65" w:type="dxa"/>
              <w:bottom w:w="65" w:type="dxa"/>
              <w:left w:w="100" w:type="dxa"/>
              <w:right w:w="100" w:type="dxa"/>
            </w:tcMar>
          </w:tcPr>
          <w:p>
            <w:r>
              <w:rPr>
                <w:rFonts w:ascii="Calibri" w:hAnsi="Calibri"/>
                <w:color w:val="2D3748"/>
                <w:sz w:val="15"/>
              </w:rPr>
              <w:t>Triplicate Megazyme assay + reserve</w:t>
            </w:r>
          </w:p>
        </w:tc>
      </w:tr>
      <w:tr>
        <w:trPr>
          <w:cantSplit/>
        </w:trPr>
        <w:tc>
          <w:tcPr>
            <w:tcW w:type="dxa" w:w="2520"/>
            <w:shd w:fill="F7FAFC"/>
            <w:tcMar>
              <w:top w:w="65" w:type="dxa"/>
              <w:bottom w:w="65" w:type="dxa"/>
              <w:left w:w="100" w:type="dxa"/>
              <w:right w:w="100" w:type="dxa"/>
            </w:tcMar>
          </w:tcPr>
          <w:p>
            <w:r>
              <w:rPr>
                <w:rFonts w:ascii="Calibri" w:hAnsi="Calibri"/>
                <w:color w:val="2D3748"/>
                <w:sz w:val="15"/>
              </w:rPr>
              <w:t>MOD-04</w:t>
            </w:r>
          </w:p>
        </w:tc>
        <w:tc>
          <w:tcPr>
            <w:tcW w:type="dxa" w:w="2520"/>
            <w:shd w:fill="F7FAFC"/>
            <w:tcMar>
              <w:top w:w="65" w:type="dxa"/>
              <w:bottom w:w="65" w:type="dxa"/>
              <w:left w:w="100" w:type="dxa"/>
              <w:right w:w="100" w:type="dxa"/>
            </w:tcMar>
          </w:tcPr>
          <w:p>
            <w:r>
              <w:rPr>
                <w:rFonts w:ascii="Calibri" w:hAnsi="Calibri"/>
                <w:color w:val="2D3748"/>
                <w:sz w:val="15"/>
              </w:rPr>
              <w:t>DSC Thermal Gelatinization &amp; Transition Enthalpy</w:t>
            </w:r>
          </w:p>
        </w:tc>
        <w:tc>
          <w:tcPr>
            <w:tcW w:type="dxa" w:w="2520"/>
            <w:shd w:fill="F7FAFC"/>
            <w:tcMar>
              <w:top w:w="65" w:type="dxa"/>
              <w:bottom w:w="65" w:type="dxa"/>
              <w:left w:w="100" w:type="dxa"/>
              <w:right w:w="100" w:type="dxa"/>
            </w:tcMar>
          </w:tcPr>
          <w:p>
            <w:r>
              <w:rPr>
                <w:rFonts w:ascii="Calibri" w:hAnsi="Calibri"/>
                <w:color w:val="2D3748"/>
                <w:sz w:val="15"/>
              </w:rPr>
              <w:t>150 g</w:t>
            </w:r>
          </w:p>
        </w:tc>
        <w:tc>
          <w:tcPr>
            <w:tcW w:type="dxa" w:w="2520"/>
            <w:shd w:fill="F7FAFC"/>
            <w:tcMar>
              <w:top w:w="65" w:type="dxa"/>
              <w:bottom w:w="65" w:type="dxa"/>
              <w:left w:w="100" w:type="dxa"/>
              <w:right w:w="100" w:type="dxa"/>
            </w:tcMar>
          </w:tcPr>
          <w:p>
            <w:r>
              <w:rPr>
                <w:rFonts w:ascii="Calibri" w:hAnsi="Calibri"/>
                <w:color w:val="2D3748"/>
                <w:sz w:val="15"/>
              </w:rPr>
              <w:t>Triplicate micro-sample DSC runs</w:t>
            </w:r>
          </w:p>
        </w:tc>
      </w:tr>
      <w:tr>
        <w:trPr>
          <w:cantSplit/>
        </w:trPr>
        <w:tc>
          <w:tcPr>
            <w:tcW w:type="dxa" w:w="2520"/>
            <w:tcMar>
              <w:top w:w="65" w:type="dxa"/>
              <w:bottom w:w="65" w:type="dxa"/>
              <w:left w:w="100" w:type="dxa"/>
              <w:right w:w="100" w:type="dxa"/>
            </w:tcMar>
          </w:tcPr>
          <w:p>
            <w:r>
              <w:rPr>
                <w:rFonts w:ascii="Calibri" w:hAnsi="Calibri"/>
                <w:color w:val="2D3748"/>
                <w:sz w:val="15"/>
              </w:rPr>
              <w:t>MOD-05</w:t>
            </w:r>
          </w:p>
        </w:tc>
        <w:tc>
          <w:tcPr>
            <w:tcW w:type="dxa" w:w="2520"/>
            <w:tcMar>
              <w:top w:w="65" w:type="dxa"/>
              <w:bottom w:w="65" w:type="dxa"/>
              <w:left w:w="100" w:type="dxa"/>
              <w:right w:w="100" w:type="dxa"/>
            </w:tcMar>
          </w:tcPr>
          <w:p>
            <w:r>
              <w:rPr>
                <w:rFonts w:ascii="Calibri" w:hAnsi="Calibri"/>
                <w:color w:val="2D3748"/>
                <w:sz w:val="15"/>
              </w:rPr>
              <w:t>Hydration Kinetics &amp; Time-Course Water Absorption (25°C, 40°C, 60°C)</w:t>
            </w:r>
          </w:p>
        </w:tc>
        <w:tc>
          <w:tcPr>
            <w:tcW w:type="dxa" w:w="2520"/>
            <w:tcMar>
              <w:top w:w="65" w:type="dxa"/>
              <w:bottom w:w="65" w:type="dxa"/>
              <w:left w:w="100" w:type="dxa"/>
              <w:right w:w="100" w:type="dxa"/>
            </w:tcMar>
          </w:tcPr>
          <w:p>
            <w:r>
              <w:rPr>
                <w:rFonts w:ascii="Calibri" w:hAnsi="Calibri"/>
                <w:color w:val="2D3748"/>
                <w:sz w:val="15"/>
              </w:rPr>
              <w:t>300 g</w:t>
            </w:r>
          </w:p>
        </w:tc>
        <w:tc>
          <w:tcPr>
            <w:tcW w:type="dxa" w:w="2520"/>
            <w:tcMar>
              <w:top w:w="65" w:type="dxa"/>
              <w:bottom w:w="65" w:type="dxa"/>
              <w:left w:w="100" w:type="dxa"/>
              <w:right w:w="100" w:type="dxa"/>
            </w:tcMar>
          </w:tcPr>
          <w:p>
            <w:r>
              <w:rPr>
                <w:rFonts w:ascii="Calibri" w:hAnsi="Calibri"/>
                <w:color w:val="2D3748"/>
                <w:sz w:val="15"/>
              </w:rPr>
              <w:t>Full kinetic curves across 3 temperatures</w:t>
            </w:r>
          </w:p>
        </w:tc>
      </w:tr>
      <w:tr>
        <w:trPr>
          <w:cantSplit/>
        </w:trPr>
        <w:tc>
          <w:tcPr>
            <w:tcW w:type="dxa" w:w="2520"/>
            <w:shd w:fill="F7FAFC"/>
            <w:tcMar>
              <w:top w:w="65" w:type="dxa"/>
              <w:bottom w:w="65" w:type="dxa"/>
              <w:left w:w="100" w:type="dxa"/>
              <w:right w:w="100" w:type="dxa"/>
            </w:tcMar>
          </w:tcPr>
          <w:p>
            <w:r>
              <w:rPr>
                <w:rFonts w:ascii="Calibri" w:hAnsi="Calibri"/>
                <w:color w:val="2D3748"/>
                <w:sz w:val="15"/>
              </w:rPr>
              <w:t>MOD-06</w:t>
            </w:r>
          </w:p>
        </w:tc>
        <w:tc>
          <w:tcPr>
            <w:tcW w:type="dxa" w:w="2520"/>
            <w:shd w:fill="F7FAFC"/>
            <w:tcMar>
              <w:top w:w="65" w:type="dxa"/>
              <w:bottom w:w="65" w:type="dxa"/>
              <w:left w:w="100" w:type="dxa"/>
              <w:right w:w="100" w:type="dxa"/>
            </w:tcMar>
          </w:tcPr>
          <w:p>
            <w:r>
              <w:rPr>
                <w:rFonts w:ascii="Calibri" w:hAnsi="Calibri"/>
                <w:color w:val="2D3748"/>
                <w:sz w:val="15"/>
              </w:rPr>
              <w:t>Pectin &amp; Cell-Wall Chemical Fractionation</w:t>
            </w:r>
          </w:p>
        </w:tc>
        <w:tc>
          <w:tcPr>
            <w:tcW w:type="dxa" w:w="2520"/>
            <w:shd w:fill="F7FAFC"/>
            <w:tcMar>
              <w:top w:w="65" w:type="dxa"/>
              <w:bottom w:w="65" w:type="dxa"/>
              <w:left w:w="100" w:type="dxa"/>
              <w:right w:w="100" w:type="dxa"/>
            </w:tcMar>
          </w:tcPr>
          <w:p>
            <w:r>
              <w:rPr>
                <w:rFonts w:ascii="Calibri" w:hAnsi="Calibri"/>
                <w:color w:val="2D3748"/>
                <w:sz w:val="15"/>
              </w:rPr>
              <w:t>150 g</w:t>
            </w:r>
          </w:p>
        </w:tc>
        <w:tc>
          <w:tcPr>
            <w:tcW w:type="dxa" w:w="2520"/>
            <w:shd w:fill="F7FAFC"/>
            <w:tcMar>
              <w:top w:w="65" w:type="dxa"/>
              <w:bottom w:w="65" w:type="dxa"/>
              <w:left w:w="100" w:type="dxa"/>
              <w:right w:w="100" w:type="dxa"/>
            </w:tcMar>
          </w:tcPr>
          <w:p>
            <w:r>
              <w:rPr>
                <w:rFonts w:ascii="Calibri" w:hAnsi="Calibri"/>
                <w:color w:val="2D3748"/>
                <w:sz w:val="15"/>
              </w:rPr>
              <w:t>Triplicate chemical sequential extraction</w:t>
            </w:r>
          </w:p>
        </w:tc>
      </w:tr>
      <w:tr>
        <w:trPr>
          <w:cantSplit/>
        </w:trPr>
        <w:tc>
          <w:tcPr>
            <w:tcW w:type="dxa" w:w="2520"/>
            <w:tcMar>
              <w:top w:w="65" w:type="dxa"/>
              <w:bottom w:w="65" w:type="dxa"/>
              <w:left w:w="100" w:type="dxa"/>
              <w:right w:w="100" w:type="dxa"/>
            </w:tcMar>
          </w:tcPr>
          <w:p>
            <w:r>
              <w:rPr>
                <w:rFonts w:ascii="Calibri" w:hAnsi="Calibri"/>
                <w:color w:val="2D3748"/>
                <w:sz w:val="15"/>
              </w:rPr>
              <w:t>MOD-07</w:t>
            </w:r>
          </w:p>
        </w:tc>
        <w:tc>
          <w:tcPr>
            <w:tcW w:type="dxa" w:w="2520"/>
            <w:tcMar>
              <w:top w:w="65" w:type="dxa"/>
              <w:bottom w:w="65" w:type="dxa"/>
              <w:left w:w="100" w:type="dxa"/>
              <w:right w:w="100" w:type="dxa"/>
            </w:tcMar>
          </w:tcPr>
          <w:p>
            <w:r>
              <w:rPr>
                <w:rFonts w:ascii="Calibri" w:hAnsi="Calibri"/>
                <w:color w:val="2D3748"/>
                <w:sz w:val="15"/>
              </w:rPr>
              <w:t>Mineral &amp; Phytate Profile (ICP-OES / AAS)</w:t>
            </w:r>
          </w:p>
        </w:tc>
        <w:tc>
          <w:tcPr>
            <w:tcW w:type="dxa" w:w="2520"/>
            <w:tcMar>
              <w:top w:w="65" w:type="dxa"/>
              <w:bottom w:w="65" w:type="dxa"/>
              <w:left w:w="100" w:type="dxa"/>
              <w:right w:w="100" w:type="dxa"/>
            </w:tcMar>
          </w:tcPr>
          <w:p>
            <w:r>
              <w:rPr>
                <w:rFonts w:ascii="Calibri" w:hAnsi="Calibri"/>
                <w:color w:val="2D3748"/>
                <w:sz w:val="15"/>
              </w:rPr>
              <w:t>150 g</w:t>
            </w:r>
          </w:p>
        </w:tc>
        <w:tc>
          <w:tcPr>
            <w:tcW w:type="dxa" w:w="2520"/>
            <w:tcMar>
              <w:top w:w="65" w:type="dxa"/>
              <w:bottom w:w="65" w:type="dxa"/>
              <w:left w:w="100" w:type="dxa"/>
              <w:right w:w="100" w:type="dxa"/>
            </w:tcMar>
          </w:tcPr>
          <w:p>
            <w:r>
              <w:rPr>
                <w:rFonts w:ascii="Calibri" w:hAnsi="Calibri"/>
                <w:color w:val="2D3748"/>
                <w:sz w:val="15"/>
              </w:rPr>
              <w:t>External accredited laboratory minimum</w:t>
            </w:r>
          </w:p>
        </w:tc>
      </w:tr>
      <w:tr>
        <w:trPr>
          <w:cantSplit/>
        </w:trPr>
        <w:tc>
          <w:tcPr>
            <w:tcW w:type="dxa" w:w="2520"/>
            <w:shd w:fill="F7FAFC"/>
            <w:tcMar>
              <w:top w:w="65" w:type="dxa"/>
              <w:bottom w:w="65" w:type="dxa"/>
              <w:left w:w="100" w:type="dxa"/>
              <w:right w:w="100" w:type="dxa"/>
            </w:tcMar>
          </w:tcPr>
          <w:p>
            <w:r>
              <w:rPr>
                <w:rFonts w:ascii="Calibri" w:hAnsi="Calibri"/>
                <w:color w:val="2D3748"/>
                <w:sz w:val="15"/>
              </w:rPr>
              <w:t>MOD-08</w:t>
            </w:r>
          </w:p>
        </w:tc>
        <w:tc>
          <w:tcPr>
            <w:tcW w:type="dxa" w:w="2520"/>
            <w:shd w:fill="F7FAFC"/>
            <w:tcMar>
              <w:top w:w="65" w:type="dxa"/>
              <w:bottom w:w="65" w:type="dxa"/>
              <w:left w:w="100" w:type="dxa"/>
              <w:right w:w="100" w:type="dxa"/>
            </w:tcMar>
          </w:tcPr>
          <w:p>
            <w:r>
              <w:rPr>
                <w:rFonts w:ascii="Calibri" w:hAnsi="Calibri"/>
                <w:color w:val="2D3748"/>
                <w:sz w:val="15"/>
              </w:rPr>
              <w:t>Grain Hardness &amp; Structural Texture Analysis (Load Cell)</w:t>
            </w:r>
          </w:p>
        </w:tc>
        <w:tc>
          <w:tcPr>
            <w:tcW w:type="dxa" w:w="2520"/>
            <w:shd w:fill="F7FAFC"/>
            <w:tcMar>
              <w:top w:w="65" w:type="dxa"/>
              <w:bottom w:w="65" w:type="dxa"/>
              <w:left w:w="100" w:type="dxa"/>
              <w:right w:w="100" w:type="dxa"/>
            </w:tcMar>
          </w:tcPr>
          <w:p>
            <w:r>
              <w:rPr>
                <w:rFonts w:ascii="Calibri" w:hAnsi="Calibri"/>
                <w:color w:val="2D3748"/>
                <w:sz w:val="15"/>
              </w:rPr>
              <w:t>150 g</w:t>
            </w:r>
          </w:p>
        </w:tc>
        <w:tc>
          <w:tcPr>
            <w:tcW w:type="dxa" w:w="2520"/>
            <w:shd w:fill="F7FAFC"/>
            <w:tcMar>
              <w:top w:w="65" w:type="dxa"/>
              <w:bottom w:w="65" w:type="dxa"/>
              <w:left w:w="100" w:type="dxa"/>
              <w:right w:w="100" w:type="dxa"/>
            </w:tcMar>
          </w:tcPr>
          <w:p>
            <w:r>
              <w:rPr>
                <w:rFonts w:ascii="Calibri" w:hAnsi="Calibri"/>
                <w:color w:val="2D3748"/>
                <w:sz w:val="15"/>
              </w:rPr>
              <w:t>Raw &amp; soaked texture profile runs</w:t>
            </w:r>
          </w:p>
        </w:tc>
      </w:tr>
      <w:tr>
        <w:trPr>
          <w:cantSplit/>
        </w:trPr>
        <w:tc>
          <w:tcPr>
            <w:tcW w:type="dxa" w:w="2520"/>
            <w:tcMar>
              <w:top w:w="65" w:type="dxa"/>
              <w:bottom w:w="65" w:type="dxa"/>
              <w:left w:w="100" w:type="dxa"/>
              <w:right w:w="100" w:type="dxa"/>
            </w:tcMar>
          </w:tcPr>
          <w:p>
            <w:r>
              <w:rPr>
                <w:rFonts w:ascii="Calibri" w:hAnsi="Calibri"/>
                <w:color w:val="2D3748"/>
                <w:sz w:val="15"/>
              </w:rPr>
              <w:t>MOD-09</w:t>
            </w:r>
          </w:p>
        </w:tc>
        <w:tc>
          <w:tcPr>
            <w:tcW w:type="dxa" w:w="2520"/>
            <w:tcMar>
              <w:top w:w="65" w:type="dxa"/>
              <w:bottom w:w="65" w:type="dxa"/>
              <w:left w:w="100" w:type="dxa"/>
              <w:right w:w="100" w:type="dxa"/>
            </w:tcMar>
          </w:tcPr>
          <w:p>
            <w:r>
              <w:rPr>
                <w:rFonts w:ascii="Calibri" w:hAnsi="Calibri"/>
                <w:color w:val="2D3748"/>
                <w:sz w:val="15"/>
              </w:rPr>
              <w:t>Standardized Pressurized Cooking Performance Study</w:t>
            </w:r>
          </w:p>
        </w:tc>
        <w:tc>
          <w:tcPr>
            <w:tcW w:type="dxa" w:w="2520"/>
            <w:tcMar>
              <w:top w:w="65" w:type="dxa"/>
              <w:bottom w:w="65" w:type="dxa"/>
              <w:left w:w="100" w:type="dxa"/>
              <w:right w:w="100" w:type="dxa"/>
            </w:tcMar>
          </w:tcPr>
          <w:p>
            <w:r>
              <w:rPr>
                <w:rFonts w:ascii="Calibri" w:hAnsi="Calibri"/>
                <w:color w:val="2D3748"/>
                <w:sz w:val="15"/>
              </w:rPr>
              <w:t>400 g</w:t>
            </w:r>
          </w:p>
        </w:tc>
        <w:tc>
          <w:tcPr>
            <w:tcW w:type="dxa" w:w="2520"/>
            <w:tcMar>
              <w:top w:w="65" w:type="dxa"/>
              <w:bottom w:w="65" w:type="dxa"/>
              <w:left w:w="100" w:type="dxa"/>
              <w:right w:w="100" w:type="dxa"/>
            </w:tcMar>
          </w:tcPr>
          <w:p>
            <w:r>
              <w:rPr>
                <w:rFonts w:ascii="Calibri" w:hAnsi="Calibri"/>
                <w:color w:val="2D3748"/>
                <w:sz w:val="15"/>
              </w:rPr>
              <w:t>Multiple pressurized cooking runs</w:t>
            </w:r>
          </w:p>
        </w:tc>
      </w:tr>
      <w:tr>
        <w:trPr>
          <w:cantSplit/>
        </w:trPr>
        <w:tc>
          <w:tcPr>
            <w:tcW w:type="dxa" w:w="2520"/>
            <w:shd w:fill="F7FAFC"/>
            <w:tcMar>
              <w:top w:w="65" w:type="dxa"/>
              <w:bottom w:w="65" w:type="dxa"/>
              <w:left w:w="100" w:type="dxa"/>
              <w:right w:w="100" w:type="dxa"/>
            </w:tcMar>
          </w:tcPr>
          <w:p>
            <w:r>
              <w:rPr>
                <w:rFonts w:ascii="Calibri" w:hAnsi="Calibri"/>
                <w:color w:val="2D3748"/>
                <w:sz w:val="15"/>
              </w:rPr>
              <w:t>SEC-RET</w:t>
            </w:r>
          </w:p>
        </w:tc>
        <w:tc>
          <w:tcPr>
            <w:tcW w:type="dxa" w:w="2520"/>
            <w:shd w:fill="F7FAFC"/>
            <w:tcMar>
              <w:top w:w="65" w:type="dxa"/>
              <w:bottom w:w="65" w:type="dxa"/>
              <w:left w:w="100" w:type="dxa"/>
              <w:right w:w="100" w:type="dxa"/>
            </w:tcMar>
          </w:tcPr>
          <w:p>
            <w:r>
              <w:rPr>
                <w:rFonts w:ascii="Calibri" w:hAnsi="Calibri"/>
                <w:color w:val="2D3748"/>
                <w:sz w:val="15"/>
              </w:rPr>
              <w:t>Sealed Archival Reference Retention Sample (Dispute &amp; Verification)</w:t>
            </w:r>
          </w:p>
        </w:tc>
        <w:tc>
          <w:tcPr>
            <w:tcW w:type="dxa" w:w="2520"/>
            <w:shd w:fill="F7FAFC"/>
            <w:tcMar>
              <w:top w:w="65" w:type="dxa"/>
              <w:bottom w:w="65" w:type="dxa"/>
              <w:left w:w="100" w:type="dxa"/>
              <w:right w:w="100" w:type="dxa"/>
            </w:tcMar>
          </w:tcPr>
          <w:p>
            <w:r>
              <w:rPr>
                <w:rFonts w:ascii="Calibri" w:hAnsi="Calibri"/>
                <w:color w:val="2D3748"/>
                <w:sz w:val="15"/>
              </w:rPr>
              <w:t>500 g</w:t>
            </w:r>
          </w:p>
        </w:tc>
        <w:tc>
          <w:tcPr>
            <w:tcW w:type="dxa" w:w="2520"/>
            <w:shd w:fill="F7FAFC"/>
            <w:tcMar>
              <w:top w:w="65" w:type="dxa"/>
              <w:bottom w:w="65" w:type="dxa"/>
              <w:left w:w="100" w:type="dxa"/>
              <w:right w:w="100" w:type="dxa"/>
            </w:tcMar>
          </w:tcPr>
          <w:p>
            <w:r>
              <w:rPr>
                <w:rFonts w:ascii="Calibri" w:hAnsi="Calibri"/>
                <w:color w:val="2D3748"/>
                <w:sz w:val="15"/>
              </w:rPr>
              <w:t>Mandatory ISO 17025 climate archive</w:t>
            </w:r>
          </w:p>
        </w:tc>
      </w:tr>
      <w:tr>
        <w:trPr>
          <w:cantSplit/>
        </w:trPr>
        <w:tc>
          <w:tcPr>
            <w:tcW w:type="dxa" w:w="2520"/>
            <w:tcMar>
              <w:top w:w="65" w:type="dxa"/>
              <w:bottom w:w="65" w:type="dxa"/>
              <w:left w:w="100" w:type="dxa"/>
              <w:right w:w="100" w:type="dxa"/>
            </w:tcMar>
          </w:tcPr>
          <w:p>
            <w:r>
              <w:rPr>
                <w:rFonts w:ascii="Calibri" w:hAnsi="Calibri"/>
                <w:color w:val="2D3748"/>
                <w:sz w:val="15"/>
              </w:rPr>
              <w:t>SEC-CON</w:t>
            </w:r>
          </w:p>
        </w:tc>
        <w:tc>
          <w:tcPr>
            <w:tcW w:type="dxa" w:w="2520"/>
            <w:tcMar>
              <w:top w:w="65" w:type="dxa"/>
              <w:bottom w:w="65" w:type="dxa"/>
              <w:left w:w="100" w:type="dxa"/>
              <w:right w:w="100" w:type="dxa"/>
            </w:tcMar>
          </w:tcPr>
          <w:p>
            <w:r>
              <w:rPr>
                <w:rFonts w:ascii="Calibri" w:hAnsi="Calibri"/>
                <w:color w:val="2D3748"/>
                <w:sz w:val="15"/>
              </w:rPr>
              <w:t>Grinding Loss, Handling Contingency &amp; Repeat Margin (~15%)</w:t>
            </w:r>
          </w:p>
        </w:tc>
        <w:tc>
          <w:tcPr>
            <w:tcW w:type="dxa" w:w="2520"/>
            <w:tcMar>
              <w:top w:w="65" w:type="dxa"/>
              <w:bottom w:w="65" w:type="dxa"/>
              <w:left w:w="100" w:type="dxa"/>
              <w:right w:w="100" w:type="dxa"/>
            </w:tcMar>
          </w:tcPr>
          <w:p>
            <w:r>
              <w:rPr>
                <w:rFonts w:ascii="Calibri" w:hAnsi="Calibri"/>
                <w:color w:val="2D3748"/>
                <w:sz w:val="15"/>
              </w:rPr>
              <w:t>300 g</w:t>
            </w:r>
          </w:p>
        </w:tc>
        <w:tc>
          <w:tcPr>
            <w:tcW w:type="dxa" w:w="2520"/>
            <w:tcMar>
              <w:top w:w="65" w:type="dxa"/>
              <w:bottom w:w="65" w:type="dxa"/>
              <w:left w:w="100" w:type="dxa"/>
              <w:right w:w="100" w:type="dxa"/>
            </w:tcMar>
          </w:tcPr>
          <w:p>
            <w:r>
              <w:rPr>
                <w:rFonts w:ascii="Calibri" w:hAnsi="Calibri"/>
                <w:color w:val="2D3748"/>
                <w:sz w:val="15"/>
              </w:rPr>
              <w:t>Milling hold-up and operational buffer</w:t>
            </w:r>
          </w:p>
        </w:tc>
      </w:tr>
      <w:tr>
        <w:trPr>
          <w:cantSplit/>
        </w:trPr>
        <w:tc>
          <w:tcPr>
            <w:tcW w:type="dxa" w:w="2520"/>
            <w:shd w:fill="F7FAFC"/>
            <w:tcMar>
              <w:top w:w="65" w:type="dxa"/>
              <w:bottom w:w="65" w:type="dxa"/>
              <w:left w:w="100" w:type="dxa"/>
              <w:right w:w="100" w:type="dxa"/>
            </w:tcMar>
            <w:shd w:fill="EDF2F7"/>
          </w:tcPr>
          <w:p>
            <w:r>
              <w:rPr>
                <w:rFonts w:ascii="Calibri" w:hAnsi="Calibri"/>
                <w:b/>
                <w:color w:val="2D3748"/>
                <w:sz w:val="15"/>
              </w:rPr>
              <w:t>TOTAL LOT BUDGET</w:t>
            </w:r>
          </w:p>
        </w:tc>
        <w:tc>
          <w:tcPr>
            <w:tcW w:type="dxa" w:w="2520"/>
            <w:shd w:fill="F7FAFC"/>
            <w:tcMar>
              <w:top w:w="65" w:type="dxa"/>
              <w:bottom w:w="65" w:type="dxa"/>
              <w:left w:w="100" w:type="dxa"/>
              <w:right w:w="100" w:type="dxa"/>
            </w:tcMar>
            <w:shd w:fill="EDF2F7"/>
          </w:tcPr>
          <w:p>
            <w:r>
              <w:rPr>
                <w:rFonts w:ascii="Calibri" w:hAnsi="Calibri"/>
                <w:b/>
                <w:color w:val="2D3748"/>
                <w:sz w:val="15"/>
              </w:rPr>
              <w:t>Total Requisite Sample Mass per Grain Lot</w:t>
            </w:r>
          </w:p>
        </w:tc>
        <w:tc>
          <w:tcPr>
            <w:tcW w:type="dxa" w:w="2520"/>
            <w:shd w:fill="F7FAFC"/>
            <w:tcMar>
              <w:top w:w="65" w:type="dxa"/>
              <w:bottom w:w="65" w:type="dxa"/>
              <w:left w:w="100" w:type="dxa"/>
              <w:right w:w="100" w:type="dxa"/>
            </w:tcMar>
            <w:shd w:fill="EDF2F7"/>
          </w:tcPr>
          <w:p>
            <w:r>
              <w:rPr>
                <w:rFonts w:ascii="Calibri" w:hAnsi="Calibri"/>
                <w:b/>
                <w:color w:val="2D3748"/>
                <w:sz w:val="15"/>
              </w:rPr>
              <w:t>2,550 g (2.55 kg)</w:t>
            </w:r>
          </w:p>
        </w:tc>
        <w:tc>
          <w:tcPr>
            <w:tcW w:type="dxa" w:w="2520"/>
            <w:shd w:fill="F7FAFC"/>
            <w:tcMar>
              <w:top w:w="65" w:type="dxa"/>
              <w:bottom w:w="65" w:type="dxa"/>
              <w:left w:w="100" w:type="dxa"/>
              <w:right w:w="100" w:type="dxa"/>
            </w:tcMar>
            <w:shd w:fill="EDF2F7"/>
          </w:tcPr>
          <w:p>
            <w:r>
              <w:rPr>
                <w:rFonts w:ascii="Calibri" w:hAnsi="Calibri"/>
                <w:b/>
                <w:color w:val="2D3748"/>
                <w:sz w:val="15"/>
              </w:rPr>
              <w:t>Strictly fits within 2.5–3.0 kg allocation</w:t>
            </w:r>
          </w:p>
        </w:tc>
      </w:tr>
    </w:tbl>
    <w:p>
      <w:pPr>
        <w:spacing w:before="0" w:after="60" w:line="276" w:lineRule="auto"/>
      </w:pPr>
      <w:r>
        <w:rPr>
          <w:rFonts w:ascii="Calibri" w:hAnsi="Calibri"/>
          <w:color w:val="2D3748"/>
          <w:sz w:val="17"/>
        </w:rPr>
        <w:t>Multi-Lot Commercial Options: To provide complete commercial transparency, FinnoaQ offers two structured options for client approval:</w:t>
      </w:r>
    </w:p>
    <w:p>
      <w:pPr>
        <w:spacing w:before="0" w:after="60" w:line="276" w:lineRule="auto"/>
      </w:pPr>
      <w:r>
        <w:rPr>
          <w:rFonts w:ascii="Calibri" w:hAnsi="Calibri"/>
          <w:b/>
          <w:color w:val="1A365D"/>
          <w:sz w:val="17"/>
        </w:rPr>
        <w:t xml:space="preserve">Option 1: </w:t>
      </w:r>
      <w:r>
        <w:rPr>
          <w:rFonts w:ascii="Calibri" w:hAnsi="Calibri"/>
          <w:color w:val="2D3748"/>
          <w:sz w:val="17"/>
        </w:rPr>
        <w:t>• Option 1 (Baseline Scoped SOW — ₹1,73,000 + GST): Two traceable commercial samples (1 Tanzanian Lot + 1 Indian Benchmark Lot), 2.5–3.0 kg each. Provides rigorous, lot-specific diagnostic comparison within the original budget and 20–25 business day timeline.</w:t>
      </w:r>
    </w:p>
    <w:p>
      <w:pPr>
        <w:spacing w:before="0" w:after="60" w:line="276" w:lineRule="auto"/>
      </w:pPr>
      <w:r>
        <w:rPr>
          <w:rFonts w:ascii="Calibri" w:hAnsi="Calibri"/>
          <w:b/>
          <w:color w:val="1A365D"/>
          <w:sz w:val="17"/>
        </w:rPr>
        <w:t xml:space="preserve">Option 2: </w:t>
      </w:r>
      <w:r>
        <w:rPr>
          <w:rFonts w:ascii="Calibri" w:hAnsi="Calibri"/>
          <w:color w:val="2D3748"/>
          <w:sz w:val="17"/>
        </w:rPr>
        <w:t>• Option 2 (Multi-Lot Expanded Variation — ₹2,85,000 + GST): Four independently traceable commercial lots (2 Tanzanian import consignments + 2 Indian regional benchmarks), 2.5–3.0 kg each. Requires doubling analytical laboratory runs, expanding inter-lot statistical variance modeling, and an extended 30–35 business day timeline.</w:t>
      </w:r>
    </w:p>
    <w:p>
      <w:pPr>
        <w:keepNext/>
        <w:spacing w:before="260" w:after="60"/>
      </w:pPr>
      <w:r>
        <w:rPr>
          <w:rFonts w:ascii="Calibri" w:hAnsi="Calibri"/>
          <w:b/>
          <w:color w:val="1A365D"/>
          <w:sz w:val="23"/>
        </w:rPr>
        <w:t>11. Experimental Design, Replication Hierarchy &amp; Statistical Plan</w:t>
      </w:r>
    </w:p>
    <w:p>
      <w:pPr>
        <w:spacing w:before="0" w:after="60" w:line="276" w:lineRule="auto"/>
      </w:pPr>
      <w:r>
        <w:rPr>
          <w:rFonts w:ascii="Calibri" w:hAnsi="Calibri"/>
          <w:color w:val="2D3748"/>
          <w:sz w:val="17"/>
        </w:rPr>
        <w:t>Experimental units adhere strictly to the four-tier statistical governance hierarchy:</w:t>
      </w:r>
    </w:p>
    <w:p>
      <w:pPr>
        <w:spacing w:before="0" w:after="60" w:line="276" w:lineRule="auto"/>
      </w:pPr>
      <w:r>
        <w:rPr>
          <w:rFonts w:ascii="Calibri" w:hAnsi="Calibri"/>
          <w:b/>
          <w:color w:val="1A365D"/>
          <w:sz w:val="17"/>
        </w:rPr>
        <w:t xml:space="preserve">Tier 1: </w:t>
      </w:r>
      <w:r>
        <w:rPr>
          <w:rFonts w:ascii="Calibri" w:hAnsi="Calibri"/>
          <w:color w:val="2D3748"/>
          <w:sz w:val="17"/>
        </w:rPr>
        <w:t>• Tier 1: Independent Commercial Grain Lot (distinct physical consignment with verifiable provenance).</w:t>
      </w:r>
    </w:p>
    <w:p>
      <w:pPr>
        <w:spacing w:before="0" w:after="60" w:line="276" w:lineRule="auto"/>
      </w:pPr>
      <w:r>
        <w:rPr>
          <w:rFonts w:ascii="Calibri" w:hAnsi="Calibri"/>
          <w:b/>
          <w:color w:val="1A365D"/>
          <w:sz w:val="17"/>
        </w:rPr>
        <w:t xml:space="preserve">Tier 2: </w:t>
      </w:r>
      <w:r>
        <w:rPr>
          <w:rFonts w:ascii="Calibri" w:hAnsi="Calibri"/>
          <w:color w:val="2D3748"/>
          <w:sz w:val="17"/>
        </w:rPr>
        <w:t>• Tier 2: Independent Preparation Batch (weighed, hydrated, or processed in separate vessels on separate occasions, n = 3).</w:t>
      </w:r>
    </w:p>
    <w:p>
      <w:pPr>
        <w:spacing w:before="0" w:after="60" w:line="276" w:lineRule="auto"/>
      </w:pPr>
      <w:r>
        <w:rPr>
          <w:rFonts w:ascii="Calibri" w:hAnsi="Calibri"/>
          <w:b/>
          <w:color w:val="1A365D"/>
          <w:sz w:val="17"/>
        </w:rPr>
        <w:t xml:space="preserve">Tier 3: </w:t>
      </w:r>
      <w:r>
        <w:rPr>
          <w:rFonts w:ascii="Calibri" w:hAnsi="Calibri"/>
          <w:color w:val="2D3748"/>
          <w:sz w:val="17"/>
        </w:rPr>
        <w:t>• Tier 3: Technical Replicate (repeated instrumental measurement of the same prepared batch, n = 3).</w:t>
      </w:r>
    </w:p>
    <w:p>
      <w:pPr>
        <w:spacing w:before="0" w:after="60" w:line="276" w:lineRule="auto"/>
      </w:pPr>
      <w:r>
        <w:rPr>
          <w:rFonts w:ascii="Calibri" w:hAnsi="Calibri"/>
          <w:b/>
          <w:color w:val="1A365D"/>
          <w:sz w:val="17"/>
        </w:rPr>
        <w:t xml:space="preserve">Tier 4: </w:t>
      </w:r>
      <w:r>
        <w:rPr>
          <w:rFonts w:ascii="Calibri" w:hAnsi="Calibri"/>
          <w:color w:val="2D3748"/>
          <w:sz w:val="17"/>
        </w:rPr>
        <w:t>• Tier 4: Subsample (analytical split of a single batch; never conflated with independent lots).</w:t>
      </w:r>
    </w:p>
    <w:p>
      <w:pPr>
        <w:spacing w:before="0" w:after="60" w:line="276" w:lineRule="auto"/>
      </w:pPr>
      <w:r>
        <w:rPr>
          <w:rFonts w:ascii="Calibri" w:hAnsi="Calibri"/>
          <w:color w:val="2D3748"/>
          <w:sz w:val="17"/>
        </w:rPr>
        <w:t>Statistical Testing Discipline: All analytical data are reported as Mean ± Standard Deviation with 95% Confidence Intervals. Differences between Tanzanian dal and Indian benchmark are evaluated using two-sample Welch's t-test (accounting for unequal variances) and one-way ANOVA with Tukey's HSD post-hoc test.</w:t>
      </w:r>
    </w:p>
    <w:p>
      <w:pPr>
        <w:keepNext/>
        <w:spacing w:before="260" w:after="60"/>
      </w:pPr>
      <w:r>
        <w:rPr>
          <w:rFonts w:ascii="Calibri" w:hAnsi="Calibri"/>
          <w:b/>
          <w:color w:val="1A365D"/>
          <w:sz w:val="23"/>
        </w:rPr>
        <w:t>12. Future Treatment-Candidate Pathway (Phase 2 Gated Scope)</w:t>
      </w:r>
    </w:p>
    <w:p>
      <w:pPr>
        <w:spacing w:before="0" w:after="60" w:line="276" w:lineRule="auto"/>
      </w:pPr>
      <w:r>
        <w:rPr>
          <w:rFonts w:ascii="Calibri" w:hAnsi="Calibri"/>
          <w:color w:val="2D3748"/>
          <w:sz w:val="17"/>
        </w:rPr>
        <w:t>All chemical conditioning agents and physical treatments are rigorously segregated. Reagents are identified by precise chemical formula, CAS registry, food additive INS number, and concentration basis: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296"/>
        <w:gridCol w:w="2592"/>
        <w:gridCol w:w="2160"/>
        <w:gridCol w:w="2016"/>
        <w:gridCol w:w="2016"/>
      </w:tblGrid>
      <w:tr>
        <w:trPr>
          <w:tblHeader/>
          <w:cantSplit/>
        </w:trPr>
        <w:tc>
          <w:tcPr>
            <w:tcW w:type="dxa" w:w="2016"/>
            <w:shd w:fill="1A365D"/>
            <w:tcMar>
              <w:top w:w="100" w:type="dxa"/>
              <w:bottom w:w="100" w:type="dxa"/>
              <w:left w:w="100" w:type="dxa"/>
              <w:right w:w="100" w:type="dxa"/>
            </w:tcMar>
          </w:tcPr>
          <w:p>
            <w:pPr>
              <w:jc w:val="left"/>
            </w:pPr>
            <w:r>
              <w:t>Treatment ID</w:t>
            </w:r>
          </w:p>
        </w:tc>
        <w:tc>
          <w:tcPr>
            <w:tcW w:type="dxa" w:w="2016"/>
            <w:shd w:fill="1A365D"/>
            <w:tcMar>
              <w:top w:w="100" w:type="dxa"/>
              <w:bottom w:w="100" w:type="dxa"/>
              <w:left w:w="100" w:type="dxa"/>
              <w:right w:w="100" w:type="dxa"/>
            </w:tcMar>
          </w:tcPr>
          <w:p>
            <w:pPr>
              <w:jc w:val="left"/>
            </w:pPr>
            <w:r>
              <w:t>Reagent &amp; Formula</w:t>
            </w:r>
          </w:p>
        </w:tc>
        <w:tc>
          <w:tcPr>
            <w:tcW w:type="dxa" w:w="2016"/>
            <w:shd w:fill="1A365D"/>
            <w:tcMar>
              <w:top w:w="100" w:type="dxa"/>
              <w:bottom w:w="100" w:type="dxa"/>
              <w:left w:w="100" w:type="dxa"/>
              <w:right w:w="100" w:type="dxa"/>
            </w:tcMar>
          </w:tcPr>
          <w:p>
            <w:pPr>
              <w:jc w:val="left"/>
            </w:pPr>
            <w:r>
              <w:t>Concentration &amp; Dose</w:t>
            </w:r>
          </w:p>
        </w:tc>
        <w:tc>
          <w:tcPr>
            <w:tcW w:type="dxa" w:w="2016"/>
            <w:shd w:fill="1A365D"/>
            <w:tcMar>
              <w:top w:w="100" w:type="dxa"/>
              <w:bottom w:w="100" w:type="dxa"/>
              <w:left w:w="100" w:type="dxa"/>
              <w:right w:w="100" w:type="dxa"/>
            </w:tcMar>
          </w:tcPr>
          <w:p>
            <w:pPr>
              <w:jc w:val="left"/>
            </w:pPr>
            <w:r>
              <w:t>Process Parameters</w:t>
            </w:r>
          </w:p>
        </w:tc>
        <w:tc>
          <w:tcPr>
            <w:tcW w:type="dxa" w:w="2016"/>
            <w:shd w:fill="1A365D"/>
            <w:tcMar>
              <w:top w:w="100" w:type="dxa"/>
              <w:bottom w:w="100" w:type="dxa"/>
              <w:left w:w="100" w:type="dxa"/>
              <w:right w:w="100" w:type="dxa"/>
            </w:tcMar>
          </w:tcPr>
          <w:p>
            <w:pPr>
              <w:jc w:val="left"/>
            </w:pPr>
            <w:r>
              <w:t>Regulatory &amp; Phase Status</w:t>
            </w:r>
          </w:p>
        </w:tc>
      </w:tr>
      <w:tr>
        <w:trPr>
          <w:cantSplit/>
        </w:trPr>
        <w:tc>
          <w:tcPr>
            <w:tcW w:type="dxa" w:w="2016"/>
            <w:tcMar>
              <w:top w:w="65" w:type="dxa"/>
              <w:bottom w:w="65" w:type="dxa"/>
              <w:left w:w="100" w:type="dxa"/>
              <w:right w:w="100" w:type="dxa"/>
            </w:tcMar>
          </w:tcPr>
          <w:p>
            <w:r>
              <w:rPr>
                <w:rFonts w:ascii="Calibri" w:hAnsi="Calibri"/>
                <w:b/>
                <w:color w:val="2D3748"/>
                <w:sz w:val="14"/>
              </w:rPr>
              <w:t>TRT-00</w:t>
            </w:r>
          </w:p>
        </w:tc>
        <w:tc>
          <w:tcPr>
            <w:tcW w:type="dxa" w:w="2016"/>
            <w:tcMar>
              <w:top w:w="65" w:type="dxa"/>
              <w:bottom w:w="65" w:type="dxa"/>
              <w:left w:w="100" w:type="dxa"/>
              <w:right w:w="100" w:type="dxa"/>
            </w:tcMar>
          </w:tcPr>
          <w:p>
            <w:r>
              <w:rPr>
                <w:rFonts w:ascii="Calibri" w:hAnsi="Calibri"/>
                <w:color w:val="2D3748"/>
                <w:sz w:val="14"/>
              </w:rPr>
              <w:t>Untreated Control</w:t>
              <w:br/>
              <w:t>(Raw As-Received)</w:t>
            </w:r>
          </w:p>
        </w:tc>
        <w:tc>
          <w:tcPr>
            <w:tcW w:type="dxa" w:w="2016"/>
            <w:tcMar>
              <w:top w:w="65" w:type="dxa"/>
              <w:bottom w:w="65" w:type="dxa"/>
              <w:left w:w="100" w:type="dxa"/>
              <w:right w:w="100" w:type="dxa"/>
            </w:tcMar>
          </w:tcPr>
          <w:p>
            <w:r>
              <w:rPr>
                <w:rFonts w:ascii="Calibri" w:hAnsi="Calibri"/>
                <w:color w:val="2D3748"/>
                <w:sz w:val="14"/>
              </w:rPr>
              <w:t>0.00% chemical</w:t>
              <w:br/>
              <w:t>0.00% grain dose</w:t>
            </w:r>
          </w:p>
        </w:tc>
        <w:tc>
          <w:tcPr>
            <w:tcW w:type="dxa" w:w="2016"/>
            <w:tcMar>
              <w:top w:w="65" w:type="dxa"/>
              <w:bottom w:w="65" w:type="dxa"/>
              <w:left w:w="100" w:type="dxa"/>
              <w:right w:w="100" w:type="dxa"/>
            </w:tcMar>
          </w:tcPr>
          <w:p>
            <w:r>
              <w:rPr>
                <w:rFonts w:ascii="Calibri" w:hAnsi="Calibri"/>
                <w:color w:val="2D3748"/>
                <w:sz w:val="14"/>
              </w:rPr>
              <w:t>Ambient (25°C), 0 min;</w:t>
              <w:br/>
              <w:t>as-received 10.5% WB.</w:t>
            </w:r>
          </w:p>
        </w:tc>
        <w:tc>
          <w:tcPr>
            <w:tcW w:type="dxa" w:w="2016"/>
            <w:tcMar>
              <w:top w:w="65" w:type="dxa"/>
              <w:bottom w:w="65" w:type="dxa"/>
              <w:left w:w="100" w:type="dxa"/>
              <w:right w:w="100" w:type="dxa"/>
            </w:tcMar>
          </w:tcPr>
          <w:p>
            <w:r>
              <w:rPr>
                <w:rFonts w:ascii="Calibri" w:hAnsi="Calibri"/>
                <w:color w:val="2D3748"/>
                <w:sz w:val="14"/>
              </w:rPr>
              <w:t>FSSAI 2.4.6.15 compliant;</w:t>
              <w:br/>
              <w:t>PHASE 1 DIAGNOSTIC BASELINE</w:t>
            </w:r>
          </w:p>
        </w:tc>
      </w:tr>
      <w:tr>
        <w:trPr>
          <w:cantSplit/>
        </w:trPr>
        <w:tc>
          <w:tcPr>
            <w:tcW w:type="dxa" w:w="2016"/>
            <w:shd w:fill="F7FAFC"/>
            <w:tcMar>
              <w:top w:w="65" w:type="dxa"/>
              <w:bottom w:w="65" w:type="dxa"/>
              <w:left w:w="100" w:type="dxa"/>
              <w:right w:w="100" w:type="dxa"/>
            </w:tcMar>
          </w:tcPr>
          <w:p>
            <w:r>
              <w:rPr>
                <w:rFonts w:ascii="Calibri" w:hAnsi="Calibri"/>
                <w:b/>
                <w:color w:val="2D3748"/>
                <w:sz w:val="14"/>
              </w:rPr>
              <w:t>TRT-01</w:t>
            </w:r>
          </w:p>
        </w:tc>
        <w:tc>
          <w:tcPr>
            <w:tcW w:type="dxa" w:w="2016"/>
            <w:shd w:fill="F7FAFC"/>
            <w:tcMar>
              <w:top w:w="65" w:type="dxa"/>
              <w:bottom w:w="65" w:type="dxa"/>
              <w:left w:w="100" w:type="dxa"/>
              <w:right w:w="100" w:type="dxa"/>
            </w:tcMar>
          </w:tcPr>
          <w:p>
            <w:r>
              <w:rPr>
                <w:rFonts w:ascii="Calibri" w:hAnsi="Calibri"/>
                <w:color w:val="2D3748"/>
                <w:sz w:val="14"/>
              </w:rPr>
              <w:t>Water-Only Soak Control</w:t>
              <w:br/>
              <w:t>(Pure H₂O, CAS 7732-18-5)</w:t>
            </w:r>
          </w:p>
        </w:tc>
        <w:tc>
          <w:tcPr>
            <w:tcW w:type="dxa" w:w="2016"/>
            <w:shd w:fill="F7FAFC"/>
            <w:tcMar>
              <w:top w:w="65" w:type="dxa"/>
              <w:bottom w:w="65" w:type="dxa"/>
              <w:left w:w="100" w:type="dxa"/>
              <w:right w:w="100" w:type="dxa"/>
            </w:tcMar>
          </w:tcPr>
          <w:p>
            <w:r>
              <w:rPr>
                <w:rFonts w:ascii="Calibri" w:hAnsi="Calibri"/>
                <w:color w:val="2D3748"/>
                <w:sz w:val="14"/>
              </w:rPr>
              <w:t>0.00% chemical</w:t>
              <w:br/>
              <w:t>Liquor ratio 3:1</w:t>
            </w:r>
          </w:p>
        </w:tc>
        <w:tc>
          <w:tcPr>
            <w:tcW w:type="dxa" w:w="2016"/>
            <w:shd w:fill="F7FAFC"/>
            <w:tcMar>
              <w:top w:w="65" w:type="dxa"/>
              <w:bottom w:w="65" w:type="dxa"/>
              <w:left w:w="100" w:type="dxa"/>
              <w:right w:w="100" w:type="dxa"/>
            </w:tcMar>
          </w:tcPr>
          <w:p>
            <w:r>
              <w:rPr>
                <w:rFonts w:ascii="Calibri" w:hAnsi="Calibri"/>
                <w:color w:val="2D3748"/>
                <w:sz w:val="14"/>
              </w:rPr>
              <w:t>25°C, 60 min, RO rinse 1:1;</w:t>
              <w:br/>
              <w:t>tray dry 55°C to 10% WB.</w:t>
            </w:r>
          </w:p>
        </w:tc>
        <w:tc>
          <w:tcPr>
            <w:tcW w:type="dxa" w:w="2016"/>
            <w:shd w:fill="F7FAFC"/>
            <w:tcMar>
              <w:top w:w="65" w:type="dxa"/>
              <w:bottom w:w="65" w:type="dxa"/>
              <w:left w:w="100" w:type="dxa"/>
              <w:right w:w="100" w:type="dxa"/>
            </w:tcMar>
          </w:tcPr>
          <w:p>
            <w:r>
              <w:rPr>
                <w:rFonts w:ascii="Calibri" w:hAnsi="Calibri"/>
                <w:color w:val="2D3748"/>
                <w:sz w:val="14"/>
              </w:rPr>
              <w:t>Pure potable water;</w:t>
              <w:br/>
              <w:t>PHASE 2 SCREENING CONTROL</w:t>
            </w:r>
          </w:p>
        </w:tc>
      </w:tr>
      <w:tr>
        <w:trPr>
          <w:cantSplit/>
        </w:trPr>
        <w:tc>
          <w:tcPr>
            <w:tcW w:type="dxa" w:w="2016"/>
            <w:tcMar>
              <w:top w:w="65" w:type="dxa"/>
              <w:bottom w:w="65" w:type="dxa"/>
              <w:left w:w="100" w:type="dxa"/>
              <w:right w:w="100" w:type="dxa"/>
            </w:tcMar>
          </w:tcPr>
          <w:p>
            <w:r>
              <w:rPr>
                <w:rFonts w:ascii="Calibri" w:hAnsi="Calibri"/>
                <w:b/>
                <w:color w:val="2D3748"/>
                <w:sz w:val="14"/>
              </w:rPr>
              <w:t>TRT-02</w:t>
            </w:r>
          </w:p>
        </w:tc>
        <w:tc>
          <w:tcPr>
            <w:tcW w:type="dxa" w:w="2016"/>
            <w:tcMar>
              <w:top w:w="65" w:type="dxa"/>
              <w:bottom w:w="65" w:type="dxa"/>
              <w:left w:w="100" w:type="dxa"/>
              <w:right w:w="100" w:type="dxa"/>
            </w:tcMar>
          </w:tcPr>
          <w:p>
            <w:r>
              <w:rPr>
                <w:rFonts w:ascii="Calibri" w:hAnsi="Calibri"/>
                <w:color w:val="2D3748"/>
                <w:sz w:val="14"/>
              </w:rPr>
              <w:t>Sodium Bicarbonate</w:t>
              <w:br/>
              <w:t>(NaHCO₃, CAS 144-55-8)</w:t>
            </w:r>
          </w:p>
        </w:tc>
        <w:tc>
          <w:tcPr>
            <w:tcW w:type="dxa" w:w="2016"/>
            <w:tcMar>
              <w:top w:w="65" w:type="dxa"/>
              <w:bottom w:w="65" w:type="dxa"/>
              <w:left w:w="100" w:type="dxa"/>
              <w:right w:w="100" w:type="dxa"/>
            </w:tcMar>
          </w:tcPr>
          <w:p>
            <w:r>
              <w:rPr>
                <w:rFonts w:ascii="Calibri" w:hAnsi="Calibri"/>
                <w:color w:val="2D3748"/>
                <w:sz w:val="14"/>
              </w:rPr>
              <w:t>0.25%–0.50% w/w bath</w:t>
              <w:br/>
              <w:t>(0.75%–1.50% as-fed grain)</w:t>
            </w:r>
          </w:p>
        </w:tc>
        <w:tc>
          <w:tcPr>
            <w:tcW w:type="dxa" w:w="2016"/>
            <w:tcMar>
              <w:top w:w="65" w:type="dxa"/>
              <w:bottom w:w="65" w:type="dxa"/>
              <w:left w:w="100" w:type="dxa"/>
              <w:right w:w="100" w:type="dxa"/>
            </w:tcMar>
          </w:tcPr>
          <w:p>
            <w:r>
              <w:rPr>
                <w:rFonts w:ascii="Calibri" w:hAnsi="Calibri"/>
                <w:color w:val="2D3748"/>
                <w:sz w:val="14"/>
              </w:rPr>
              <w:t>25°C, 60 min, pH 8.2–8.4;</w:t>
              <w:br/>
              <w:t>rinse 2:1, dry to 10% WB.</w:t>
            </w:r>
          </w:p>
        </w:tc>
        <w:tc>
          <w:tcPr>
            <w:tcW w:type="dxa" w:w="2016"/>
            <w:tcMar>
              <w:top w:w="65" w:type="dxa"/>
              <w:bottom w:w="65" w:type="dxa"/>
              <w:left w:w="100" w:type="dxa"/>
              <w:right w:w="100" w:type="dxa"/>
            </w:tcMar>
          </w:tcPr>
          <w:p>
            <w:r>
              <w:rPr>
                <w:rFonts w:ascii="Calibri" w:hAnsi="Calibri"/>
                <w:color w:val="2D3748"/>
                <w:sz w:val="14"/>
              </w:rPr>
              <w:t>INS 500(ii) food additive;</w:t>
              <w:br/>
              <w:t>PHASE 2 CANDIDATE — NOT TESTED</w:t>
            </w:r>
          </w:p>
        </w:tc>
      </w:tr>
      <w:tr>
        <w:trPr>
          <w:cantSplit/>
        </w:trPr>
        <w:tc>
          <w:tcPr>
            <w:tcW w:type="dxa" w:w="2016"/>
            <w:shd w:fill="F7FAFC"/>
            <w:tcMar>
              <w:top w:w="65" w:type="dxa"/>
              <w:bottom w:w="65" w:type="dxa"/>
              <w:left w:w="100" w:type="dxa"/>
              <w:right w:w="100" w:type="dxa"/>
            </w:tcMar>
          </w:tcPr>
          <w:p>
            <w:r>
              <w:rPr>
                <w:rFonts w:ascii="Calibri" w:hAnsi="Calibri"/>
                <w:b/>
                <w:color w:val="2D3748"/>
                <w:sz w:val="14"/>
              </w:rPr>
              <w:t>TRT-03</w:t>
            </w:r>
          </w:p>
        </w:tc>
        <w:tc>
          <w:tcPr>
            <w:tcW w:type="dxa" w:w="2016"/>
            <w:shd w:fill="F7FAFC"/>
            <w:tcMar>
              <w:top w:w="65" w:type="dxa"/>
              <w:bottom w:w="65" w:type="dxa"/>
              <w:left w:w="100" w:type="dxa"/>
              <w:right w:w="100" w:type="dxa"/>
            </w:tcMar>
          </w:tcPr>
          <w:p>
            <w:r>
              <w:rPr>
                <w:rFonts w:ascii="Calibri" w:hAnsi="Calibri"/>
                <w:color w:val="2D3748"/>
                <w:sz w:val="14"/>
              </w:rPr>
              <w:t>Trisodium Citrate</w:t>
              <w:br/>
              <w:t>(Na₃C₆H₅O₇·2H₂O, CAS 6132-04-3)</w:t>
            </w:r>
          </w:p>
        </w:tc>
        <w:tc>
          <w:tcPr>
            <w:tcW w:type="dxa" w:w="2016"/>
            <w:shd w:fill="F7FAFC"/>
            <w:tcMar>
              <w:top w:w="65" w:type="dxa"/>
              <w:bottom w:w="65" w:type="dxa"/>
              <w:left w:w="100" w:type="dxa"/>
              <w:right w:w="100" w:type="dxa"/>
            </w:tcMar>
          </w:tcPr>
          <w:p>
            <w:r>
              <w:rPr>
                <w:rFonts w:ascii="Calibri" w:hAnsi="Calibri"/>
                <w:color w:val="2D3748"/>
                <w:sz w:val="14"/>
              </w:rPr>
              <w:t>0.50% w/w bath</w:t>
              <w:br/>
              <w:t>(1.50% w/w as-fed grain)</w:t>
            </w:r>
          </w:p>
        </w:tc>
        <w:tc>
          <w:tcPr>
            <w:tcW w:type="dxa" w:w="2016"/>
            <w:shd w:fill="F7FAFC"/>
            <w:tcMar>
              <w:top w:w="65" w:type="dxa"/>
              <w:bottom w:w="65" w:type="dxa"/>
              <w:left w:w="100" w:type="dxa"/>
              <w:right w:w="100" w:type="dxa"/>
            </w:tcMar>
          </w:tcPr>
          <w:p>
            <w:r>
              <w:rPr>
                <w:rFonts w:ascii="Calibri" w:hAnsi="Calibri"/>
                <w:color w:val="2D3748"/>
                <w:sz w:val="14"/>
              </w:rPr>
              <w:t>25°C, 60 min, pH 7.9–8.2;</w:t>
              <w:br/>
              <w:t>rinse 2:1, dry to 10% WB.</w:t>
            </w:r>
          </w:p>
        </w:tc>
        <w:tc>
          <w:tcPr>
            <w:tcW w:type="dxa" w:w="2016"/>
            <w:shd w:fill="F7FAFC"/>
            <w:tcMar>
              <w:top w:w="65" w:type="dxa"/>
              <w:bottom w:w="65" w:type="dxa"/>
              <w:left w:w="100" w:type="dxa"/>
              <w:right w:w="100" w:type="dxa"/>
            </w:tcMar>
          </w:tcPr>
          <w:p>
            <w:r>
              <w:rPr>
                <w:rFonts w:ascii="Calibri" w:hAnsi="Calibri"/>
                <w:color w:val="2D3748"/>
                <w:sz w:val="14"/>
              </w:rPr>
              <w:t>INS 331(iii) sequestering agent;</w:t>
              <w:br/>
              <w:t>PHASE 2 CANDIDATE — NOT TESTED</w:t>
            </w:r>
          </w:p>
        </w:tc>
      </w:tr>
      <w:tr>
        <w:trPr>
          <w:cantSplit/>
        </w:trPr>
        <w:tc>
          <w:tcPr>
            <w:tcW w:type="dxa" w:w="2016"/>
            <w:tcMar>
              <w:top w:w="65" w:type="dxa"/>
              <w:bottom w:w="65" w:type="dxa"/>
              <w:left w:w="100" w:type="dxa"/>
              <w:right w:w="100" w:type="dxa"/>
            </w:tcMar>
          </w:tcPr>
          <w:p>
            <w:r>
              <w:rPr>
                <w:rFonts w:ascii="Calibri" w:hAnsi="Calibri"/>
                <w:b/>
                <w:color w:val="2D3748"/>
                <w:sz w:val="14"/>
              </w:rPr>
              <w:t>TRT-04</w:t>
            </w:r>
          </w:p>
        </w:tc>
        <w:tc>
          <w:tcPr>
            <w:tcW w:type="dxa" w:w="2016"/>
            <w:tcMar>
              <w:top w:w="65" w:type="dxa"/>
              <w:bottom w:w="65" w:type="dxa"/>
              <w:left w:w="100" w:type="dxa"/>
              <w:right w:w="100" w:type="dxa"/>
            </w:tcMar>
          </w:tcPr>
          <w:p>
            <w:r>
              <w:rPr>
                <w:rFonts w:ascii="Calibri" w:hAnsi="Calibri"/>
                <w:color w:val="2D3748"/>
                <w:sz w:val="14"/>
              </w:rPr>
              <w:t>Citrate Buffer System</w:t>
              <w:br/>
              <w:t>(Citrate + Citric Acid)</w:t>
            </w:r>
          </w:p>
        </w:tc>
        <w:tc>
          <w:tcPr>
            <w:tcW w:type="dxa" w:w="2016"/>
            <w:tcMar>
              <w:top w:w="65" w:type="dxa"/>
              <w:bottom w:w="65" w:type="dxa"/>
              <w:left w:w="100" w:type="dxa"/>
              <w:right w:w="100" w:type="dxa"/>
            </w:tcMar>
          </w:tcPr>
          <w:p>
            <w:r>
              <w:rPr>
                <w:rFonts w:ascii="Calibri" w:hAnsi="Calibri"/>
                <w:color w:val="2D3748"/>
                <w:sz w:val="14"/>
              </w:rPr>
              <w:t>0.40% citrate + 0.05% acid</w:t>
              <w:br/>
              <w:t>(1.20% + 0.15% as-fed grain)</w:t>
            </w:r>
          </w:p>
        </w:tc>
        <w:tc>
          <w:tcPr>
            <w:tcW w:type="dxa" w:w="2016"/>
            <w:tcMar>
              <w:top w:w="65" w:type="dxa"/>
              <w:bottom w:w="65" w:type="dxa"/>
              <w:left w:w="100" w:type="dxa"/>
              <w:right w:w="100" w:type="dxa"/>
            </w:tcMar>
          </w:tcPr>
          <w:p>
            <w:r>
              <w:rPr>
                <w:rFonts w:ascii="Calibri" w:hAnsi="Calibri"/>
                <w:color w:val="2D3748"/>
                <w:sz w:val="14"/>
              </w:rPr>
              <w:t>25°C, 60 min, buffer pH 6.0;</w:t>
              <w:br/>
              <w:t>rinse 2:1, dry to 10% WB.</w:t>
            </w:r>
          </w:p>
        </w:tc>
        <w:tc>
          <w:tcPr>
            <w:tcW w:type="dxa" w:w="2016"/>
            <w:tcMar>
              <w:top w:w="65" w:type="dxa"/>
              <w:bottom w:w="65" w:type="dxa"/>
              <w:left w:w="100" w:type="dxa"/>
              <w:right w:w="100" w:type="dxa"/>
            </w:tcMar>
          </w:tcPr>
          <w:p>
            <w:r>
              <w:rPr>
                <w:rFonts w:ascii="Calibri" w:hAnsi="Calibri"/>
                <w:color w:val="2D3748"/>
                <w:sz w:val="14"/>
              </w:rPr>
              <w:t>INS 331(iii) + INS 330;</w:t>
              <w:br/>
              <w:t>PHASE 2 CANDIDATE — NOT TESTED</w:t>
            </w:r>
          </w:p>
        </w:tc>
      </w:tr>
      <w:tr>
        <w:trPr>
          <w:cantSplit/>
        </w:trPr>
        <w:tc>
          <w:tcPr>
            <w:tcW w:type="dxa" w:w="2016"/>
            <w:shd w:fill="F7FAFC"/>
            <w:tcMar>
              <w:top w:w="65" w:type="dxa"/>
              <w:bottom w:w="65" w:type="dxa"/>
              <w:left w:w="100" w:type="dxa"/>
              <w:right w:w="100" w:type="dxa"/>
            </w:tcMar>
          </w:tcPr>
          <w:p>
            <w:r>
              <w:rPr>
                <w:rFonts w:ascii="Calibri" w:hAnsi="Calibri"/>
                <w:b/>
                <w:color w:val="2D3748"/>
                <w:sz w:val="14"/>
              </w:rPr>
              <w:t>TRT-05</w:t>
            </w:r>
          </w:p>
        </w:tc>
        <w:tc>
          <w:tcPr>
            <w:tcW w:type="dxa" w:w="2016"/>
            <w:shd w:fill="F7FAFC"/>
            <w:tcMar>
              <w:top w:w="65" w:type="dxa"/>
              <w:bottom w:w="65" w:type="dxa"/>
              <w:left w:w="100" w:type="dxa"/>
              <w:right w:w="100" w:type="dxa"/>
            </w:tcMar>
          </w:tcPr>
          <w:p>
            <w:r>
              <w:rPr>
                <w:rFonts w:ascii="Calibri" w:hAnsi="Calibri"/>
                <w:color w:val="2D3748"/>
                <w:sz w:val="14"/>
              </w:rPr>
              <w:t>Sodium Carbonate (Segregated)</w:t>
              <w:br/>
              <w:t>(Na₂CO₃, CAS 497-19-8)</w:t>
            </w:r>
          </w:p>
        </w:tc>
        <w:tc>
          <w:tcPr>
            <w:tcW w:type="dxa" w:w="2016"/>
            <w:shd w:fill="F7FAFC"/>
            <w:tcMar>
              <w:top w:w="65" w:type="dxa"/>
              <w:bottom w:w="65" w:type="dxa"/>
              <w:left w:w="100" w:type="dxa"/>
              <w:right w:w="100" w:type="dxa"/>
            </w:tcMar>
          </w:tcPr>
          <w:p>
            <w:r>
              <w:rPr>
                <w:rFonts w:ascii="Calibri" w:hAnsi="Calibri"/>
                <w:color w:val="2D3748"/>
                <w:sz w:val="14"/>
              </w:rPr>
              <w:t>0.20% w/w bath</w:t>
              <w:br/>
              <w:t>(0.60% w/w as-fed grain)</w:t>
            </w:r>
          </w:p>
        </w:tc>
        <w:tc>
          <w:tcPr>
            <w:tcW w:type="dxa" w:w="2016"/>
            <w:shd w:fill="F7FAFC"/>
            <w:tcMar>
              <w:top w:w="65" w:type="dxa"/>
              <w:bottom w:w="65" w:type="dxa"/>
              <w:left w:w="100" w:type="dxa"/>
              <w:right w:w="100" w:type="dxa"/>
            </w:tcMar>
          </w:tcPr>
          <w:p>
            <w:r>
              <w:rPr>
                <w:rFonts w:ascii="Calibri" w:hAnsi="Calibri"/>
                <w:color w:val="2D3748"/>
                <w:sz w:val="14"/>
              </w:rPr>
              <w:t>25°C, 45 min, pH 10.6–10.9;</w:t>
              <w:br/>
              <w:t>rinse 2.5:1, dry to 10% WB.</w:t>
            </w:r>
          </w:p>
        </w:tc>
        <w:tc>
          <w:tcPr>
            <w:tcW w:type="dxa" w:w="2016"/>
            <w:shd w:fill="F7FAFC"/>
            <w:tcMar>
              <w:top w:w="65" w:type="dxa"/>
              <w:bottom w:w="65" w:type="dxa"/>
              <w:left w:w="100" w:type="dxa"/>
              <w:right w:w="100" w:type="dxa"/>
            </w:tcMar>
          </w:tcPr>
          <w:p>
            <w:r>
              <w:rPr>
                <w:rFonts w:ascii="Calibri" w:hAnsi="Calibri"/>
                <w:color w:val="2D3748"/>
                <w:sz w:val="14"/>
              </w:rPr>
              <w:t>INS 500(i) alkaline salt;</w:t>
              <w:br/>
              <w:t>PHASE 2 CANDIDATE — NOT TESTED</w:t>
            </w:r>
          </w:p>
        </w:tc>
      </w:tr>
      <w:tr>
        <w:trPr>
          <w:cantSplit/>
        </w:trPr>
        <w:tc>
          <w:tcPr>
            <w:tcW w:type="dxa" w:w="2016"/>
            <w:tcMar>
              <w:top w:w="65" w:type="dxa"/>
              <w:bottom w:w="65" w:type="dxa"/>
              <w:left w:w="100" w:type="dxa"/>
              <w:right w:w="100" w:type="dxa"/>
            </w:tcMar>
          </w:tcPr>
          <w:p>
            <w:r>
              <w:rPr>
                <w:rFonts w:ascii="Calibri" w:hAnsi="Calibri"/>
                <w:b/>
                <w:color w:val="2D3748"/>
                <w:sz w:val="14"/>
              </w:rPr>
              <w:t>TRT-06</w:t>
            </w:r>
          </w:p>
        </w:tc>
        <w:tc>
          <w:tcPr>
            <w:tcW w:type="dxa" w:w="2016"/>
            <w:tcMar>
              <w:top w:w="65" w:type="dxa"/>
              <w:bottom w:w="65" w:type="dxa"/>
              <w:left w:w="100" w:type="dxa"/>
              <w:right w:w="100" w:type="dxa"/>
            </w:tcMar>
          </w:tcPr>
          <w:p>
            <w:r>
              <w:rPr>
                <w:rFonts w:ascii="Calibri" w:hAnsi="Calibri"/>
                <w:color w:val="2D3748"/>
                <w:sz w:val="14"/>
              </w:rPr>
              <w:t>Hydrothermal Pre-Steeping</w:t>
              <w:br/>
              <w:t>(Pure Water, Zero Chemical)</w:t>
            </w:r>
          </w:p>
        </w:tc>
        <w:tc>
          <w:tcPr>
            <w:tcW w:type="dxa" w:w="2016"/>
            <w:tcMar>
              <w:top w:w="65" w:type="dxa"/>
              <w:bottom w:w="65" w:type="dxa"/>
              <w:left w:w="100" w:type="dxa"/>
              <w:right w:w="100" w:type="dxa"/>
            </w:tcMar>
          </w:tcPr>
          <w:p>
            <w:r>
              <w:rPr>
                <w:rFonts w:ascii="Calibri" w:hAnsi="Calibri"/>
                <w:color w:val="2D3748"/>
                <w:sz w:val="14"/>
              </w:rPr>
              <w:t>0.00% chemical</w:t>
              <w:br/>
              <w:t>Physical thermal process</w:t>
            </w:r>
          </w:p>
        </w:tc>
        <w:tc>
          <w:tcPr>
            <w:tcW w:type="dxa" w:w="2016"/>
            <w:tcMar>
              <w:top w:w="65" w:type="dxa"/>
              <w:bottom w:w="65" w:type="dxa"/>
              <w:left w:w="100" w:type="dxa"/>
              <w:right w:w="100" w:type="dxa"/>
            </w:tcMar>
          </w:tcPr>
          <w:p>
            <w:r>
              <w:rPr>
                <w:rFonts w:ascii="Calibri" w:hAnsi="Calibri"/>
                <w:color w:val="2D3748"/>
                <w:sz w:val="14"/>
              </w:rPr>
              <w:t>65°C, 20 min steeping;</w:t>
              <w:br/>
              <w:t>fluidized bed dry to 10% WB.</w:t>
            </w:r>
          </w:p>
        </w:tc>
        <w:tc>
          <w:tcPr>
            <w:tcW w:type="dxa" w:w="2016"/>
            <w:tcMar>
              <w:top w:w="65" w:type="dxa"/>
              <w:bottom w:w="65" w:type="dxa"/>
              <w:left w:w="100" w:type="dxa"/>
              <w:right w:w="100" w:type="dxa"/>
            </w:tcMar>
          </w:tcPr>
          <w:p>
            <w:r>
              <w:rPr>
                <w:rFonts w:ascii="Calibri" w:hAnsi="Calibri"/>
                <w:color w:val="2D3748"/>
                <w:sz w:val="14"/>
              </w:rPr>
              <w:t>100% clean-label physical process;</w:t>
              <w:br/>
              <w:t>PHASE 2 CANDIDATE — NOT TESTED</w:t>
            </w:r>
          </w:p>
        </w:tc>
      </w:tr>
    </w:tbl>
    <w:p>
      <w:pPr>
        <w:keepNext/>
        <w:spacing w:before="260" w:after="60"/>
      </w:pPr>
      <w:r>
        <w:rPr>
          <w:rFonts w:ascii="Calibri" w:hAnsi="Calibri"/>
          <w:b/>
          <w:color w:val="1A365D"/>
          <w:sz w:val="23"/>
        </w:rPr>
        <w:t>13. Indicative Technical Cost Structure &amp; Commercial Terms</w:t>
      </w:r>
    </w:p>
    <w:p>
      <w:pPr>
        <w:spacing w:before="0" w:after="60" w:line="276" w:lineRule="auto"/>
      </w:pPr>
      <w:r>
        <w:rPr>
          <w:rFonts w:ascii="Calibri" w:hAnsi="Calibri"/>
          <w:color w:val="2D3748"/>
          <w:sz w:val="17"/>
        </w:rPr>
        <w:t>The indicative professional fee totals exactly ₹1,73,000 plus applicable GST, matching Table 40 of the source SOW:</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152"/>
        <w:gridCol w:w="6768"/>
        <w:gridCol w:w="2160"/>
      </w:tblGrid>
      <w:tr>
        <w:trPr>
          <w:tblHeader/>
          <w:cantSplit/>
        </w:trPr>
        <w:tc>
          <w:tcPr>
            <w:tcW w:type="dxa" w:w="3360"/>
            <w:shd w:fill="1A365D"/>
            <w:tcMar>
              <w:top w:w="100" w:type="dxa"/>
              <w:bottom w:w="100" w:type="dxa"/>
              <w:left w:w="100" w:type="dxa"/>
              <w:right w:w="100" w:type="dxa"/>
            </w:tcMar>
          </w:tcPr>
          <w:p>
            <w:pPr>
              <w:jc w:val="left"/>
            </w:pPr>
            <w:r>
              <w:t>Item</w:t>
            </w:r>
          </w:p>
        </w:tc>
        <w:tc>
          <w:tcPr>
            <w:tcW w:type="dxa" w:w="3360"/>
            <w:shd w:fill="1A365D"/>
            <w:tcMar>
              <w:top w:w="100" w:type="dxa"/>
              <w:bottom w:w="100" w:type="dxa"/>
              <w:left w:w="100" w:type="dxa"/>
              <w:right w:w="100" w:type="dxa"/>
            </w:tcMar>
          </w:tcPr>
          <w:p>
            <w:pPr>
              <w:jc w:val="left"/>
            </w:pPr>
            <w:r>
              <w:t>Analytical Module / Professional Service Component</w:t>
            </w:r>
          </w:p>
        </w:tc>
        <w:tc>
          <w:tcPr>
            <w:tcW w:type="dxa" w:w="3360"/>
            <w:shd w:fill="1A365D"/>
            <w:tcMar>
              <w:top w:w="100" w:type="dxa"/>
              <w:bottom w:w="100" w:type="dxa"/>
              <w:left w:w="100" w:type="dxa"/>
              <w:right w:w="100" w:type="dxa"/>
            </w:tcMar>
          </w:tcPr>
          <w:p>
            <w:pPr>
              <w:jc w:val="left"/>
            </w:pPr>
            <w:r>
              <w:t>Indicative Fee (INR)</w:t>
            </w:r>
          </w:p>
        </w:tc>
      </w:tr>
      <w:tr>
        <w:trPr>
          <w:cantSplit/>
        </w:trPr>
        <w:tc>
          <w:tcPr>
            <w:tcW w:type="dxa" w:w="3360"/>
            <w:tcMar>
              <w:top w:w="65" w:type="dxa"/>
              <w:bottom w:w="65" w:type="dxa"/>
              <w:left w:w="100" w:type="dxa"/>
              <w:right w:w="100" w:type="dxa"/>
            </w:tcMar>
          </w:tcPr>
          <w:p>
            <w:r>
              <w:rPr>
                <w:rFonts w:ascii="Calibri" w:hAnsi="Calibri"/>
                <w:color w:val="2D3748"/>
                <w:sz w:val="15"/>
              </w:rPr>
              <w:t>01</w:t>
            </w:r>
          </w:p>
        </w:tc>
        <w:tc>
          <w:tcPr>
            <w:tcW w:type="dxa" w:w="3360"/>
            <w:tcMar>
              <w:top w:w="65" w:type="dxa"/>
              <w:bottom w:w="65" w:type="dxa"/>
              <w:left w:w="100" w:type="dxa"/>
              <w:right w:w="100" w:type="dxa"/>
            </w:tcMar>
          </w:tcPr>
          <w:p>
            <w:r>
              <w:rPr>
                <w:rFonts w:ascii="Calibri" w:hAnsi="Calibri"/>
                <w:color w:val="2D3748"/>
                <w:sz w:val="15"/>
              </w:rPr>
              <w:t>Sample Preparation &amp; Physical Characterization (Dimensions, 1000-grain weight, density)</w:t>
            </w:r>
          </w:p>
        </w:tc>
        <w:tc>
          <w:tcPr>
            <w:tcW w:type="dxa" w:w="3360"/>
            <w:tcMar>
              <w:top w:w="65" w:type="dxa"/>
              <w:bottom w:w="65" w:type="dxa"/>
              <w:left w:w="100" w:type="dxa"/>
              <w:right w:w="100" w:type="dxa"/>
            </w:tcMar>
          </w:tcPr>
          <w:p>
            <w:r>
              <w:rPr>
                <w:rFonts w:ascii="Calibri" w:hAnsi="Calibri"/>
                <w:color w:val="2D3748"/>
                <w:sz w:val="15"/>
              </w:rPr>
              <w:t>₹20,000</w:t>
            </w:r>
          </w:p>
        </w:tc>
      </w:tr>
      <w:tr>
        <w:trPr>
          <w:cantSplit/>
        </w:trPr>
        <w:tc>
          <w:tcPr>
            <w:tcW w:type="dxa" w:w="3360"/>
            <w:shd w:fill="F7FAFC"/>
            <w:tcMar>
              <w:top w:w="65" w:type="dxa"/>
              <w:bottom w:w="65" w:type="dxa"/>
              <w:left w:w="100" w:type="dxa"/>
              <w:right w:w="100" w:type="dxa"/>
            </w:tcMar>
          </w:tcPr>
          <w:p>
            <w:r>
              <w:rPr>
                <w:rFonts w:ascii="Calibri" w:hAnsi="Calibri"/>
                <w:color w:val="2D3748"/>
                <w:sz w:val="15"/>
              </w:rPr>
              <w:t>02</w:t>
            </w:r>
          </w:p>
        </w:tc>
        <w:tc>
          <w:tcPr>
            <w:tcW w:type="dxa" w:w="3360"/>
            <w:shd w:fill="F7FAFC"/>
            <w:tcMar>
              <w:top w:w="65" w:type="dxa"/>
              <w:bottom w:w="65" w:type="dxa"/>
              <w:left w:w="100" w:type="dxa"/>
              <w:right w:w="100" w:type="dxa"/>
            </w:tcMar>
          </w:tcPr>
          <w:p>
            <w:r>
              <w:rPr>
                <w:rFonts w:ascii="Calibri" w:hAnsi="Calibri"/>
                <w:color w:val="2D3748"/>
                <w:sz w:val="15"/>
              </w:rPr>
              <w:t>Proximate Chemical Analysis (Moisture, protein, fat, fibre, ash, carbohydrates)</w:t>
            </w:r>
          </w:p>
        </w:tc>
        <w:tc>
          <w:tcPr>
            <w:tcW w:type="dxa" w:w="3360"/>
            <w:shd w:fill="F7FAFC"/>
            <w:tcMar>
              <w:top w:w="65" w:type="dxa"/>
              <w:bottom w:w="65" w:type="dxa"/>
              <w:left w:w="100" w:type="dxa"/>
              <w:right w:w="100" w:type="dxa"/>
            </w:tcMar>
          </w:tcPr>
          <w:p>
            <w:r>
              <w:rPr>
                <w:rFonts w:ascii="Calibri" w:hAnsi="Calibri"/>
                <w:color w:val="2D3748"/>
                <w:sz w:val="15"/>
              </w:rPr>
              <w:t>₹7,000</w:t>
            </w:r>
          </w:p>
        </w:tc>
      </w:tr>
      <w:tr>
        <w:trPr>
          <w:cantSplit/>
        </w:trPr>
        <w:tc>
          <w:tcPr>
            <w:tcW w:type="dxa" w:w="3360"/>
            <w:tcMar>
              <w:top w:w="65" w:type="dxa"/>
              <w:bottom w:w="65" w:type="dxa"/>
              <w:left w:w="100" w:type="dxa"/>
              <w:right w:w="100" w:type="dxa"/>
            </w:tcMar>
          </w:tcPr>
          <w:p>
            <w:r>
              <w:rPr>
                <w:rFonts w:ascii="Calibri" w:hAnsi="Calibri"/>
                <w:color w:val="2D3748"/>
                <w:sz w:val="15"/>
              </w:rPr>
              <w:t>03</w:t>
            </w:r>
          </w:p>
        </w:tc>
        <w:tc>
          <w:tcPr>
            <w:tcW w:type="dxa" w:w="3360"/>
            <w:tcMar>
              <w:top w:w="65" w:type="dxa"/>
              <w:bottom w:w="65" w:type="dxa"/>
              <w:left w:w="100" w:type="dxa"/>
              <w:right w:w="100" w:type="dxa"/>
            </w:tcMar>
          </w:tcPr>
          <w:p>
            <w:r>
              <w:rPr>
                <w:rFonts w:ascii="Calibri" w:hAnsi="Calibri"/>
                <w:color w:val="2D3748"/>
                <w:sz w:val="15"/>
              </w:rPr>
              <w:t>Starch &amp; Amylose Analysis (Total starch, amylose/amylopectin ratio)</w:t>
            </w:r>
          </w:p>
        </w:tc>
        <w:tc>
          <w:tcPr>
            <w:tcW w:type="dxa" w:w="3360"/>
            <w:tcMar>
              <w:top w:w="65" w:type="dxa"/>
              <w:bottom w:w="65" w:type="dxa"/>
              <w:left w:w="100" w:type="dxa"/>
              <w:right w:w="100" w:type="dxa"/>
            </w:tcMar>
          </w:tcPr>
          <w:p>
            <w:r>
              <w:rPr>
                <w:rFonts w:ascii="Calibri" w:hAnsi="Calibri"/>
                <w:color w:val="2D3748"/>
                <w:sz w:val="15"/>
              </w:rPr>
              <w:t>₹5,000</w:t>
            </w:r>
          </w:p>
        </w:tc>
      </w:tr>
      <w:tr>
        <w:trPr>
          <w:cantSplit/>
        </w:trPr>
        <w:tc>
          <w:tcPr>
            <w:tcW w:type="dxa" w:w="3360"/>
            <w:shd w:fill="F7FAFC"/>
            <w:tcMar>
              <w:top w:w="65" w:type="dxa"/>
              <w:bottom w:w="65" w:type="dxa"/>
              <w:left w:w="100" w:type="dxa"/>
              <w:right w:w="100" w:type="dxa"/>
            </w:tcMar>
          </w:tcPr>
          <w:p>
            <w:r>
              <w:rPr>
                <w:rFonts w:ascii="Calibri" w:hAnsi="Calibri"/>
                <w:color w:val="2D3748"/>
                <w:sz w:val="15"/>
              </w:rPr>
              <w:t>04</w:t>
            </w:r>
          </w:p>
        </w:tc>
        <w:tc>
          <w:tcPr>
            <w:tcW w:type="dxa" w:w="3360"/>
            <w:shd w:fill="F7FAFC"/>
            <w:tcMar>
              <w:top w:w="65" w:type="dxa"/>
              <w:bottom w:w="65" w:type="dxa"/>
              <w:left w:w="100" w:type="dxa"/>
              <w:right w:w="100" w:type="dxa"/>
            </w:tcMar>
          </w:tcPr>
          <w:p>
            <w:r>
              <w:rPr>
                <w:rFonts w:ascii="Calibri" w:hAnsi="Calibri"/>
                <w:color w:val="2D3748"/>
                <w:sz w:val="15"/>
              </w:rPr>
              <w:t>DSC Thermal / Gelatinization Characterization (To, Tp, Tc, ΔHgel)</w:t>
            </w:r>
          </w:p>
        </w:tc>
        <w:tc>
          <w:tcPr>
            <w:tcW w:type="dxa" w:w="3360"/>
            <w:shd w:fill="F7FAFC"/>
            <w:tcMar>
              <w:top w:w="65" w:type="dxa"/>
              <w:bottom w:w="65" w:type="dxa"/>
              <w:left w:w="100" w:type="dxa"/>
              <w:right w:w="100" w:type="dxa"/>
            </w:tcMar>
          </w:tcPr>
          <w:p>
            <w:r>
              <w:rPr>
                <w:rFonts w:ascii="Calibri" w:hAnsi="Calibri"/>
                <w:color w:val="2D3748"/>
                <w:sz w:val="15"/>
              </w:rPr>
              <w:t>₹20,000</w:t>
            </w:r>
          </w:p>
        </w:tc>
      </w:tr>
      <w:tr>
        <w:trPr>
          <w:cantSplit/>
        </w:trPr>
        <w:tc>
          <w:tcPr>
            <w:tcW w:type="dxa" w:w="3360"/>
            <w:tcMar>
              <w:top w:w="65" w:type="dxa"/>
              <w:bottom w:w="65" w:type="dxa"/>
              <w:left w:w="100" w:type="dxa"/>
              <w:right w:w="100" w:type="dxa"/>
            </w:tcMar>
          </w:tcPr>
          <w:p>
            <w:r>
              <w:rPr>
                <w:rFonts w:ascii="Calibri" w:hAnsi="Calibri"/>
                <w:color w:val="2D3748"/>
                <w:sz w:val="15"/>
              </w:rPr>
              <w:t>05</w:t>
            </w:r>
          </w:p>
        </w:tc>
        <w:tc>
          <w:tcPr>
            <w:tcW w:type="dxa" w:w="3360"/>
            <w:tcMar>
              <w:top w:w="65" w:type="dxa"/>
              <w:bottom w:w="65" w:type="dxa"/>
              <w:left w:w="100" w:type="dxa"/>
              <w:right w:w="100" w:type="dxa"/>
            </w:tcMar>
          </w:tcPr>
          <w:p>
            <w:r>
              <w:rPr>
                <w:rFonts w:ascii="Calibri" w:hAnsi="Calibri"/>
                <w:color w:val="2D3748"/>
                <w:sz w:val="15"/>
              </w:rPr>
              <w:t>Hydration &amp; Water Absorption Study (Kinetics at 25°C, 40°C, 60°C across 0–360 min)</w:t>
            </w:r>
          </w:p>
        </w:tc>
        <w:tc>
          <w:tcPr>
            <w:tcW w:type="dxa" w:w="3360"/>
            <w:tcMar>
              <w:top w:w="65" w:type="dxa"/>
              <w:bottom w:w="65" w:type="dxa"/>
              <w:left w:w="100" w:type="dxa"/>
              <w:right w:w="100" w:type="dxa"/>
            </w:tcMar>
          </w:tcPr>
          <w:p>
            <w:r>
              <w:rPr>
                <w:rFonts w:ascii="Calibri" w:hAnsi="Calibri"/>
                <w:color w:val="2D3748"/>
                <w:sz w:val="15"/>
              </w:rPr>
              <w:t>₹10,000</w:t>
            </w:r>
          </w:p>
        </w:tc>
      </w:tr>
      <w:tr>
        <w:trPr>
          <w:cantSplit/>
        </w:trPr>
        <w:tc>
          <w:tcPr>
            <w:tcW w:type="dxa" w:w="3360"/>
            <w:shd w:fill="F7FAFC"/>
            <w:tcMar>
              <w:top w:w="65" w:type="dxa"/>
              <w:bottom w:w="65" w:type="dxa"/>
              <w:left w:w="100" w:type="dxa"/>
              <w:right w:w="100" w:type="dxa"/>
            </w:tcMar>
          </w:tcPr>
          <w:p>
            <w:r>
              <w:rPr>
                <w:rFonts w:ascii="Calibri" w:hAnsi="Calibri"/>
                <w:color w:val="2D3748"/>
                <w:sz w:val="15"/>
              </w:rPr>
              <w:t>06</w:t>
            </w:r>
          </w:p>
        </w:tc>
        <w:tc>
          <w:tcPr>
            <w:tcW w:type="dxa" w:w="3360"/>
            <w:shd w:fill="F7FAFC"/>
            <w:tcMar>
              <w:top w:w="65" w:type="dxa"/>
              <w:bottom w:w="65" w:type="dxa"/>
              <w:left w:w="100" w:type="dxa"/>
              <w:right w:w="100" w:type="dxa"/>
            </w:tcMar>
          </w:tcPr>
          <w:p>
            <w:r>
              <w:rPr>
                <w:rFonts w:ascii="Calibri" w:hAnsi="Calibri"/>
                <w:color w:val="2D3748"/>
                <w:sz w:val="15"/>
              </w:rPr>
              <w:t>Pectin &amp; Cell-Wall Characterization (Water-, oxalate-, alkali-soluble fractions, DE)</w:t>
            </w:r>
          </w:p>
        </w:tc>
        <w:tc>
          <w:tcPr>
            <w:tcW w:type="dxa" w:w="3360"/>
            <w:shd w:fill="F7FAFC"/>
            <w:tcMar>
              <w:top w:w="65" w:type="dxa"/>
              <w:bottom w:w="65" w:type="dxa"/>
              <w:left w:w="100" w:type="dxa"/>
              <w:right w:w="100" w:type="dxa"/>
            </w:tcMar>
          </w:tcPr>
          <w:p>
            <w:r>
              <w:rPr>
                <w:rFonts w:ascii="Calibri" w:hAnsi="Calibri"/>
                <w:color w:val="2D3748"/>
                <w:sz w:val="15"/>
              </w:rPr>
              <w:t>₹18,000</w:t>
            </w:r>
          </w:p>
        </w:tc>
      </w:tr>
      <w:tr>
        <w:trPr>
          <w:cantSplit/>
        </w:trPr>
        <w:tc>
          <w:tcPr>
            <w:tcW w:type="dxa" w:w="3360"/>
            <w:tcMar>
              <w:top w:w="65" w:type="dxa"/>
              <w:bottom w:w="65" w:type="dxa"/>
              <w:left w:w="100" w:type="dxa"/>
              <w:right w:w="100" w:type="dxa"/>
            </w:tcMar>
          </w:tcPr>
          <w:p>
            <w:r>
              <w:rPr>
                <w:rFonts w:ascii="Calibri" w:hAnsi="Calibri"/>
                <w:color w:val="2D3748"/>
                <w:sz w:val="15"/>
              </w:rPr>
              <w:t>07</w:t>
            </w:r>
          </w:p>
        </w:tc>
        <w:tc>
          <w:tcPr>
            <w:tcW w:type="dxa" w:w="3360"/>
            <w:tcMar>
              <w:top w:w="65" w:type="dxa"/>
              <w:bottom w:w="65" w:type="dxa"/>
              <w:left w:w="100" w:type="dxa"/>
              <w:right w:w="100" w:type="dxa"/>
            </w:tcMar>
          </w:tcPr>
          <w:p>
            <w:r>
              <w:rPr>
                <w:rFonts w:ascii="Calibri" w:hAnsi="Calibri"/>
                <w:color w:val="2D3748"/>
                <w:sz w:val="15"/>
              </w:rPr>
              <w:t>Mineral &amp; Phytate Profile (Ca, Mg, Fe, P, K by ICP-OES/AAS, phytic acid content)</w:t>
            </w:r>
          </w:p>
        </w:tc>
        <w:tc>
          <w:tcPr>
            <w:tcW w:type="dxa" w:w="3360"/>
            <w:tcMar>
              <w:top w:w="65" w:type="dxa"/>
              <w:bottom w:w="65" w:type="dxa"/>
              <w:left w:w="100" w:type="dxa"/>
              <w:right w:w="100" w:type="dxa"/>
            </w:tcMar>
          </w:tcPr>
          <w:p>
            <w:r>
              <w:rPr>
                <w:rFonts w:ascii="Calibri" w:hAnsi="Calibri"/>
                <w:color w:val="2D3748"/>
                <w:sz w:val="15"/>
              </w:rPr>
              <w:t>₹16,000</w:t>
            </w:r>
          </w:p>
        </w:tc>
      </w:tr>
      <w:tr>
        <w:trPr>
          <w:cantSplit/>
        </w:trPr>
        <w:tc>
          <w:tcPr>
            <w:tcW w:type="dxa" w:w="3360"/>
            <w:shd w:fill="F7FAFC"/>
            <w:tcMar>
              <w:top w:w="65" w:type="dxa"/>
              <w:bottom w:w="65" w:type="dxa"/>
              <w:left w:w="100" w:type="dxa"/>
              <w:right w:w="100" w:type="dxa"/>
            </w:tcMar>
          </w:tcPr>
          <w:p>
            <w:r>
              <w:rPr>
                <w:rFonts w:ascii="Calibri" w:hAnsi="Calibri"/>
                <w:color w:val="2D3748"/>
                <w:sz w:val="15"/>
              </w:rPr>
              <w:t>08</w:t>
            </w:r>
          </w:p>
        </w:tc>
        <w:tc>
          <w:tcPr>
            <w:tcW w:type="dxa" w:w="3360"/>
            <w:shd w:fill="F7FAFC"/>
            <w:tcMar>
              <w:top w:w="65" w:type="dxa"/>
              <w:bottom w:w="65" w:type="dxa"/>
              <w:left w:w="100" w:type="dxa"/>
              <w:right w:w="100" w:type="dxa"/>
            </w:tcMar>
          </w:tcPr>
          <w:p>
            <w:r>
              <w:rPr>
                <w:rFonts w:ascii="Calibri" w:hAnsi="Calibri"/>
                <w:color w:val="2D3748"/>
                <w:sz w:val="15"/>
              </w:rPr>
              <w:t>Hardness &amp; Texture Analysis (Raw &amp; soaked load-cell puncture, shear force)</w:t>
            </w:r>
          </w:p>
        </w:tc>
        <w:tc>
          <w:tcPr>
            <w:tcW w:type="dxa" w:w="3360"/>
            <w:shd w:fill="F7FAFC"/>
            <w:tcMar>
              <w:top w:w="65" w:type="dxa"/>
              <w:bottom w:w="65" w:type="dxa"/>
              <w:left w:w="100" w:type="dxa"/>
              <w:right w:w="100" w:type="dxa"/>
            </w:tcMar>
          </w:tcPr>
          <w:p>
            <w:r>
              <w:rPr>
                <w:rFonts w:ascii="Calibri" w:hAnsi="Calibri"/>
                <w:color w:val="2D3748"/>
                <w:sz w:val="15"/>
              </w:rPr>
              <w:t>₹17,000</w:t>
            </w:r>
          </w:p>
        </w:tc>
      </w:tr>
      <w:tr>
        <w:trPr>
          <w:cantSplit/>
        </w:trPr>
        <w:tc>
          <w:tcPr>
            <w:tcW w:type="dxa" w:w="3360"/>
            <w:tcMar>
              <w:top w:w="65" w:type="dxa"/>
              <w:bottom w:w="65" w:type="dxa"/>
              <w:left w:w="100" w:type="dxa"/>
              <w:right w:w="100" w:type="dxa"/>
            </w:tcMar>
          </w:tcPr>
          <w:p>
            <w:r>
              <w:rPr>
                <w:rFonts w:ascii="Calibri" w:hAnsi="Calibri"/>
                <w:color w:val="2D3748"/>
                <w:sz w:val="15"/>
              </w:rPr>
              <w:t>09</w:t>
            </w:r>
          </w:p>
        </w:tc>
        <w:tc>
          <w:tcPr>
            <w:tcW w:type="dxa" w:w="3360"/>
            <w:tcMar>
              <w:top w:w="65" w:type="dxa"/>
              <w:bottom w:w="65" w:type="dxa"/>
              <w:left w:w="100" w:type="dxa"/>
              <w:right w:w="100" w:type="dxa"/>
            </w:tcMar>
          </w:tcPr>
          <w:p>
            <w:r>
              <w:rPr>
                <w:rFonts w:ascii="Calibri" w:hAnsi="Calibri"/>
                <w:color w:val="2D3748"/>
                <w:sz w:val="15"/>
              </w:rPr>
              <w:t>Standardized Cooking Performance Study (Pressurized kinetics, hard-core rate)</w:t>
            </w:r>
          </w:p>
        </w:tc>
        <w:tc>
          <w:tcPr>
            <w:tcW w:type="dxa" w:w="3360"/>
            <w:tcMar>
              <w:top w:w="65" w:type="dxa"/>
              <w:bottom w:w="65" w:type="dxa"/>
              <w:left w:w="100" w:type="dxa"/>
              <w:right w:w="100" w:type="dxa"/>
            </w:tcMar>
          </w:tcPr>
          <w:p>
            <w:r>
              <w:rPr>
                <w:rFonts w:ascii="Calibri" w:hAnsi="Calibri"/>
                <w:color w:val="2D3748"/>
                <w:sz w:val="15"/>
              </w:rPr>
              <w:t>₹20,000</w:t>
            </w:r>
          </w:p>
        </w:tc>
      </w:tr>
      <w:tr>
        <w:trPr>
          <w:cantSplit/>
        </w:trPr>
        <w:tc>
          <w:tcPr>
            <w:tcW w:type="dxa" w:w="3360"/>
            <w:shd w:fill="F7FAFC"/>
            <w:tcMar>
              <w:top w:w="65" w:type="dxa"/>
              <w:bottom w:w="65" w:type="dxa"/>
              <w:left w:w="100" w:type="dxa"/>
              <w:right w:w="100" w:type="dxa"/>
            </w:tcMar>
          </w:tcPr>
          <w:p>
            <w:r>
              <w:rPr>
                <w:rFonts w:ascii="Calibri" w:hAnsi="Calibri"/>
                <w:color w:val="2D3748"/>
                <w:sz w:val="15"/>
              </w:rPr>
              <w:t>10</w:t>
            </w:r>
          </w:p>
        </w:tc>
        <w:tc>
          <w:tcPr>
            <w:tcW w:type="dxa" w:w="3360"/>
            <w:shd w:fill="F7FAFC"/>
            <w:tcMar>
              <w:top w:w="65" w:type="dxa"/>
              <w:bottom w:w="65" w:type="dxa"/>
              <w:left w:w="100" w:type="dxa"/>
              <w:right w:w="100" w:type="dxa"/>
            </w:tcMar>
          </w:tcPr>
          <w:p>
            <w:r>
              <w:rPr>
                <w:rFonts w:ascii="Calibri" w:hAnsi="Calibri"/>
                <w:color w:val="2D3748"/>
                <w:sz w:val="15"/>
              </w:rPr>
              <w:t>Integrated Data Analysis &amp; Root-Cause Assessment (Multivariate hypothesis testing)</w:t>
            </w:r>
          </w:p>
        </w:tc>
        <w:tc>
          <w:tcPr>
            <w:tcW w:type="dxa" w:w="3360"/>
            <w:shd w:fill="F7FAFC"/>
            <w:tcMar>
              <w:top w:w="65" w:type="dxa"/>
              <w:bottom w:w="65" w:type="dxa"/>
              <w:left w:w="100" w:type="dxa"/>
              <w:right w:w="100" w:type="dxa"/>
            </w:tcMar>
          </w:tcPr>
          <w:p>
            <w:r>
              <w:rPr>
                <w:rFonts w:ascii="Calibri" w:hAnsi="Calibri"/>
                <w:color w:val="2D3748"/>
                <w:sz w:val="15"/>
              </w:rPr>
              <w:t>₹20,000</w:t>
            </w:r>
          </w:p>
        </w:tc>
      </w:tr>
      <w:tr>
        <w:trPr>
          <w:cantSplit/>
        </w:trPr>
        <w:tc>
          <w:tcPr>
            <w:tcW w:type="dxa" w:w="3360"/>
            <w:tcMar>
              <w:top w:w="65" w:type="dxa"/>
              <w:bottom w:w="65" w:type="dxa"/>
              <w:left w:w="100" w:type="dxa"/>
              <w:right w:w="100" w:type="dxa"/>
            </w:tcMar>
          </w:tcPr>
          <w:p>
            <w:r>
              <w:rPr>
                <w:rFonts w:ascii="Calibri" w:hAnsi="Calibri"/>
                <w:color w:val="2D3748"/>
                <w:sz w:val="15"/>
              </w:rPr>
              <w:t>11</w:t>
            </w:r>
          </w:p>
        </w:tc>
        <w:tc>
          <w:tcPr>
            <w:tcW w:type="dxa" w:w="3360"/>
            <w:tcMar>
              <w:top w:w="65" w:type="dxa"/>
              <w:bottom w:w="65" w:type="dxa"/>
              <w:left w:w="100" w:type="dxa"/>
              <w:right w:w="100" w:type="dxa"/>
            </w:tcMar>
          </w:tcPr>
          <w:p>
            <w:r>
              <w:rPr>
                <w:rFonts w:ascii="Calibri" w:hAnsi="Calibri"/>
                <w:color w:val="2D3748"/>
                <w:sz w:val="15"/>
              </w:rPr>
              <w:t>Final Technical R&amp;D Report &amp; Executive Management Summary Compilation</w:t>
            </w:r>
          </w:p>
        </w:tc>
        <w:tc>
          <w:tcPr>
            <w:tcW w:type="dxa" w:w="3360"/>
            <w:tcMar>
              <w:top w:w="65" w:type="dxa"/>
              <w:bottom w:w="65" w:type="dxa"/>
              <w:left w:w="100" w:type="dxa"/>
              <w:right w:w="100" w:type="dxa"/>
            </w:tcMar>
          </w:tcPr>
          <w:p>
            <w:r>
              <w:rPr>
                <w:rFonts w:ascii="Calibri" w:hAnsi="Calibri"/>
                <w:color w:val="2D3748"/>
                <w:sz w:val="15"/>
              </w:rPr>
              <w:t>₹20,000</w:t>
            </w:r>
          </w:p>
        </w:tc>
      </w:tr>
      <w:tr>
        <w:trPr>
          <w:cantSplit/>
        </w:trPr>
        <w:tc>
          <w:tcPr>
            <w:tcW w:type="dxa" w:w="3360"/>
            <w:shd w:fill="F7FAFC"/>
            <w:tcMar>
              <w:top w:w="65" w:type="dxa"/>
              <w:bottom w:w="65" w:type="dxa"/>
              <w:left w:w="100" w:type="dxa"/>
              <w:right w:w="100" w:type="dxa"/>
            </w:tcMar>
            <w:shd w:fill="EDF2F7"/>
          </w:tcPr>
          <w:p>
            <w:r>
              <w:rPr>
                <w:rFonts w:ascii="Calibri" w:hAnsi="Calibri"/>
                <w:b/>
                <w:color w:val="2D3748"/>
                <w:sz w:val="15"/>
              </w:rPr>
              <w:t>TOTAL</w:t>
            </w:r>
          </w:p>
        </w:tc>
        <w:tc>
          <w:tcPr>
            <w:tcW w:type="dxa" w:w="3360"/>
            <w:shd w:fill="F7FAFC"/>
            <w:tcMar>
              <w:top w:w="65" w:type="dxa"/>
              <w:bottom w:w="65" w:type="dxa"/>
              <w:left w:w="100" w:type="dxa"/>
              <w:right w:w="100" w:type="dxa"/>
            </w:tcMar>
            <w:shd w:fill="EDF2F7"/>
          </w:tcPr>
          <w:p>
            <w:r>
              <w:rPr>
                <w:rFonts w:ascii="Calibri" w:hAnsi="Calibri"/>
                <w:b/>
                <w:color w:val="2D3748"/>
                <w:sz w:val="15"/>
              </w:rPr>
              <w:t>TOTAL PHASE 1 INDICATIVE PROFESSIONAL FEE (EXCLUDING GST)</w:t>
            </w:r>
          </w:p>
        </w:tc>
        <w:tc>
          <w:tcPr>
            <w:tcW w:type="dxa" w:w="3360"/>
            <w:shd w:fill="F7FAFC"/>
            <w:tcMar>
              <w:top w:w="65" w:type="dxa"/>
              <w:bottom w:w="65" w:type="dxa"/>
              <w:left w:w="100" w:type="dxa"/>
              <w:right w:w="100" w:type="dxa"/>
            </w:tcMar>
            <w:shd w:fill="EDF2F7"/>
          </w:tcPr>
          <w:p>
            <w:r>
              <w:rPr>
                <w:rFonts w:ascii="Calibri" w:hAnsi="Calibri"/>
                <w:b/>
                <w:color w:val="2D3748"/>
                <w:sz w:val="15"/>
              </w:rPr>
              <w:t>₹1,73,000</w:t>
            </w:r>
          </w:p>
        </w:tc>
      </w:tr>
    </w:tbl>
    <w:p>
      <w:pPr>
        <w:spacing w:before="0" w:after="60" w:line="276" w:lineRule="auto"/>
      </w:pPr>
      <w:r>
        <w:rPr>
          <w:rFonts w:ascii="Calibri" w:hAnsi="Calibri"/>
          <w:color w:val="2D3748"/>
          <w:sz w:val="17"/>
        </w:rPr>
        <w:t>Commercial Notes: (1) Total professional fee is ₹1,73,000 plus applicable GST; (2) Commercial ceiling is up to ₹2,00,000 + GST; no additional charges will be incurred without prior written client approval; (3) Third-party specialized laboratory assays are coordinated within this budget framework; (4) GST is payable extra on actuals under SAC 998313.</w:t>
      </w:r>
    </w:p>
    <w:p>
      <w:pPr>
        <w:keepNext/>
        <w:spacing w:before="180" w:after="40"/>
      </w:pPr>
      <w:r>
        <w:rPr>
          <w:rFonts w:ascii="Calibri" w:hAnsi="Calibri"/>
          <w:b/>
          <w:color w:val="2B6CB0"/>
          <w:sz w:val="20"/>
        </w:rPr>
        <w:t>Milestone Payment Schedule (Source SOW Table 45)</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584"/>
        <w:gridCol w:w="4896"/>
        <w:gridCol w:w="1584"/>
        <w:gridCol w:w="2016"/>
      </w:tblGrid>
      <w:tr>
        <w:trPr>
          <w:tblHeader/>
          <w:cantSplit/>
        </w:trPr>
        <w:tc>
          <w:tcPr>
            <w:tcW w:type="dxa" w:w="2520"/>
            <w:shd w:fill="1A365D"/>
            <w:tcMar>
              <w:top w:w="100" w:type="dxa"/>
              <w:bottom w:w="100" w:type="dxa"/>
              <w:left w:w="100" w:type="dxa"/>
              <w:right w:w="100" w:type="dxa"/>
            </w:tcMar>
          </w:tcPr>
          <w:p>
            <w:pPr>
              <w:jc w:val="left"/>
            </w:pPr>
            <w:r>
              <w:t>Milestone</w:t>
            </w:r>
          </w:p>
        </w:tc>
        <w:tc>
          <w:tcPr>
            <w:tcW w:type="dxa" w:w="2520"/>
            <w:shd w:fill="1A365D"/>
            <w:tcMar>
              <w:top w:w="100" w:type="dxa"/>
              <w:bottom w:w="100" w:type="dxa"/>
              <w:left w:w="100" w:type="dxa"/>
              <w:right w:w="100" w:type="dxa"/>
            </w:tcMar>
          </w:tcPr>
          <w:p>
            <w:pPr>
              <w:jc w:val="left"/>
            </w:pPr>
            <w:r>
              <w:t>Objective Deliverable Trigger</w:t>
            </w:r>
          </w:p>
        </w:tc>
        <w:tc>
          <w:tcPr>
            <w:tcW w:type="dxa" w:w="2520"/>
            <w:shd w:fill="1A365D"/>
            <w:tcMar>
              <w:top w:w="100" w:type="dxa"/>
              <w:bottom w:w="100" w:type="dxa"/>
              <w:left w:w="100" w:type="dxa"/>
              <w:right w:w="100" w:type="dxa"/>
            </w:tcMar>
          </w:tcPr>
          <w:p>
            <w:pPr>
              <w:jc w:val="left"/>
            </w:pPr>
            <w:r>
              <w:t>Percentage</w:t>
            </w:r>
          </w:p>
        </w:tc>
        <w:tc>
          <w:tcPr>
            <w:tcW w:type="dxa" w:w="2520"/>
            <w:shd w:fill="1A365D"/>
            <w:tcMar>
              <w:top w:w="100" w:type="dxa"/>
              <w:bottom w:w="100" w:type="dxa"/>
              <w:left w:w="100" w:type="dxa"/>
              <w:right w:w="100" w:type="dxa"/>
            </w:tcMar>
          </w:tcPr>
          <w:p>
            <w:pPr>
              <w:jc w:val="left"/>
            </w:pPr>
            <w:r>
              <w:t>Amount (INR)</w:t>
            </w:r>
          </w:p>
        </w:tc>
      </w:tr>
      <w:tr>
        <w:trPr>
          <w:cantSplit/>
        </w:trPr>
        <w:tc>
          <w:tcPr>
            <w:tcW w:type="dxa" w:w="2520"/>
            <w:tcMar>
              <w:top w:w="65" w:type="dxa"/>
              <w:bottom w:w="65" w:type="dxa"/>
              <w:left w:w="100" w:type="dxa"/>
              <w:right w:w="100" w:type="dxa"/>
            </w:tcMar>
          </w:tcPr>
          <w:p>
            <w:r>
              <w:rPr>
                <w:rFonts w:ascii="Calibri" w:hAnsi="Calibri"/>
                <w:color w:val="2D3748"/>
                <w:sz w:val="15"/>
              </w:rPr>
              <w:t>Milestone 1</w:t>
            </w:r>
          </w:p>
        </w:tc>
        <w:tc>
          <w:tcPr>
            <w:tcW w:type="dxa" w:w="2520"/>
            <w:tcMar>
              <w:top w:w="65" w:type="dxa"/>
              <w:bottom w:w="65" w:type="dxa"/>
              <w:left w:w="100" w:type="dxa"/>
              <w:right w:w="100" w:type="dxa"/>
            </w:tcMar>
          </w:tcPr>
          <w:p>
            <w:r>
              <w:rPr>
                <w:rFonts w:ascii="Calibri" w:hAnsi="Calibri"/>
                <w:color w:val="2D3748"/>
                <w:sz w:val="15"/>
              </w:rPr>
              <w:t>Project Initiation: Formal confirmation &amp; sample receipt protocol</w:t>
            </w:r>
          </w:p>
        </w:tc>
        <w:tc>
          <w:tcPr>
            <w:tcW w:type="dxa" w:w="2520"/>
            <w:tcMar>
              <w:top w:w="65" w:type="dxa"/>
              <w:bottom w:w="65" w:type="dxa"/>
              <w:left w:w="100" w:type="dxa"/>
              <w:right w:w="100" w:type="dxa"/>
            </w:tcMar>
          </w:tcPr>
          <w:p>
            <w:r>
              <w:rPr>
                <w:rFonts w:ascii="Calibri" w:hAnsi="Calibri"/>
                <w:color w:val="2D3748"/>
                <w:sz w:val="15"/>
              </w:rPr>
              <w:t>40.0%</w:t>
            </w:r>
          </w:p>
        </w:tc>
        <w:tc>
          <w:tcPr>
            <w:tcW w:type="dxa" w:w="2520"/>
            <w:tcMar>
              <w:top w:w="65" w:type="dxa"/>
              <w:bottom w:w="65" w:type="dxa"/>
              <w:left w:w="100" w:type="dxa"/>
              <w:right w:w="100" w:type="dxa"/>
            </w:tcMar>
          </w:tcPr>
          <w:p>
            <w:r>
              <w:rPr>
                <w:rFonts w:ascii="Calibri" w:hAnsi="Calibri"/>
                <w:color w:val="2D3748"/>
                <w:sz w:val="15"/>
              </w:rPr>
              <w:t>₹69,200 + GST</w:t>
            </w:r>
          </w:p>
        </w:tc>
      </w:tr>
      <w:tr>
        <w:trPr>
          <w:cantSplit/>
        </w:trPr>
        <w:tc>
          <w:tcPr>
            <w:tcW w:type="dxa" w:w="2520"/>
            <w:shd w:fill="F7FAFC"/>
            <w:tcMar>
              <w:top w:w="65" w:type="dxa"/>
              <w:bottom w:w="65" w:type="dxa"/>
              <w:left w:w="100" w:type="dxa"/>
              <w:right w:w="100" w:type="dxa"/>
            </w:tcMar>
          </w:tcPr>
          <w:p>
            <w:r>
              <w:rPr>
                <w:rFonts w:ascii="Calibri" w:hAnsi="Calibri"/>
                <w:color w:val="2D3748"/>
                <w:sz w:val="15"/>
              </w:rPr>
              <w:t>Milestone 2</w:t>
            </w:r>
          </w:p>
        </w:tc>
        <w:tc>
          <w:tcPr>
            <w:tcW w:type="dxa" w:w="2520"/>
            <w:shd w:fill="F7FAFC"/>
            <w:tcMar>
              <w:top w:w="65" w:type="dxa"/>
              <w:bottom w:w="65" w:type="dxa"/>
              <w:left w:w="100" w:type="dxa"/>
              <w:right w:w="100" w:type="dxa"/>
            </w:tcMar>
          </w:tcPr>
          <w:p>
            <w:r>
              <w:rPr>
                <w:rFonts w:ascii="Calibri" w:hAnsi="Calibri"/>
                <w:color w:val="2D3748"/>
                <w:sz w:val="15"/>
              </w:rPr>
              <w:t>Mid-Term Analytical Completion: Delivery of laboratory data sheets</w:t>
            </w:r>
          </w:p>
        </w:tc>
        <w:tc>
          <w:tcPr>
            <w:tcW w:type="dxa" w:w="2520"/>
            <w:shd w:fill="F7FAFC"/>
            <w:tcMar>
              <w:top w:w="65" w:type="dxa"/>
              <w:bottom w:w="65" w:type="dxa"/>
              <w:left w:w="100" w:type="dxa"/>
              <w:right w:w="100" w:type="dxa"/>
            </w:tcMar>
          </w:tcPr>
          <w:p>
            <w:r>
              <w:rPr>
                <w:rFonts w:ascii="Calibri" w:hAnsi="Calibri"/>
                <w:color w:val="2D3748"/>
                <w:sz w:val="15"/>
              </w:rPr>
              <w:t>40.0%</w:t>
            </w:r>
          </w:p>
        </w:tc>
        <w:tc>
          <w:tcPr>
            <w:tcW w:type="dxa" w:w="2520"/>
            <w:shd w:fill="F7FAFC"/>
            <w:tcMar>
              <w:top w:w="65" w:type="dxa"/>
              <w:bottom w:w="65" w:type="dxa"/>
              <w:left w:w="100" w:type="dxa"/>
              <w:right w:w="100" w:type="dxa"/>
            </w:tcMar>
          </w:tcPr>
          <w:p>
            <w:r>
              <w:rPr>
                <w:rFonts w:ascii="Calibri" w:hAnsi="Calibri"/>
                <w:color w:val="2D3748"/>
                <w:sz w:val="15"/>
              </w:rPr>
              <w:t>₹69,200 + GST</w:t>
            </w:r>
          </w:p>
        </w:tc>
      </w:tr>
      <w:tr>
        <w:trPr>
          <w:cantSplit/>
        </w:trPr>
        <w:tc>
          <w:tcPr>
            <w:tcW w:type="dxa" w:w="2520"/>
            <w:tcMar>
              <w:top w:w="65" w:type="dxa"/>
              <w:bottom w:w="65" w:type="dxa"/>
              <w:left w:w="100" w:type="dxa"/>
              <w:right w:w="100" w:type="dxa"/>
            </w:tcMar>
          </w:tcPr>
          <w:p>
            <w:r>
              <w:rPr>
                <w:rFonts w:ascii="Calibri" w:hAnsi="Calibri"/>
                <w:color w:val="2D3748"/>
                <w:sz w:val="15"/>
              </w:rPr>
              <w:t>Milestone 3</w:t>
            </w:r>
          </w:p>
        </w:tc>
        <w:tc>
          <w:tcPr>
            <w:tcW w:type="dxa" w:w="2520"/>
            <w:tcMar>
              <w:top w:w="65" w:type="dxa"/>
              <w:bottom w:w="65" w:type="dxa"/>
              <w:left w:w="100" w:type="dxa"/>
              <w:right w:w="100" w:type="dxa"/>
            </w:tcMar>
          </w:tcPr>
          <w:p>
            <w:r>
              <w:rPr>
                <w:rFonts w:ascii="Calibri" w:hAnsi="Calibri"/>
                <w:color w:val="2D3748"/>
                <w:sz w:val="15"/>
              </w:rPr>
              <w:t>Final Report Acceptance: Delivery of Final Technical Report &amp; Briefing</w:t>
            </w:r>
          </w:p>
        </w:tc>
        <w:tc>
          <w:tcPr>
            <w:tcW w:type="dxa" w:w="2520"/>
            <w:tcMar>
              <w:top w:w="65" w:type="dxa"/>
              <w:bottom w:w="65" w:type="dxa"/>
              <w:left w:w="100" w:type="dxa"/>
              <w:right w:w="100" w:type="dxa"/>
            </w:tcMar>
          </w:tcPr>
          <w:p>
            <w:r>
              <w:rPr>
                <w:rFonts w:ascii="Calibri" w:hAnsi="Calibri"/>
                <w:color w:val="2D3748"/>
                <w:sz w:val="15"/>
              </w:rPr>
              <w:t>20.0%</w:t>
            </w:r>
          </w:p>
        </w:tc>
        <w:tc>
          <w:tcPr>
            <w:tcW w:type="dxa" w:w="2520"/>
            <w:tcMar>
              <w:top w:w="65" w:type="dxa"/>
              <w:bottom w:w="65" w:type="dxa"/>
              <w:left w:w="100" w:type="dxa"/>
              <w:right w:w="100" w:type="dxa"/>
            </w:tcMar>
          </w:tcPr>
          <w:p>
            <w:r>
              <w:rPr>
                <w:rFonts w:ascii="Calibri" w:hAnsi="Calibri"/>
                <w:color w:val="2D3748"/>
                <w:sz w:val="15"/>
              </w:rPr>
              <w:t>₹34,600 + GST</w:t>
            </w:r>
          </w:p>
        </w:tc>
      </w:tr>
      <w:tr>
        <w:trPr>
          <w:cantSplit/>
        </w:trPr>
        <w:tc>
          <w:tcPr>
            <w:tcW w:type="dxa" w:w="2520"/>
            <w:shd w:fill="F7FAFC"/>
            <w:tcMar>
              <w:top w:w="65" w:type="dxa"/>
              <w:bottom w:w="65" w:type="dxa"/>
              <w:left w:w="100" w:type="dxa"/>
              <w:right w:w="100" w:type="dxa"/>
            </w:tcMar>
            <w:shd w:fill="EDF2F7"/>
          </w:tcPr>
          <w:p>
            <w:r>
              <w:rPr>
                <w:rFonts w:ascii="Calibri" w:hAnsi="Calibri"/>
                <w:b/>
                <w:color w:val="2D3748"/>
                <w:sz w:val="15"/>
              </w:rPr>
              <w:t>TOTAL</w:t>
            </w:r>
          </w:p>
        </w:tc>
        <w:tc>
          <w:tcPr>
            <w:tcW w:type="dxa" w:w="2520"/>
            <w:shd w:fill="F7FAFC"/>
            <w:tcMar>
              <w:top w:w="65" w:type="dxa"/>
              <w:bottom w:w="65" w:type="dxa"/>
              <w:left w:w="100" w:type="dxa"/>
              <w:right w:w="100" w:type="dxa"/>
            </w:tcMar>
            <w:shd w:fill="EDF2F7"/>
          </w:tcPr>
          <w:p>
            <w:r>
              <w:rPr>
                <w:rFonts w:ascii="Calibri" w:hAnsi="Calibri"/>
                <w:b/>
                <w:color w:val="2D3748"/>
                <w:sz w:val="15"/>
              </w:rPr>
              <w:t>Consolidated Project Milestone Value</w:t>
            </w:r>
          </w:p>
        </w:tc>
        <w:tc>
          <w:tcPr>
            <w:tcW w:type="dxa" w:w="2520"/>
            <w:shd w:fill="F7FAFC"/>
            <w:tcMar>
              <w:top w:w="65" w:type="dxa"/>
              <w:bottom w:w="65" w:type="dxa"/>
              <w:left w:w="100" w:type="dxa"/>
              <w:right w:w="100" w:type="dxa"/>
            </w:tcMar>
            <w:shd w:fill="EDF2F7"/>
          </w:tcPr>
          <w:p>
            <w:r>
              <w:rPr>
                <w:rFonts w:ascii="Calibri" w:hAnsi="Calibri"/>
                <w:b/>
                <w:color w:val="2D3748"/>
                <w:sz w:val="15"/>
              </w:rPr>
              <w:t>100.0%</w:t>
            </w:r>
          </w:p>
        </w:tc>
        <w:tc>
          <w:tcPr>
            <w:tcW w:type="dxa" w:w="2520"/>
            <w:shd w:fill="F7FAFC"/>
            <w:tcMar>
              <w:top w:w="65" w:type="dxa"/>
              <w:bottom w:w="65" w:type="dxa"/>
              <w:left w:w="100" w:type="dxa"/>
              <w:right w:w="100" w:type="dxa"/>
            </w:tcMar>
            <w:shd w:fill="EDF2F7"/>
          </w:tcPr>
          <w:p>
            <w:r>
              <w:rPr>
                <w:rFonts w:ascii="Calibri" w:hAnsi="Calibri"/>
                <w:b/>
                <w:color w:val="2D3748"/>
                <w:sz w:val="15"/>
              </w:rPr>
              <w:t>₹1,73,000 + GST</w:t>
            </w:r>
          </w:p>
        </w:tc>
      </w:tr>
    </w:tbl>
    <w:p>
      <w:pPr>
        <w:keepNext/>
        <w:spacing w:before="260" w:after="60"/>
      </w:pPr>
      <w:r>
        <w:rPr>
          <w:rFonts w:ascii="Calibri" w:hAnsi="Calibri"/>
          <w:b/>
          <w:color w:val="1A365D"/>
          <w:sz w:val="23"/>
        </w:rPr>
        <w:t>14. Assumptions, Exclusions &amp; Risk Management</w:t>
      </w:r>
    </w:p>
    <w:p>
      <w:pPr>
        <w:spacing w:before="0" w:after="60" w:line="276" w:lineRule="auto"/>
      </w:pPr>
      <w:r>
        <w:rPr>
          <w:rFonts w:ascii="Calibri" w:hAnsi="Calibri"/>
          <w:color w:val="2D3748"/>
          <w:sz w:val="17"/>
        </w:rPr>
        <w:t>Key operational assumptions and risk mitigations governing execution:</w:t>
      </w:r>
    </w:p>
    <w:p>
      <w:pPr>
        <w:spacing w:before="0" w:after="60" w:line="276" w:lineRule="auto"/>
      </w:pPr>
      <w:r>
        <w:rPr>
          <w:rFonts w:ascii="Calibri" w:hAnsi="Calibri"/>
          <w:b/>
          <w:color w:val="1A365D"/>
          <w:sz w:val="17"/>
        </w:rPr>
        <w:t xml:space="preserve">Assumption 1: </w:t>
      </w:r>
      <w:r>
        <w:rPr>
          <w:rFonts w:ascii="Calibri" w:hAnsi="Calibri"/>
          <w:color w:val="2D3748"/>
          <w:sz w:val="17"/>
        </w:rPr>
        <w:t>• Sample Custody &amp; Authenticity: Client is responsible for supplying genuine, traceable Tanzanian dal and Indian benchmark dal with completed Sample Metadata Forms. Delays in sample arrival will shift project milestones accordingly.</w:t>
      </w:r>
    </w:p>
    <w:p>
      <w:pPr>
        <w:spacing w:before="0" w:after="60" w:line="276" w:lineRule="auto"/>
      </w:pPr>
      <w:r>
        <w:rPr>
          <w:rFonts w:ascii="Calibri" w:hAnsi="Calibri"/>
          <w:b/>
          <w:color w:val="1A365D"/>
          <w:sz w:val="17"/>
        </w:rPr>
        <w:t xml:space="preserve">Assumption 2: </w:t>
      </w:r>
      <w:r>
        <w:rPr>
          <w:rFonts w:ascii="Calibri" w:hAnsi="Calibri"/>
          <w:color w:val="2D3748"/>
          <w:sz w:val="17"/>
        </w:rPr>
        <w:t>• External Laboratory Throughput: Specialized testing at candidate partner institutions is subject to instrument queue times. Any laboratory delays will be communicated immediately without cost escalation.</w:t>
      </w:r>
    </w:p>
    <w:p>
      <w:pPr>
        <w:spacing w:before="0" w:after="60" w:line="276" w:lineRule="auto"/>
      </w:pPr>
      <w:r>
        <w:rPr>
          <w:rFonts w:ascii="Calibri" w:hAnsi="Calibri"/>
          <w:b/>
          <w:color w:val="1A365D"/>
          <w:sz w:val="17"/>
        </w:rPr>
        <w:t xml:space="preserve">Risk Mitigation: </w:t>
      </w:r>
      <w:r>
        <w:rPr>
          <w:rFonts w:ascii="Calibri" w:hAnsi="Calibri"/>
          <w:color w:val="2D3748"/>
          <w:sz w:val="17"/>
        </w:rPr>
        <w:t>• Diagnostic Risk Control: If preliminary assays reveal anomalous composition (e.g. extreme moisture deviation or heavy mold infestation), testing will pause immediately for client review before exhausting budget.</w:t>
      </w:r>
    </w:p>
    <w:p>
      <w:pPr>
        <w:keepNext/>
        <w:spacing w:before="260" w:after="60"/>
      </w:pPr>
      <w:r>
        <w:rPr>
          <w:rFonts w:ascii="Calibri" w:hAnsi="Calibri"/>
          <w:b/>
          <w:color w:val="1A365D"/>
          <w:sz w:val="23"/>
        </w:rPr>
        <w:t>15. Confidentiality, Data Ownership &amp; Sample Retention</w:t>
      </w:r>
    </w:p>
    <w:p>
      <w:pPr>
        <w:spacing w:before="0" w:after="60" w:line="276" w:lineRule="auto"/>
      </w:pPr>
      <w:r>
        <w:rPr>
          <w:rFonts w:ascii="Calibri" w:hAnsi="Calibri"/>
          <w:color w:val="2D3748"/>
          <w:sz w:val="17"/>
        </w:rPr>
        <w:t>• Client Data Ownership: Under Section 31 of the source SOW, all experimental data, laboratory test certificates, statistical models, and final reports generated under Phase 1 remain the exclusive intellectual and commercial property of the Client.</w:t>
      </w:r>
    </w:p>
    <w:p>
      <w:pPr>
        <w:spacing w:before="0" w:after="60" w:line="276" w:lineRule="auto"/>
      </w:pPr>
      <w:r>
        <w:rPr>
          <w:rFonts w:ascii="Calibri" w:hAnsi="Calibri"/>
          <w:color w:val="2D3748"/>
          <w:sz w:val="17"/>
        </w:rPr>
        <w:t>• Non-Disclosure Obligations: FinnoaQ treats all sample identities, commercial origins, pricing data, and technical findings as strict commercial-in-confidence material. No publication, presentation, or external dissemination will occur without prior written authorization from the Client.</w:t>
      </w:r>
    </w:p>
    <w:p>
      <w:pPr>
        <w:spacing w:before="0" w:after="60" w:line="276" w:lineRule="auto"/>
      </w:pPr>
      <w:r>
        <w:rPr>
          <w:rFonts w:ascii="Calibri" w:hAnsi="Calibri"/>
          <w:color w:val="2D3748"/>
          <w:sz w:val="17"/>
        </w:rPr>
        <w:t>• Sample Retention: Unused grain material and a 500 g sealed reference retention sample per lot will be retained under controlled climate storage (18–22°C, dry conditions) for six months following report submission for verification or dispute resolution.</w:t>
      </w:r>
    </w:p>
    <w:p>
      <w:pPr>
        <w:keepNext/>
        <w:spacing w:before="260" w:after="60"/>
      </w:pPr>
      <w:r>
        <w:rPr>
          <w:rFonts w:ascii="Calibri" w:hAnsi="Calibri"/>
          <w:b/>
          <w:color w:val="1A365D"/>
          <w:sz w:val="23"/>
        </w:rPr>
        <w:t>16. Project Acceptance &amp; Client Onboarding Signature Block</w:t>
      </w:r>
    </w:p>
    <w:p>
      <w:pPr>
        <w:spacing w:before="0" w:after="60" w:line="276" w:lineRule="auto"/>
      </w:pPr>
      <w:r>
        <w:rPr>
          <w:rFonts w:ascii="Calibri" w:hAnsi="Calibri"/>
          <w:color w:val="2D3748"/>
          <w:sz w:val="17"/>
        </w:rPr>
        <w:t>To initiate the Phase 1 Comparative Diagnostic R&amp;D Study, please endorse the authorization block below and return a signed copy to FinnoaQ Agro-Industrial Technologies Ltd.</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5040"/>
        <w:gridCol w:w="5040"/>
      </w:tblGrid>
      <w:tr>
        <w:trPr>
          <w:tblHeader/>
          <w:cantSplit/>
        </w:trPr>
        <w:tc>
          <w:tcPr>
            <w:tcW w:type="dxa" w:w="5040"/>
            <w:shd w:fill="1A365D"/>
            <w:tcMar>
              <w:top w:w="100" w:type="dxa"/>
              <w:bottom w:w="100" w:type="dxa"/>
              <w:left w:w="100" w:type="dxa"/>
              <w:right w:w="100" w:type="dxa"/>
            </w:tcMar>
          </w:tcPr>
          <w:p>
            <w:pPr>
              <w:jc w:val="left"/>
            </w:pPr>
            <w:r>
              <w:t>CLIENT ACCEPTANCE &amp; AUTHORIZATION</w:t>
            </w:r>
          </w:p>
        </w:tc>
        <w:tc>
          <w:tcPr>
            <w:tcW w:type="dxa" w:w="5040"/>
            <w:shd w:fill="1A365D"/>
            <w:tcMar>
              <w:top w:w="100" w:type="dxa"/>
              <w:bottom w:w="100" w:type="dxa"/>
              <w:left w:w="100" w:type="dxa"/>
              <w:right w:w="100" w:type="dxa"/>
            </w:tcMar>
          </w:tcPr>
          <w:p>
            <w:pPr>
              <w:jc w:val="left"/>
            </w:pPr>
            <w:r>
              <w:t>EXECUTING R&amp;D CONTRACTOR CONFIRMATION</w:t>
            </w:r>
          </w:p>
        </w:tc>
      </w:tr>
      <w:tr>
        <w:trPr>
          <w:cantSplit/>
        </w:trPr>
        <w:tc>
          <w:tcPr>
            <w:tcW w:type="dxa" w:w="5040"/>
            <w:tcMar>
              <w:top w:w="65" w:type="dxa"/>
              <w:bottom w:w="65" w:type="dxa"/>
              <w:left w:w="100" w:type="dxa"/>
              <w:right w:w="100" w:type="dxa"/>
            </w:tcMar>
          </w:tcPr>
          <w:p>
            <w:r>
              <w:rPr>
                <w:rFonts w:ascii="Calibri" w:hAnsi="Calibri"/>
                <w:color w:val="2D3748"/>
                <w:sz w:val="16"/>
              </w:rPr>
              <w:t>Client Entity: Technical Advisory Panel</w:t>
            </w:r>
          </w:p>
        </w:tc>
        <w:tc>
          <w:tcPr>
            <w:tcW w:type="dxa" w:w="5040"/>
            <w:tcMar>
              <w:top w:w="65" w:type="dxa"/>
              <w:bottom w:w="65" w:type="dxa"/>
              <w:left w:w="100" w:type="dxa"/>
              <w:right w:w="100" w:type="dxa"/>
            </w:tcMar>
          </w:tcPr>
          <w:p>
            <w:r>
              <w:rPr>
                <w:rFonts w:ascii="Calibri" w:hAnsi="Calibri"/>
                <w:color w:val="2D3748"/>
                <w:sz w:val="16"/>
              </w:rPr>
              <w:t>Contractor: FinnoaQ Agro-Industrial Technologies Ltd.</w:t>
            </w:r>
          </w:p>
        </w:tc>
      </w:tr>
      <w:tr>
        <w:trPr>
          <w:cantSplit/>
        </w:trPr>
        <w:tc>
          <w:tcPr>
            <w:tcW w:type="dxa" w:w="5040"/>
            <w:shd w:fill="F7FAFC"/>
            <w:tcMar>
              <w:top w:w="65" w:type="dxa"/>
              <w:bottom w:w="65" w:type="dxa"/>
              <w:left w:w="100" w:type="dxa"/>
              <w:right w:w="100" w:type="dxa"/>
            </w:tcMar>
          </w:tcPr>
          <w:p>
            <w:r>
              <w:rPr>
                <w:rFonts w:ascii="Calibri" w:hAnsi="Calibri"/>
                <w:color w:val="2D3748"/>
                <w:sz w:val="16"/>
              </w:rPr>
              <w:t>Authorized Signatory: Technical Advisory Panel</w:t>
            </w:r>
          </w:p>
        </w:tc>
        <w:tc>
          <w:tcPr>
            <w:tcW w:type="dxa" w:w="5040"/>
            <w:shd w:fill="F7FAFC"/>
            <w:tcMar>
              <w:top w:w="65" w:type="dxa"/>
              <w:bottom w:w="65" w:type="dxa"/>
              <w:left w:w="100" w:type="dxa"/>
              <w:right w:w="100" w:type="dxa"/>
            </w:tcMar>
          </w:tcPr>
          <w:p>
            <w:r>
              <w:rPr>
                <w:rFonts w:ascii="Calibri" w:hAnsi="Calibri"/>
                <w:color w:val="2D3748"/>
                <w:sz w:val="16"/>
              </w:rPr>
              <w:t>Authorized Lead Engineer: Sourish Senapati</w:t>
            </w:r>
          </w:p>
        </w:tc>
      </w:tr>
      <w:tr>
        <w:trPr>
          <w:cantSplit/>
        </w:trPr>
        <w:tc>
          <w:tcPr>
            <w:tcW w:type="dxa" w:w="5040"/>
            <w:tcMar>
              <w:top w:w="65" w:type="dxa"/>
              <w:bottom w:w="65" w:type="dxa"/>
              <w:left w:w="100" w:type="dxa"/>
              <w:right w:w="100" w:type="dxa"/>
            </w:tcMar>
          </w:tcPr>
          <w:p>
            <w:r>
              <w:rPr>
                <w:rFonts w:ascii="Calibri" w:hAnsi="Calibri"/>
                <w:color w:val="2D3748"/>
                <w:sz w:val="16"/>
              </w:rPr>
              <w:t>Designation: CEO &amp; Director</w:t>
            </w:r>
          </w:p>
        </w:tc>
        <w:tc>
          <w:tcPr>
            <w:tcW w:type="dxa" w:w="5040"/>
            <w:tcMar>
              <w:top w:w="65" w:type="dxa"/>
              <w:bottom w:w="65" w:type="dxa"/>
              <w:left w:w="100" w:type="dxa"/>
              <w:right w:w="100" w:type="dxa"/>
            </w:tcMar>
          </w:tcPr>
          <w:p>
            <w:r>
              <w:rPr>
                <w:rFonts w:ascii="Calibri" w:hAnsi="Calibri"/>
                <w:color w:val="2D3748"/>
                <w:sz w:val="16"/>
              </w:rPr>
              <w:t>Designation: Lead Chemical &amp; Process Engineer</w:t>
            </w:r>
          </w:p>
        </w:tc>
      </w:tr>
      <w:tr>
        <w:trPr>
          <w:cantSplit/>
        </w:trPr>
        <w:tc>
          <w:tcPr>
            <w:tcW w:type="dxa" w:w="5040"/>
            <w:shd w:fill="F7FAFC"/>
            <w:tcMar>
              <w:top w:w="65" w:type="dxa"/>
              <w:bottom w:w="65" w:type="dxa"/>
              <w:left w:w="100" w:type="dxa"/>
              <w:right w:w="100" w:type="dxa"/>
            </w:tcMar>
          </w:tcPr>
          <w:p>
            <w:r>
              <w:rPr>
                <w:rFonts w:ascii="Calibri" w:hAnsi="Calibri"/>
                <w:color w:val="2D3748"/>
                <w:sz w:val="16"/>
              </w:rPr>
              <w:t>Scope Selection: [  ] Option 1 (₹1.73L)  [  ] Option 2 (₹2.85L)</w:t>
            </w:r>
          </w:p>
        </w:tc>
        <w:tc>
          <w:tcPr>
            <w:tcW w:type="dxa" w:w="5040"/>
            <w:shd w:fill="F7FAFC"/>
            <w:tcMar>
              <w:top w:w="65" w:type="dxa"/>
              <w:bottom w:w="65" w:type="dxa"/>
              <w:left w:w="100" w:type="dxa"/>
              <w:right w:w="100" w:type="dxa"/>
            </w:tcMar>
          </w:tcPr>
          <w:p>
            <w:r>
              <w:rPr>
                <w:rFonts w:ascii="Calibri" w:hAnsi="Calibri"/>
                <w:color w:val="2D3748"/>
                <w:sz w:val="16"/>
              </w:rPr>
              <w:t>Technical Guidance: FinnoaQ Process Engineering Board</w:t>
            </w:r>
          </w:p>
        </w:tc>
      </w:tr>
      <w:tr>
        <w:trPr>
          <w:cantSplit/>
        </w:trPr>
        <w:tc>
          <w:tcPr>
            <w:tcW w:type="dxa" w:w="5040"/>
            <w:tcMar>
              <w:top w:w="65" w:type="dxa"/>
              <w:bottom w:w="65" w:type="dxa"/>
              <w:left w:w="100" w:type="dxa"/>
              <w:right w:w="100" w:type="dxa"/>
            </w:tcMar>
          </w:tcPr>
          <w:p>
            <w:r>
              <w:rPr>
                <w:rFonts w:ascii="Calibri" w:hAnsi="Calibri"/>
                <w:color w:val="2D3748"/>
                <w:sz w:val="16"/>
              </w:rPr>
              <w:t>Signature &amp; Date: ____________________</w:t>
            </w:r>
          </w:p>
        </w:tc>
        <w:tc>
          <w:tcPr>
            <w:tcW w:type="dxa" w:w="5040"/>
            <w:tcMar>
              <w:top w:w="65" w:type="dxa"/>
              <w:bottom w:w="65" w:type="dxa"/>
              <w:left w:w="100" w:type="dxa"/>
              <w:right w:w="100" w:type="dxa"/>
            </w:tcMar>
          </w:tcPr>
          <w:p>
            <w:r>
              <w:rPr>
                <w:rFonts w:ascii="Calibri" w:hAnsi="Calibri"/>
                <w:color w:val="2D3748"/>
                <w:sz w:val="16"/>
              </w:rPr>
              <w:t>Signature &amp; Date: ____________________</w:t>
            </w:r>
          </w:p>
        </w:tc>
      </w:tr>
    </w:tbl>
    <w:p>
      <w:r>
        <w:br w:type="page"/>
      </w:r>
    </w:p>
    <w:p>
      <w:pPr>
        <w:keepNext/>
        <w:spacing w:before="260" w:after="60"/>
      </w:pPr>
      <w:r>
        <w:rPr>
          <w:rFonts w:ascii="Calibri" w:hAnsi="Calibri"/>
          <w:b/>
          <w:color w:val="1A365D"/>
          <w:sz w:val="23"/>
        </w:rPr>
        <w:t>Annexure A: Laboratory Selection Criteria &amp; Candidate Partner Institutions</w:t>
      </w:r>
    </w:p>
    <w:p>
      <w:pPr>
        <w:spacing w:before="0" w:after="60" w:line="276" w:lineRule="auto"/>
      </w:pPr>
      <w:r>
        <w:rPr>
          <w:rFonts w:ascii="Calibri" w:hAnsi="Calibri"/>
          <w:color w:val="2D3748"/>
          <w:sz w:val="17"/>
        </w:rPr>
        <w:t>Under Section 23 of the source SOW, specialized analytical modules requiring accredited analytical equipment will be coordinated with candidate institutions based on technical capability, method validity, turnaround time, and competitive quotation. These institutions are candidates for quotation and evaluation—not pre-committed subcontractors:</w:t>
      </w:r>
    </w:p>
    <w:p>
      <w:pPr>
        <w:spacing w:before="0" w:after="60" w:line="276" w:lineRule="auto"/>
      </w:pPr>
      <w:r>
        <w:rPr>
          <w:rFonts w:ascii="Calibri" w:hAnsi="Calibri"/>
          <w:b/>
          <w:color w:val="1A365D"/>
          <w:sz w:val="17"/>
        </w:rPr>
        <w:t xml:space="preserve">1. </w:t>
      </w:r>
      <w:r>
        <w:rPr>
          <w:rFonts w:ascii="Calibri" w:hAnsi="Calibri"/>
          <w:color w:val="2D3748"/>
          <w:sz w:val="17"/>
        </w:rPr>
        <w:t>• Eureka Analytical Services Pvt. Ltd. (Kolkata / Bangalore): NABL accredited food testing facility; candidate for proximate composition, heavy metals, pesticide residues, and mineral profiling via ICP-OES.</w:t>
      </w:r>
    </w:p>
    <w:p>
      <w:pPr>
        <w:spacing w:before="0" w:after="60" w:line="276" w:lineRule="auto"/>
      </w:pPr>
      <w:r>
        <w:rPr>
          <w:rFonts w:ascii="Calibri" w:hAnsi="Calibri"/>
          <w:b/>
          <w:color w:val="1A365D"/>
          <w:sz w:val="17"/>
        </w:rPr>
        <w:t xml:space="preserve">2. </w:t>
      </w:r>
      <w:r>
        <w:rPr>
          <w:rFonts w:ascii="Calibri" w:hAnsi="Calibri"/>
          <w:color w:val="2D3748"/>
          <w:sz w:val="17"/>
        </w:rPr>
        <w:t>• Mitra S.K. Private Limited (Kolkata): NABL / FSSAI notified laboratory with extensive commodity testing infrastructure; candidate for proximate chemical analysis, fiber fractionation, and grain physical parameters.</w:t>
      </w:r>
    </w:p>
    <w:p>
      <w:pPr>
        <w:spacing w:before="0" w:after="60" w:line="276" w:lineRule="auto"/>
      </w:pPr>
      <w:r>
        <w:rPr>
          <w:rFonts w:ascii="Calibri" w:hAnsi="Calibri"/>
          <w:b/>
          <w:color w:val="1A365D"/>
          <w:sz w:val="17"/>
        </w:rPr>
        <w:t xml:space="preserve">3. </w:t>
      </w:r>
      <w:r>
        <w:rPr>
          <w:rFonts w:ascii="Calibri" w:hAnsi="Calibri"/>
          <w:color w:val="2D3748"/>
          <w:sz w:val="17"/>
        </w:rPr>
        <w:t>• CSIR-Central Glass &amp; Ceramic Research Institute (CGCRI, Kolkata): Premier central research institute; candidate for advanced materials characterization, scanning electron microscopy (SEM), and thermal analysis.</w:t>
      </w:r>
    </w:p>
    <w:p>
      <w:pPr>
        <w:spacing w:before="0" w:after="60" w:line="276" w:lineRule="auto"/>
      </w:pPr>
      <w:r>
        <w:rPr>
          <w:rFonts w:ascii="Calibri" w:hAnsi="Calibri"/>
          <w:b/>
          <w:color w:val="1A365D"/>
          <w:sz w:val="17"/>
        </w:rPr>
        <w:t xml:space="preserve">4. </w:t>
      </w:r>
      <w:r>
        <w:rPr>
          <w:rFonts w:ascii="Calibri" w:hAnsi="Calibri"/>
          <w:color w:val="2D3748"/>
          <w:sz w:val="17"/>
        </w:rPr>
        <w:t>• Department of Chemical Engineering, IIT Kharagpur: Premier academic institution; candidate for advanced biophysical characterization, differential scanning calorimetry (DSC), and texture profile analysis under research collaboration protocols.</w:t>
      </w:r>
    </w:p>
    <w:p>
      <w:pPr>
        <w:keepNext/>
        <w:spacing w:before="260" w:after="60"/>
      </w:pPr>
      <w:r>
        <w:rPr>
          <w:rFonts w:ascii="Calibri" w:hAnsi="Calibri"/>
          <w:b/>
          <w:color w:val="1A365D"/>
          <w:sz w:val="23"/>
        </w:rPr>
        <w:t>Annexure B: Provisional 15,000 kg/day Plant Concept &amp; Independent Mass-Balance Audit (Client Feedback B)</w:t>
      </w:r>
    </w:p>
    <w:p>
      <w:pPr>
        <w:spacing w:before="0" w:after="60" w:line="276" w:lineRule="auto"/>
      </w:pPr>
      <w:r>
        <w:rPr>
          <w:rFonts w:ascii="Calibri" w:hAnsi="Calibri"/>
          <w:color w:val="2D3748"/>
          <w:sz w:val="17"/>
        </w:rPr>
        <w:t>To resolve Client Feedback B, this annexure provides the complete mathematical and thermodynamic derivation of the provisional 15,000 kg/day industrial processing concept. The plant concept is strictly a downstream conceptual scenario; final engineering sizing is gated upon Phase 1 and Phase 2 empirical data.</w:t>
      </w:r>
    </w:p>
    <w:p>
      <w:pPr>
        <w:keepNext/>
        <w:spacing w:before="180" w:after="40"/>
      </w:pPr>
      <w:r>
        <w:rPr>
          <w:rFonts w:ascii="Calibri" w:hAnsi="Calibri"/>
          <w:b/>
          <w:color w:val="2B6CB0"/>
          <w:sz w:val="20"/>
        </w:rPr>
        <w:t>B.1 Mathematical Derivation &amp; Basis Reconciliation</w:t>
      </w:r>
    </w:p>
    <w:p>
      <w:pPr>
        <w:spacing w:before="0" w:after="60" w:line="276" w:lineRule="auto"/>
      </w:pPr>
      <w:r>
        <w:rPr>
          <w:rFonts w:ascii="Calibri" w:hAnsi="Calibri"/>
          <w:color w:val="2D3748"/>
          <w:sz w:val="17"/>
        </w:rPr>
        <w:t>Incoming Raw Grain: Total feed M_feed = 15,000.000 kg/day at 10.5% wet-basis moisture (X_wb = 0.105). Dry solids M_ds,in = 15,000 x (1 - 0.105) = 13,425.000 kg/day. Intrinsic grain water M_water,in = 1,575.000 kg/day.</w:t>
      </w:r>
    </w:p>
    <w:p>
      <w:pPr>
        <w:spacing w:before="0" w:after="60" w:line="276" w:lineRule="auto"/>
      </w:pPr>
      <w:r>
        <w:rPr>
          <w:rFonts w:ascii="Calibri" w:hAnsi="Calibri"/>
          <w:color w:val="2D3748"/>
          <w:sz w:val="17"/>
        </w:rPr>
        <w:t>Solids Loss Audit: One reported assumption states an absolute solids loss of 184.000 kg/day, leaving 13,241.000 kg/day dry solids. This loss represents exactly 1.370577% (approx. 1.3706%) of incoming dry solids. An alternate assumption in earlier notes stated a 1.46% solids loss, which would equal 13,425 x 0.0146 = 196.005 kg/day loss, leaving 13,228.995 kg/day dry solids. These two assumptions are mathematically distinct. For this reconciliation, the audited documented solids value of 13,241.000 kg/day is adopted.</w:t>
      </w:r>
    </w:p>
    <w:p>
      <w:pPr>
        <w:spacing w:before="0" w:after="60" w:line="276" w:lineRule="auto"/>
      </w:pPr>
      <w:r>
        <w:rPr>
          <w:rFonts w:ascii="Calibri" w:hAnsi="Calibri"/>
          <w:color w:val="2D3748"/>
          <w:sz w:val="17"/>
        </w:rPr>
        <w:t>Final Dried Product: Commercial product target moisture is 10.0% wet-basis (X_wb = 0.100). Total product mass M_prod = 13,241.000 / (1 - 0.100) = 14,712.222 kg/day, containing 1,471.222 kg/day water.</w:t>
      </w:r>
    </w:p>
    <w:p>
      <w:pPr>
        <w:keepNext/>
        <w:spacing w:before="180" w:after="40"/>
      </w:pPr>
      <w:r>
        <w:rPr>
          <w:rFonts w:ascii="Calibri" w:hAnsi="Calibri"/>
          <w:b/>
          <w:color w:val="2B6CB0"/>
          <w:sz w:val="20"/>
        </w:rPr>
        <w:t>B.2 Reconciled Pre-Dryer &amp; Evaporation Scenarios</w:t>
      </w:r>
    </w:p>
    <w:p>
      <w:pPr>
        <w:spacing w:before="0" w:after="60" w:line="276" w:lineRule="auto"/>
      </w:pPr>
      <w:r>
        <w:rPr>
          <w:rFonts w:ascii="Calibri" w:hAnsi="Calibri"/>
          <w:color w:val="2D3748"/>
          <w:sz w:val="17"/>
        </w:rPr>
        <w:t>Because post-drainage surface liquid retention has not yet been measured for the target Tanzanian lot, two competing scenarios are reconciled:</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600"/>
        <w:gridCol w:w="3168"/>
        <w:gridCol w:w="3312"/>
      </w:tblGrid>
      <w:tr>
        <w:trPr>
          <w:tblHeader/>
          <w:cantSplit/>
        </w:trPr>
        <w:tc>
          <w:tcPr>
            <w:tcW w:type="dxa" w:w="3360"/>
            <w:shd w:fill="1A365D"/>
            <w:tcMar>
              <w:top w:w="100" w:type="dxa"/>
              <w:bottom w:w="100" w:type="dxa"/>
              <w:left w:w="100" w:type="dxa"/>
              <w:right w:w="100" w:type="dxa"/>
            </w:tcMar>
          </w:tcPr>
          <w:p>
            <w:pPr>
              <w:jc w:val="left"/>
            </w:pPr>
            <w:r>
              <w:t>Mass &amp; Moisture Parameter</w:t>
            </w:r>
          </w:p>
        </w:tc>
        <w:tc>
          <w:tcPr>
            <w:tcW w:type="dxa" w:w="3360"/>
            <w:shd w:fill="1A365D"/>
            <w:tcMar>
              <w:top w:w="100" w:type="dxa"/>
              <w:bottom w:w="100" w:type="dxa"/>
              <w:left w:w="100" w:type="dxa"/>
              <w:right w:w="100" w:type="dxa"/>
            </w:tcMar>
          </w:tcPr>
          <w:p>
            <w:pPr>
              <w:jc w:val="left"/>
            </w:pPr>
            <w:r>
              <w:t>Scenario B1 (True 28.0% WB)</w:t>
            </w:r>
          </w:p>
        </w:tc>
        <w:tc>
          <w:tcPr>
            <w:tcW w:type="dxa" w:w="3360"/>
            <w:shd w:fill="1A365D"/>
            <w:tcMar>
              <w:top w:w="100" w:type="dxa"/>
              <w:bottom w:w="100" w:type="dxa"/>
              <w:left w:w="100" w:type="dxa"/>
              <w:right w:w="100" w:type="dxa"/>
            </w:tcMar>
          </w:tcPr>
          <w:p>
            <w:pPr>
              <w:jc w:val="left"/>
            </w:pPr>
            <w:r>
              <w:t>Scenario B2 (Reported 18,590 kg/day)</w:t>
            </w:r>
          </w:p>
        </w:tc>
      </w:tr>
      <w:tr>
        <w:trPr>
          <w:cantSplit/>
        </w:trPr>
        <w:tc>
          <w:tcPr>
            <w:tcW w:type="dxa" w:w="3360"/>
            <w:tcMar>
              <w:top w:w="65" w:type="dxa"/>
              <w:bottom w:w="65" w:type="dxa"/>
              <w:left w:w="100" w:type="dxa"/>
              <w:right w:w="100" w:type="dxa"/>
            </w:tcMar>
          </w:tcPr>
          <w:p>
            <w:r>
              <w:rPr>
                <w:rFonts w:ascii="Calibri" w:hAnsi="Calibri"/>
                <w:b/>
                <w:color w:val="2D3748"/>
                <w:sz w:val="15"/>
              </w:rPr>
              <w:t>Pre-Dryer Total Wet Stream Mass</w:t>
            </w:r>
          </w:p>
        </w:tc>
        <w:tc>
          <w:tcPr>
            <w:tcW w:type="dxa" w:w="3360"/>
            <w:tcMar>
              <w:top w:w="65" w:type="dxa"/>
              <w:bottom w:w="65" w:type="dxa"/>
              <w:left w:w="100" w:type="dxa"/>
              <w:right w:w="100" w:type="dxa"/>
            </w:tcMar>
          </w:tcPr>
          <w:p>
            <w:r>
              <w:rPr>
                <w:rFonts w:ascii="Calibri" w:hAnsi="Calibri"/>
                <w:color w:val="2D3748"/>
                <w:sz w:val="15"/>
              </w:rPr>
              <w:t>18,390.278 kg/day</w:t>
            </w:r>
          </w:p>
        </w:tc>
        <w:tc>
          <w:tcPr>
            <w:tcW w:type="dxa" w:w="3360"/>
            <w:tcMar>
              <w:top w:w="65" w:type="dxa"/>
              <w:bottom w:w="65" w:type="dxa"/>
              <w:left w:w="100" w:type="dxa"/>
              <w:right w:w="100" w:type="dxa"/>
            </w:tcMar>
          </w:tcPr>
          <w:p>
            <w:r>
              <w:rPr>
                <w:rFonts w:ascii="Calibri" w:hAnsi="Calibri"/>
                <w:color w:val="2D3748"/>
                <w:sz w:val="15"/>
              </w:rPr>
              <w:t>18,590.000 kg/day</w:t>
            </w:r>
          </w:p>
        </w:tc>
      </w:tr>
      <w:tr>
        <w:trPr>
          <w:cantSplit/>
        </w:trPr>
        <w:tc>
          <w:tcPr>
            <w:tcW w:type="dxa" w:w="3360"/>
            <w:shd w:fill="F7FAFC"/>
            <w:tcMar>
              <w:top w:w="65" w:type="dxa"/>
              <w:bottom w:w="65" w:type="dxa"/>
              <w:left w:w="100" w:type="dxa"/>
              <w:right w:w="100" w:type="dxa"/>
            </w:tcMar>
          </w:tcPr>
          <w:p>
            <w:r>
              <w:rPr>
                <w:rFonts w:ascii="Calibri" w:hAnsi="Calibri"/>
                <w:b/>
                <w:color w:val="2D3748"/>
                <w:sz w:val="15"/>
              </w:rPr>
              <w:t>Pre-Dryer Dry Solids Mass</w:t>
            </w:r>
          </w:p>
        </w:tc>
        <w:tc>
          <w:tcPr>
            <w:tcW w:type="dxa" w:w="3360"/>
            <w:shd w:fill="F7FAFC"/>
            <w:tcMar>
              <w:top w:w="65" w:type="dxa"/>
              <w:bottom w:w="65" w:type="dxa"/>
              <w:left w:w="100" w:type="dxa"/>
              <w:right w:w="100" w:type="dxa"/>
            </w:tcMar>
          </w:tcPr>
          <w:p>
            <w:r>
              <w:rPr>
                <w:rFonts w:ascii="Calibri" w:hAnsi="Calibri"/>
                <w:color w:val="2D3748"/>
                <w:sz w:val="15"/>
              </w:rPr>
              <w:t>13,241.000 kg/day</w:t>
            </w:r>
          </w:p>
        </w:tc>
        <w:tc>
          <w:tcPr>
            <w:tcW w:type="dxa" w:w="3360"/>
            <w:shd w:fill="F7FAFC"/>
            <w:tcMar>
              <w:top w:w="65" w:type="dxa"/>
              <w:bottom w:w="65" w:type="dxa"/>
              <w:left w:w="100" w:type="dxa"/>
              <w:right w:w="100" w:type="dxa"/>
            </w:tcMar>
          </w:tcPr>
          <w:p>
            <w:r>
              <w:rPr>
                <w:rFonts w:ascii="Calibri" w:hAnsi="Calibri"/>
                <w:color w:val="2D3748"/>
                <w:sz w:val="15"/>
              </w:rPr>
              <w:t>13,241.000 kg/day</w:t>
            </w:r>
          </w:p>
        </w:tc>
      </w:tr>
      <w:tr>
        <w:trPr>
          <w:cantSplit/>
        </w:trPr>
        <w:tc>
          <w:tcPr>
            <w:tcW w:type="dxa" w:w="3360"/>
            <w:tcMar>
              <w:top w:w="65" w:type="dxa"/>
              <w:bottom w:w="65" w:type="dxa"/>
              <w:left w:w="100" w:type="dxa"/>
              <w:right w:w="100" w:type="dxa"/>
            </w:tcMar>
          </w:tcPr>
          <w:p>
            <w:r>
              <w:rPr>
                <w:rFonts w:ascii="Calibri" w:hAnsi="Calibri"/>
                <w:b/>
                <w:color w:val="2D3748"/>
                <w:sz w:val="15"/>
              </w:rPr>
              <w:t>Pre-Dryer Water Content</w:t>
            </w:r>
          </w:p>
        </w:tc>
        <w:tc>
          <w:tcPr>
            <w:tcW w:type="dxa" w:w="3360"/>
            <w:tcMar>
              <w:top w:w="65" w:type="dxa"/>
              <w:bottom w:w="65" w:type="dxa"/>
              <w:left w:w="100" w:type="dxa"/>
              <w:right w:w="100" w:type="dxa"/>
            </w:tcMar>
          </w:tcPr>
          <w:p>
            <w:r>
              <w:rPr>
                <w:rFonts w:ascii="Calibri" w:hAnsi="Calibri"/>
                <w:color w:val="2D3748"/>
                <w:sz w:val="15"/>
              </w:rPr>
              <w:t>5,149.278 kg/day</w:t>
            </w:r>
          </w:p>
        </w:tc>
        <w:tc>
          <w:tcPr>
            <w:tcW w:type="dxa" w:w="3360"/>
            <w:tcMar>
              <w:top w:w="65" w:type="dxa"/>
              <w:bottom w:w="65" w:type="dxa"/>
              <w:left w:w="100" w:type="dxa"/>
              <w:right w:w="100" w:type="dxa"/>
            </w:tcMar>
          </w:tcPr>
          <w:p>
            <w:r>
              <w:rPr>
                <w:rFonts w:ascii="Calibri" w:hAnsi="Calibri"/>
                <w:color w:val="2D3748"/>
                <w:sz w:val="15"/>
              </w:rPr>
              <w:t>5,349.000 kg/day</w:t>
            </w:r>
          </w:p>
        </w:tc>
      </w:tr>
      <w:tr>
        <w:trPr>
          <w:cantSplit/>
        </w:trPr>
        <w:tc>
          <w:tcPr>
            <w:tcW w:type="dxa" w:w="3360"/>
            <w:shd w:fill="F7FAFC"/>
            <w:tcMar>
              <w:top w:w="65" w:type="dxa"/>
              <w:bottom w:w="65" w:type="dxa"/>
              <w:left w:w="100" w:type="dxa"/>
              <w:right w:w="100" w:type="dxa"/>
            </w:tcMar>
          </w:tcPr>
          <w:p>
            <w:r>
              <w:rPr>
                <w:rFonts w:ascii="Calibri" w:hAnsi="Calibri"/>
                <w:b/>
                <w:color w:val="2D3748"/>
                <w:sz w:val="15"/>
              </w:rPr>
              <w:t>Pre-Dryer Wet-Basis Moisture Content</w:t>
            </w:r>
          </w:p>
        </w:tc>
        <w:tc>
          <w:tcPr>
            <w:tcW w:type="dxa" w:w="3360"/>
            <w:shd w:fill="F7FAFC"/>
            <w:tcMar>
              <w:top w:w="65" w:type="dxa"/>
              <w:bottom w:w="65" w:type="dxa"/>
              <w:left w:w="100" w:type="dxa"/>
              <w:right w:w="100" w:type="dxa"/>
            </w:tcMar>
          </w:tcPr>
          <w:p>
            <w:r>
              <w:rPr>
                <w:rFonts w:ascii="Calibri" w:hAnsi="Calibri"/>
                <w:color w:val="2D3748"/>
                <w:sz w:val="15"/>
              </w:rPr>
              <w:t>28.0000% w/w</w:t>
            </w:r>
          </w:p>
        </w:tc>
        <w:tc>
          <w:tcPr>
            <w:tcW w:type="dxa" w:w="3360"/>
            <w:shd w:fill="F7FAFC"/>
            <w:tcMar>
              <w:top w:w="65" w:type="dxa"/>
              <w:bottom w:w="65" w:type="dxa"/>
              <w:left w:w="100" w:type="dxa"/>
              <w:right w:w="100" w:type="dxa"/>
            </w:tcMar>
          </w:tcPr>
          <w:p>
            <w:r>
              <w:rPr>
                <w:rFonts w:ascii="Calibri" w:hAnsi="Calibri"/>
                <w:color w:val="2D3748"/>
                <w:sz w:val="15"/>
              </w:rPr>
              <w:t>28.7735% w/w (Implied)</w:t>
            </w:r>
          </w:p>
        </w:tc>
      </w:tr>
      <w:tr>
        <w:trPr>
          <w:cantSplit/>
        </w:trPr>
        <w:tc>
          <w:tcPr>
            <w:tcW w:type="dxa" w:w="3360"/>
            <w:tcMar>
              <w:top w:w="65" w:type="dxa"/>
              <w:bottom w:w="65" w:type="dxa"/>
              <w:left w:w="100" w:type="dxa"/>
              <w:right w:w="100" w:type="dxa"/>
            </w:tcMar>
          </w:tcPr>
          <w:p>
            <w:r>
              <w:rPr>
                <w:rFonts w:ascii="Calibri" w:hAnsi="Calibri"/>
                <w:b/>
                <w:color w:val="2D3748"/>
                <w:sz w:val="15"/>
              </w:rPr>
              <w:t>Final Product Water (10.0% WB)</w:t>
            </w:r>
          </w:p>
        </w:tc>
        <w:tc>
          <w:tcPr>
            <w:tcW w:type="dxa" w:w="3360"/>
            <w:tcMar>
              <w:top w:w="65" w:type="dxa"/>
              <w:bottom w:w="65" w:type="dxa"/>
              <w:left w:w="100" w:type="dxa"/>
              <w:right w:w="100" w:type="dxa"/>
            </w:tcMar>
          </w:tcPr>
          <w:p>
            <w:r>
              <w:rPr>
                <w:rFonts w:ascii="Calibri" w:hAnsi="Calibri"/>
                <w:color w:val="2D3748"/>
                <w:sz w:val="15"/>
              </w:rPr>
              <w:t>1,471.222 kg/day</w:t>
            </w:r>
          </w:p>
        </w:tc>
        <w:tc>
          <w:tcPr>
            <w:tcW w:type="dxa" w:w="3360"/>
            <w:tcMar>
              <w:top w:w="65" w:type="dxa"/>
              <w:bottom w:w="65" w:type="dxa"/>
              <w:left w:w="100" w:type="dxa"/>
              <w:right w:w="100" w:type="dxa"/>
            </w:tcMar>
          </w:tcPr>
          <w:p>
            <w:r>
              <w:rPr>
                <w:rFonts w:ascii="Calibri" w:hAnsi="Calibri"/>
                <w:color w:val="2D3748"/>
                <w:sz w:val="15"/>
              </w:rPr>
              <w:t>1,471.222 kg/day</w:t>
            </w:r>
          </w:p>
        </w:tc>
      </w:tr>
      <w:tr>
        <w:trPr>
          <w:cantSplit/>
        </w:trPr>
        <w:tc>
          <w:tcPr>
            <w:tcW w:type="dxa" w:w="3360"/>
            <w:shd w:fill="F7FAFC"/>
            <w:tcMar>
              <w:top w:w="65" w:type="dxa"/>
              <w:bottom w:w="65" w:type="dxa"/>
              <w:left w:w="100" w:type="dxa"/>
              <w:right w:w="100" w:type="dxa"/>
            </w:tcMar>
          </w:tcPr>
          <w:p>
            <w:r>
              <w:rPr>
                <w:rFonts w:ascii="Calibri" w:hAnsi="Calibri"/>
                <w:b/>
                <w:color w:val="2D3748"/>
                <w:sz w:val="15"/>
              </w:rPr>
              <w:t>Dryer Water Evaporation Required</w:t>
            </w:r>
          </w:p>
        </w:tc>
        <w:tc>
          <w:tcPr>
            <w:tcW w:type="dxa" w:w="3360"/>
            <w:shd w:fill="F7FAFC"/>
            <w:tcMar>
              <w:top w:w="65" w:type="dxa"/>
              <w:bottom w:w="65" w:type="dxa"/>
              <w:left w:w="100" w:type="dxa"/>
              <w:right w:w="100" w:type="dxa"/>
            </w:tcMar>
          </w:tcPr>
          <w:p>
            <w:r>
              <w:rPr>
                <w:rFonts w:ascii="Calibri" w:hAnsi="Calibri"/>
                <w:color w:val="2D3748"/>
                <w:sz w:val="15"/>
              </w:rPr>
              <w:t>3,678.056 kg/day (183.90 kg/h)</w:t>
            </w:r>
          </w:p>
        </w:tc>
        <w:tc>
          <w:tcPr>
            <w:tcW w:type="dxa" w:w="3360"/>
            <w:shd w:fill="F7FAFC"/>
            <w:tcMar>
              <w:top w:w="65" w:type="dxa"/>
              <w:bottom w:w="65" w:type="dxa"/>
              <w:left w:w="100" w:type="dxa"/>
              <w:right w:w="100" w:type="dxa"/>
            </w:tcMar>
          </w:tcPr>
          <w:p>
            <w:r>
              <w:rPr>
                <w:rFonts w:ascii="Calibri" w:hAnsi="Calibri"/>
                <w:color w:val="2D3748"/>
                <w:sz w:val="15"/>
              </w:rPr>
              <w:t>3,877.778 kg/day (193.89 kg/h)</w:t>
            </w:r>
          </w:p>
        </w:tc>
      </w:tr>
    </w:tbl>
    <w:p>
      <w:pPr>
        <w:spacing w:before="0" w:after="60" w:line="276" w:lineRule="auto"/>
      </w:pPr>
      <w:r>
        <w:rPr>
          <w:rFonts w:ascii="Calibri" w:hAnsi="Calibri"/>
          <w:color w:val="2D3748"/>
          <w:sz w:val="17"/>
        </w:rPr>
        <w:t>Thermodynamic Duty Impact: Scenario B2 requires evaporating 199.722 kg/day more water (+5.43%) than Scenario B1. At an effective heat of vaporization of 2,400 kJ/kg, continuous thermal drying duty increases from 122.60 kW_th (Scenario B1) to 129.26 kW_th (Scenario B2), increasing steam demand by 12.9 kg/h. Status of Finding B is UNRESOLVED — SCENARIOS SHOWN; final dryer sizing is held provisional until bench-scale hydration and drainage are measured.</w:t>
      </w:r>
    </w:p>
    <w:p>
      <w:pPr>
        <w:keepNext/>
        <w:spacing w:before="260" w:after="60"/>
      </w:pPr>
      <w:r>
        <w:rPr>
          <w:rFonts w:ascii="Calibri" w:hAnsi="Calibri"/>
          <w:b/>
          <w:color w:val="1A365D"/>
          <w:sz w:val="23"/>
        </w:rPr>
        <w:t>Annexure C: Sample Custody &amp; Metadata Registration Form</w:t>
      </w:r>
    </w:p>
    <w:p>
      <w:pPr>
        <w:spacing w:before="0" w:after="60" w:line="276" w:lineRule="auto"/>
      </w:pPr>
      <w:r>
        <w:rPr>
          <w:rFonts w:ascii="Calibri" w:hAnsi="Calibri"/>
          <w:color w:val="2D3748"/>
          <w:sz w:val="17"/>
        </w:rPr>
        <w:t>Please complete and enclose this verification form with the dispatched sample consignments:</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600"/>
        <w:gridCol w:w="6480"/>
      </w:tblGrid>
      <w:tr>
        <w:trPr>
          <w:cantSplit/>
        </w:trPr>
        <w:tc>
          <w:tcPr>
            <w:tcW w:type="dxa" w:w="5040"/>
            <w:tcMar>
              <w:top w:w="65" w:type="dxa"/>
              <w:bottom w:w="65" w:type="dxa"/>
              <w:left w:w="100" w:type="dxa"/>
              <w:right w:w="100" w:type="dxa"/>
            </w:tcMar>
          </w:tcPr>
          <w:p>
            <w:r>
              <w:rPr>
                <w:rFonts w:ascii="Calibri" w:hAnsi="Calibri"/>
                <w:b/>
                <w:color w:val="2D3748"/>
                <w:sz w:val="15"/>
              </w:rPr>
              <w:t>Sample Unique Identifier:</w:t>
            </w:r>
          </w:p>
        </w:tc>
        <w:tc>
          <w:tcPr>
            <w:tcW w:type="dxa" w:w="5040"/>
            <w:tcMar>
              <w:top w:w="65" w:type="dxa"/>
              <w:bottom w:w="65" w:type="dxa"/>
              <w:left w:w="100" w:type="dxa"/>
              <w:right w:w="100" w:type="dxa"/>
            </w:tcMar>
          </w:tcPr>
          <w:p>
            <w:r>
              <w:rPr>
                <w:rFonts w:ascii="Calibri" w:hAnsi="Calibri"/>
                <w:color w:val="2D3748"/>
                <w:sz w:val="15"/>
              </w:rPr>
              <w:t>[ To be assigned upon receipt at FinnoaQ Lab ]</w:t>
            </w:r>
          </w:p>
        </w:tc>
      </w:tr>
      <w:tr>
        <w:trPr>
          <w:cantSplit/>
        </w:trPr>
        <w:tc>
          <w:tcPr>
            <w:tcW w:type="dxa" w:w="5040"/>
            <w:shd w:fill="F7FAFC"/>
            <w:tcMar>
              <w:top w:w="65" w:type="dxa"/>
              <w:bottom w:w="65" w:type="dxa"/>
              <w:left w:w="100" w:type="dxa"/>
              <w:right w:w="100" w:type="dxa"/>
            </w:tcMar>
          </w:tcPr>
          <w:p>
            <w:r>
              <w:rPr>
                <w:rFonts w:ascii="Calibri" w:hAnsi="Calibri"/>
                <w:b/>
                <w:color w:val="2D3748"/>
                <w:sz w:val="15"/>
              </w:rPr>
              <w:t>Commercial Origin &amp; Cultivar:</w:t>
            </w:r>
          </w:p>
        </w:tc>
        <w:tc>
          <w:tcPr>
            <w:tcW w:type="dxa" w:w="5040"/>
            <w:shd w:fill="F7FAFC"/>
            <w:tcMar>
              <w:top w:w="65" w:type="dxa"/>
              <w:bottom w:w="65" w:type="dxa"/>
              <w:left w:w="100" w:type="dxa"/>
              <w:right w:w="100" w:type="dxa"/>
            </w:tcMar>
          </w:tcPr>
          <w:p>
            <w:r>
              <w:rPr>
                <w:rFonts w:ascii="Calibri" w:hAnsi="Calibri"/>
                <w:color w:val="2D3748"/>
                <w:sz w:val="15"/>
              </w:rPr>
              <w:t>[ e.g. Tanzanian Arusha / Indian Latur Desi ]</w:t>
            </w:r>
          </w:p>
        </w:tc>
      </w:tr>
      <w:tr>
        <w:trPr>
          <w:cantSplit/>
        </w:trPr>
        <w:tc>
          <w:tcPr>
            <w:tcW w:type="dxa" w:w="5040"/>
            <w:tcMar>
              <w:top w:w="65" w:type="dxa"/>
              <w:bottom w:w="65" w:type="dxa"/>
              <w:left w:w="100" w:type="dxa"/>
              <w:right w:w="100" w:type="dxa"/>
            </w:tcMar>
          </w:tcPr>
          <w:p>
            <w:r>
              <w:rPr>
                <w:rFonts w:ascii="Calibri" w:hAnsi="Calibri"/>
                <w:b/>
                <w:color w:val="2D3748"/>
                <w:sz w:val="15"/>
              </w:rPr>
              <w:t>Consignment / Lot Number:</w:t>
            </w:r>
          </w:p>
        </w:tc>
        <w:tc>
          <w:tcPr>
            <w:tcW w:type="dxa" w:w="5040"/>
            <w:tcMar>
              <w:top w:w="65" w:type="dxa"/>
              <w:bottom w:w="65" w:type="dxa"/>
              <w:left w:w="100" w:type="dxa"/>
              <w:right w:w="100" w:type="dxa"/>
            </w:tcMar>
          </w:tcPr>
          <w:p>
            <w:r>
              <w:rPr>
                <w:rFonts w:ascii="Calibri" w:hAnsi="Calibri"/>
                <w:color w:val="2D3748"/>
                <w:sz w:val="15"/>
              </w:rPr>
              <w:t>[ Bill of Lading / Invoice Batch Number ]</w:t>
            </w:r>
          </w:p>
        </w:tc>
      </w:tr>
      <w:tr>
        <w:trPr>
          <w:cantSplit/>
        </w:trPr>
        <w:tc>
          <w:tcPr>
            <w:tcW w:type="dxa" w:w="5040"/>
            <w:shd w:fill="F7FAFC"/>
            <w:tcMar>
              <w:top w:w="65" w:type="dxa"/>
              <w:bottom w:w="65" w:type="dxa"/>
              <w:left w:w="100" w:type="dxa"/>
              <w:right w:w="100" w:type="dxa"/>
            </w:tcMar>
          </w:tcPr>
          <w:p>
            <w:r>
              <w:rPr>
                <w:rFonts w:ascii="Calibri" w:hAnsi="Calibri"/>
                <w:b/>
                <w:color w:val="2D3748"/>
                <w:sz w:val="15"/>
              </w:rPr>
              <w:t>Date of Dehulling / Milling:</w:t>
            </w:r>
          </w:p>
        </w:tc>
        <w:tc>
          <w:tcPr>
            <w:tcW w:type="dxa" w:w="5040"/>
            <w:shd w:fill="F7FAFC"/>
            <w:tcMar>
              <w:top w:w="65" w:type="dxa"/>
              <w:bottom w:w="65" w:type="dxa"/>
              <w:left w:w="100" w:type="dxa"/>
              <w:right w:w="100" w:type="dxa"/>
            </w:tcMar>
          </w:tcPr>
          <w:p>
            <w:r>
              <w:rPr>
                <w:rFonts w:ascii="Calibri" w:hAnsi="Calibri"/>
                <w:color w:val="2D3748"/>
                <w:sz w:val="15"/>
              </w:rPr>
              <w:t>[ DD/MM/YYYY or estimated month ]</w:t>
            </w:r>
          </w:p>
        </w:tc>
      </w:tr>
      <w:tr>
        <w:trPr>
          <w:cantSplit/>
        </w:trPr>
        <w:tc>
          <w:tcPr>
            <w:tcW w:type="dxa" w:w="5040"/>
            <w:tcMar>
              <w:top w:w="65" w:type="dxa"/>
              <w:bottom w:w="65" w:type="dxa"/>
              <w:left w:w="100" w:type="dxa"/>
              <w:right w:w="100" w:type="dxa"/>
            </w:tcMar>
          </w:tcPr>
          <w:p>
            <w:r>
              <w:rPr>
                <w:rFonts w:ascii="Calibri" w:hAnsi="Calibri"/>
                <w:b/>
                <w:color w:val="2D3748"/>
                <w:sz w:val="15"/>
              </w:rPr>
              <w:t>Import Date &amp; Port of Entry:</w:t>
            </w:r>
          </w:p>
        </w:tc>
        <w:tc>
          <w:tcPr>
            <w:tcW w:type="dxa" w:w="5040"/>
            <w:tcMar>
              <w:top w:w="65" w:type="dxa"/>
              <w:bottom w:w="65" w:type="dxa"/>
              <w:left w:w="100" w:type="dxa"/>
              <w:right w:w="100" w:type="dxa"/>
            </w:tcMar>
          </w:tcPr>
          <w:p>
            <w:r>
              <w:rPr>
                <w:rFonts w:ascii="Calibri" w:hAnsi="Calibri"/>
                <w:color w:val="2D3748"/>
                <w:sz w:val="15"/>
              </w:rPr>
              <w:t>[ Applicable for imported consignments ]</w:t>
            </w:r>
          </w:p>
        </w:tc>
      </w:tr>
      <w:tr>
        <w:trPr>
          <w:cantSplit/>
        </w:trPr>
        <w:tc>
          <w:tcPr>
            <w:tcW w:type="dxa" w:w="5040"/>
            <w:shd w:fill="F7FAFC"/>
            <w:tcMar>
              <w:top w:w="65" w:type="dxa"/>
              <w:bottom w:w="65" w:type="dxa"/>
              <w:left w:w="100" w:type="dxa"/>
              <w:right w:w="100" w:type="dxa"/>
            </w:tcMar>
          </w:tcPr>
          <w:p>
            <w:r>
              <w:rPr>
                <w:rFonts w:ascii="Calibri" w:hAnsi="Calibri"/>
                <w:b/>
                <w:color w:val="2D3748"/>
                <w:sz w:val="15"/>
              </w:rPr>
              <w:t>Polishing / Surface Treatment:</w:t>
            </w:r>
          </w:p>
        </w:tc>
        <w:tc>
          <w:tcPr>
            <w:tcW w:type="dxa" w:w="5040"/>
            <w:shd w:fill="F7FAFC"/>
            <w:tcMar>
              <w:top w:w="65" w:type="dxa"/>
              <w:bottom w:w="65" w:type="dxa"/>
              <w:left w:w="100" w:type="dxa"/>
              <w:right w:w="100" w:type="dxa"/>
            </w:tcMar>
          </w:tcPr>
          <w:p>
            <w:r>
              <w:rPr>
                <w:rFonts w:ascii="Calibri" w:hAnsi="Calibri"/>
                <w:color w:val="2D3748"/>
                <w:sz w:val="15"/>
              </w:rPr>
              <w:t>[ e.g. Water polish / Oil polish / Unpolished ]</w:t>
            </w:r>
          </w:p>
        </w:tc>
      </w:tr>
      <w:tr>
        <w:trPr>
          <w:cantSplit/>
        </w:trPr>
        <w:tc>
          <w:tcPr>
            <w:tcW w:type="dxa" w:w="5040"/>
            <w:tcMar>
              <w:top w:w="65" w:type="dxa"/>
              <w:bottom w:w="65" w:type="dxa"/>
              <w:left w:w="100" w:type="dxa"/>
              <w:right w:w="100" w:type="dxa"/>
            </w:tcMar>
          </w:tcPr>
          <w:p>
            <w:r>
              <w:rPr>
                <w:rFonts w:ascii="Calibri" w:hAnsi="Calibri"/>
                <w:b/>
                <w:color w:val="2D3748"/>
                <w:sz w:val="15"/>
              </w:rPr>
              <w:t>Storage History &amp; Packaging:</w:t>
            </w:r>
          </w:p>
        </w:tc>
        <w:tc>
          <w:tcPr>
            <w:tcW w:type="dxa" w:w="5040"/>
            <w:tcMar>
              <w:top w:w="65" w:type="dxa"/>
              <w:bottom w:w="65" w:type="dxa"/>
              <w:left w:w="100" w:type="dxa"/>
              <w:right w:w="100" w:type="dxa"/>
            </w:tcMar>
          </w:tcPr>
          <w:p>
            <w:r>
              <w:rPr>
                <w:rFonts w:ascii="Calibri" w:hAnsi="Calibri"/>
                <w:color w:val="2D3748"/>
                <w:sz w:val="15"/>
              </w:rPr>
              <w:t>[ e.g. 50 kg PP woven bags / Climate controlled ]</w:t>
            </w:r>
          </w:p>
        </w:tc>
      </w:tr>
      <w:tr>
        <w:trPr>
          <w:cantSplit/>
        </w:trPr>
        <w:tc>
          <w:tcPr>
            <w:tcW w:type="dxa" w:w="5040"/>
            <w:shd w:fill="F7FAFC"/>
            <w:tcMar>
              <w:top w:w="65" w:type="dxa"/>
              <w:bottom w:w="65" w:type="dxa"/>
              <w:left w:w="100" w:type="dxa"/>
              <w:right w:w="100" w:type="dxa"/>
            </w:tcMar>
          </w:tcPr>
          <w:p>
            <w:r>
              <w:rPr>
                <w:rFonts w:ascii="Calibri" w:hAnsi="Calibri"/>
                <w:b/>
                <w:color w:val="2D3748"/>
                <w:sz w:val="15"/>
              </w:rPr>
              <w:t>Authorized Dispatch Contact:</w:t>
            </w:r>
          </w:p>
        </w:tc>
        <w:tc>
          <w:tcPr>
            <w:tcW w:type="dxa" w:w="5040"/>
            <w:shd w:fill="F7FAFC"/>
            <w:tcMar>
              <w:top w:w="65" w:type="dxa"/>
              <w:bottom w:w="65" w:type="dxa"/>
              <w:left w:w="100" w:type="dxa"/>
              <w:right w:w="100" w:type="dxa"/>
            </w:tcMar>
          </w:tcPr>
          <w:p>
            <w:r>
              <w:rPr>
                <w:rFonts w:ascii="Calibri" w:hAnsi="Calibri"/>
                <w:color w:val="2D3748"/>
                <w:sz w:val="15"/>
              </w:rPr>
              <w:t>[ Name, Designation, Phone, Email ]</w:t>
            </w:r>
          </w:p>
        </w:tc>
      </w:tr>
    </w:tbl>
    <w:p>
      <w:pPr>
        <w:keepNext/>
        <w:spacing w:before="260" w:after="60"/>
      </w:pPr>
      <w:r>
        <w:rPr>
          <w:rFonts w:ascii="Calibri" w:hAnsi="Calibri"/>
          <w:b/>
          <w:color w:val="1A365D"/>
          <w:sz w:val="23"/>
        </w:rPr>
        <w:t>Annexure D: Scientific References &amp; Regulatory Citations</w:t>
      </w:r>
    </w:p>
    <w:p>
      <w:pPr>
        <w:spacing w:before="0" w:after="60" w:line="276" w:lineRule="auto"/>
      </w:pPr>
      <w:r>
        <w:rPr>
          <w:rFonts w:ascii="Calibri" w:hAnsi="Calibri"/>
          <w:color w:val="2D3748"/>
          <w:sz w:val="17"/>
        </w:rPr>
        <w:t>1. AOAC International. (2019). Official Methods of Analysis of AOAC International (21st ed.). Gaithersburg, MD: AOAC International.</w:t>
      </w:r>
    </w:p>
    <w:p>
      <w:pPr>
        <w:spacing w:before="0" w:after="60" w:line="276" w:lineRule="auto"/>
      </w:pPr>
      <w:r>
        <w:rPr>
          <w:rFonts w:ascii="Calibri" w:hAnsi="Calibri"/>
          <w:color w:val="2D3748"/>
          <w:sz w:val="17"/>
        </w:rPr>
        <w:t>2. Bureau of Indian Standards. (2014). IS 4333: Methods of Analysis for Foodgrains. New Delhi: BIS.</w:t>
      </w:r>
    </w:p>
    <w:p>
      <w:pPr>
        <w:spacing w:before="0" w:after="60" w:line="276" w:lineRule="auto"/>
      </w:pPr>
      <w:r>
        <w:rPr>
          <w:rFonts w:ascii="Calibri" w:hAnsi="Calibri"/>
          <w:color w:val="2D3748"/>
          <w:sz w:val="17"/>
        </w:rPr>
        <w:t>3. Food Safety and Standards Authority of India (FSSAI). (2011). Food Safety and Standards (Food Products Standards and Food Additives) Regulations. Compendium of Food Additives &amp; Standard 2.4.6.15 (Pulses).</w:t>
      </w:r>
    </w:p>
    <w:p>
      <w:pPr>
        <w:spacing w:before="0" w:after="60" w:line="276" w:lineRule="auto"/>
      </w:pPr>
      <w:r>
        <w:rPr>
          <w:rFonts w:ascii="Calibri" w:hAnsi="Calibri"/>
          <w:color w:val="2D3748"/>
          <w:sz w:val="17"/>
        </w:rPr>
        <w:t>4. Hincks, M. J., &amp; Stanley, D. W. (1986). Multiple mechanisms for the hard-to-cook defect in dry beans. Journal of Food Science, 51(3), 738-742.</w:t>
      </w:r>
    </w:p>
    <w:p>
      <w:pPr>
        <w:spacing w:before="0" w:after="60" w:line="276" w:lineRule="auto"/>
      </w:pPr>
      <w:r>
        <w:rPr>
          <w:rFonts w:ascii="Calibri" w:hAnsi="Calibri"/>
          <w:color w:val="2D3748"/>
          <w:sz w:val="17"/>
        </w:rPr>
        <w:t>5. Jones, P. M. B., &amp; Boulter, D. (1983). The cause of reduced cooking quality in stored cowpeas. Journal of Food Science, 48(2), 629-634.</w:t>
      </w:r>
    </w:p>
    <w:p>
      <w:pPr>
        <w:spacing w:before="0" w:after="60" w:line="276" w:lineRule="auto"/>
      </w:pPr>
      <w:r>
        <w:rPr>
          <w:rFonts w:ascii="Calibri" w:hAnsi="Calibri"/>
          <w:color w:val="2D3748"/>
          <w:sz w:val="17"/>
        </w:rPr>
        <w:t>6. Sefa-Dedeh, S., Stanley, D. W., &amp; Voisey, P. W. (1979). Effect of storage conditions on cooking quality and microstructure of cowpeas. Journal of Food Science, 44(5), 1309-1314.</w:t>
      </w:r>
    </w:p>
    <w:p>
      <w:pPr>
        <w:spacing w:before="0" w:after="60" w:line="276" w:lineRule="auto"/>
      </w:pPr>
      <w:r>
        <w:rPr>
          <w:rFonts w:ascii="Calibri" w:hAnsi="Calibri"/>
          <w:color w:val="2D3748"/>
          <w:sz w:val="17"/>
        </w:rPr>
        <w:t>7. Tiwari, B. K., Gowen, A., &amp; McKenna, B. (2011). Pulse Foods: Processing, Quality and Nutritive Value. Academic Press.</w:t>
      </w:r>
    </w:p>
    <w:p>
      <w:pPr>
        <w:keepNext/>
        <w:spacing w:before="260" w:after="60"/>
      </w:pPr>
      <w:r>
        <w:rPr>
          <w:rFonts w:ascii="Calibri" w:hAnsi="Calibri"/>
          <w:b/>
          <w:color w:val="1A365D"/>
          <w:sz w:val="23"/>
        </w:rPr>
        <w:t>Annexure E: Source SOW 36-Section Traceability &amp; Concordance Matrix</w:t>
      </w:r>
    </w:p>
    <w:p>
      <w:pPr>
        <w:spacing w:before="0" w:after="60" w:line="276" w:lineRule="auto"/>
      </w:pPr>
      <w:r>
        <w:rPr>
          <w:rFonts w:ascii="Calibri" w:hAnsi="Calibri"/>
          <w:color w:val="2D3748"/>
          <w:sz w:val="17"/>
        </w:rPr>
        <w:t>Concordance audit verifying that all 36 numbered sections from the source SOW (Phase1_Scope_of_Work_Toor_Dal.docx) are substantively preserved:</w:t>
      </w:r>
    </w:p>
    <w:tbl>
      <w:tblPr>
        <w:tblW w:type="auto" w:w="0"/>
        <w:jc w:val="center"/>
        <w:tblLayout w:type="fixed"/>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160"/>
        <w:gridCol w:w="3600"/>
        <w:gridCol w:w="4320"/>
      </w:tblGrid>
      <w:tr>
        <w:trPr>
          <w:tblHeader/>
          <w:cantSplit/>
        </w:trPr>
        <w:tc>
          <w:tcPr>
            <w:tcW w:type="dxa" w:w="3360"/>
            <w:shd w:fill="1A365D"/>
            <w:tcMar>
              <w:top w:w="100" w:type="dxa"/>
              <w:bottom w:w="100" w:type="dxa"/>
              <w:left w:w="100" w:type="dxa"/>
              <w:right w:w="100" w:type="dxa"/>
            </w:tcMar>
          </w:tcPr>
          <w:p>
            <w:pPr>
              <w:jc w:val="left"/>
            </w:pPr>
            <w:r>
              <w:t>Source Sections</w:t>
            </w:r>
          </w:p>
        </w:tc>
        <w:tc>
          <w:tcPr>
            <w:tcW w:type="dxa" w:w="3360"/>
            <w:shd w:fill="1A365D"/>
            <w:tcMar>
              <w:top w:w="100" w:type="dxa"/>
              <w:bottom w:w="100" w:type="dxa"/>
              <w:left w:w="100" w:type="dxa"/>
              <w:right w:w="100" w:type="dxa"/>
            </w:tcMar>
          </w:tcPr>
          <w:p>
            <w:pPr>
              <w:jc w:val="left"/>
            </w:pPr>
            <w:r>
              <w:t>Source Scope Domain</w:t>
            </w:r>
          </w:p>
        </w:tc>
        <w:tc>
          <w:tcPr>
            <w:tcW w:type="dxa" w:w="3360"/>
            <w:shd w:fill="1A365D"/>
            <w:tcMar>
              <w:top w:w="100" w:type="dxa"/>
              <w:bottom w:w="100" w:type="dxa"/>
              <w:left w:w="100" w:type="dxa"/>
              <w:right w:w="100" w:type="dxa"/>
            </w:tcMar>
          </w:tcPr>
          <w:p>
            <w:pPr>
              <w:jc w:val="left"/>
            </w:pPr>
            <w:r>
              <w:t>Revised Proposal Location &amp; Status</w:t>
            </w:r>
          </w:p>
        </w:tc>
      </w:tr>
      <w:tr>
        <w:trPr>
          <w:cantSplit/>
        </w:trPr>
        <w:tc>
          <w:tcPr>
            <w:tcW w:type="dxa" w:w="3360"/>
            <w:tcMar>
              <w:top w:w="65" w:type="dxa"/>
              <w:bottom w:w="65" w:type="dxa"/>
              <w:left w:w="100" w:type="dxa"/>
              <w:right w:w="100" w:type="dxa"/>
            </w:tcMar>
          </w:tcPr>
          <w:p>
            <w:r>
              <w:rPr>
                <w:rFonts w:ascii="Calibri" w:hAnsi="Calibri"/>
                <w:b/>
                <w:color w:val="2D3748"/>
                <w:sz w:val="15"/>
              </w:rPr>
              <w:t>Sections 1–3</w:t>
            </w:r>
          </w:p>
        </w:tc>
        <w:tc>
          <w:tcPr>
            <w:tcW w:type="dxa" w:w="3360"/>
            <w:tcMar>
              <w:top w:w="65" w:type="dxa"/>
              <w:bottom w:w="65" w:type="dxa"/>
              <w:left w:w="100" w:type="dxa"/>
              <w:right w:w="100" w:type="dxa"/>
            </w:tcMar>
          </w:tcPr>
          <w:p>
            <w:r>
              <w:rPr>
                <w:rFonts w:ascii="Calibri" w:hAnsi="Calibri"/>
                <w:color w:val="2D3748"/>
                <w:sz w:val="15"/>
              </w:rPr>
              <w:t>Background, Objectives, Samples</w:t>
            </w:r>
          </w:p>
        </w:tc>
        <w:tc>
          <w:tcPr>
            <w:tcW w:type="dxa" w:w="3360"/>
            <w:tcMar>
              <w:top w:w="65" w:type="dxa"/>
              <w:bottom w:w="65" w:type="dxa"/>
              <w:left w:w="100" w:type="dxa"/>
              <w:right w:w="100" w:type="dxa"/>
            </w:tcMar>
          </w:tcPr>
          <w:p>
            <w:r>
              <w:rPr>
                <w:rFonts w:ascii="Calibri" w:hAnsi="Calibri"/>
                <w:color w:val="2D3748"/>
                <w:sz w:val="15"/>
              </w:rPr>
              <w:t>Sections 1, 2, 3, 10 (Preserved 100%; whistle context qualified)</w:t>
            </w:r>
          </w:p>
        </w:tc>
      </w:tr>
      <w:tr>
        <w:trPr>
          <w:cantSplit/>
        </w:trPr>
        <w:tc>
          <w:tcPr>
            <w:tcW w:type="dxa" w:w="3360"/>
            <w:shd w:fill="F7FAFC"/>
            <w:tcMar>
              <w:top w:w="65" w:type="dxa"/>
              <w:bottom w:w="65" w:type="dxa"/>
              <w:left w:w="100" w:type="dxa"/>
              <w:right w:w="100" w:type="dxa"/>
            </w:tcMar>
          </w:tcPr>
          <w:p>
            <w:r>
              <w:rPr>
                <w:rFonts w:ascii="Calibri" w:hAnsi="Calibri"/>
                <w:b/>
                <w:color w:val="2D3748"/>
                <w:sz w:val="15"/>
              </w:rPr>
              <w:t>Sections 4–7</w:t>
            </w:r>
          </w:p>
        </w:tc>
        <w:tc>
          <w:tcPr>
            <w:tcW w:type="dxa" w:w="3360"/>
            <w:shd w:fill="F7FAFC"/>
            <w:tcMar>
              <w:top w:w="65" w:type="dxa"/>
              <w:bottom w:w="65" w:type="dxa"/>
              <w:left w:w="100" w:type="dxa"/>
              <w:right w:w="100" w:type="dxa"/>
            </w:tcMar>
          </w:tcPr>
          <w:p>
            <w:r>
              <w:rPr>
                <w:rFonts w:ascii="Calibri" w:hAnsi="Calibri"/>
                <w:color w:val="2D3748"/>
                <w:sz w:val="15"/>
              </w:rPr>
              <w:t>Approach, Physical, Proximate, Starch</w:t>
            </w:r>
          </w:p>
        </w:tc>
        <w:tc>
          <w:tcPr>
            <w:tcW w:type="dxa" w:w="3360"/>
            <w:shd w:fill="F7FAFC"/>
            <w:tcMar>
              <w:top w:w="65" w:type="dxa"/>
              <w:bottom w:w="65" w:type="dxa"/>
              <w:left w:w="100" w:type="dxa"/>
              <w:right w:w="100" w:type="dxa"/>
            </w:tcMar>
          </w:tcPr>
          <w:p>
            <w:r>
              <w:rPr>
                <w:rFonts w:ascii="Calibri" w:hAnsi="Calibri"/>
                <w:color w:val="2D3748"/>
                <w:sz w:val="15"/>
              </w:rPr>
              <w:t>Sections 5, 6 (WP-01, WP-02, WP-03, simulation methodology incorporated)</w:t>
            </w:r>
          </w:p>
        </w:tc>
      </w:tr>
      <w:tr>
        <w:trPr>
          <w:cantSplit/>
        </w:trPr>
        <w:tc>
          <w:tcPr>
            <w:tcW w:type="dxa" w:w="3360"/>
            <w:tcMar>
              <w:top w:w="65" w:type="dxa"/>
              <w:bottom w:w="65" w:type="dxa"/>
              <w:left w:w="100" w:type="dxa"/>
              <w:right w:w="100" w:type="dxa"/>
            </w:tcMar>
          </w:tcPr>
          <w:p>
            <w:r>
              <w:rPr>
                <w:rFonts w:ascii="Calibri" w:hAnsi="Calibri"/>
                <w:b/>
                <w:color w:val="2D3748"/>
                <w:sz w:val="15"/>
              </w:rPr>
              <w:t>Sections 8–11</w:t>
            </w:r>
          </w:p>
        </w:tc>
        <w:tc>
          <w:tcPr>
            <w:tcW w:type="dxa" w:w="3360"/>
            <w:tcMar>
              <w:top w:w="65" w:type="dxa"/>
              <w:bottom w:w="65" w:type="dxa"/>
              <w:left w:w="100" w:type="dxa"/>
              <w:right w:w="100" w:type="dxa"/>
            </w:tcMar>
          </w:tcPr>
          <w:p>
            <w:r>
              <w:rPr>
                <w:rFonts w:ascii="Calibri" w:hAnsi="Calibri"/>
                <w:color w:val="2D3748"/>
                <w:sz w:val="15"/>
              </w:rPr>
              <w:t>Hydration, Structure, Pectin, Minerals</w:t>
            </w:r>
          </w:p>
        </w:tc>
        <w:tc>
          <w:tcPr>
            <w:tcW w:type="dxa" w:w="3360"/>
            <w:tcMar>
              <w:top w:w="65" w:type="dxa"/>
              <w:bottom w:w="65" w:type="dxa"/>
              <w:left w:w="100" w:type="dxa"/>
              <w:right w:w="100" w:type="dxa"/>
            </w:tcMar>
          </w:tcPr>
          <w:p>
            <w:r>
              <w:rPr>
                <w:rFonts w:ascii="Calibri" w:hAnsi="Calibri"/>
                <w:color w:val="2D3748"/>
                <w:sz w:val="15"/>
              </w:rPr>
              <w:t>Section 6 (WP-04, WP-05, WP-06, WP-07 incorporated)</w:t>
            </w:r>
          </w:p>
        </w:tc>
      </w:tr>
      <w:tr>
        <w:trPr>
          <w:cantSplit/>
        </w:trPr>
        <w:tc>
          <w:tcPr>
            <w:tcW w:type="dxa" w:w="3360"/>
            <w:shd w:fill="F7FAFC"/>
            <w:tcMar>
              <w:top w:w="65" w:type="dxa"/>
              <w:bottom w:w="65" w:type="dxa"/>
              <w:left w:w="100" w:type="dxa"/>
              <w:right w:w="100" w:type="dxa"/>
            </w:tcMar>
          </w:tcPr>
          <w:p>
            <w:r>
              <w:rPr>
                <w:rFonts w:ascii="Calibri" w:hAnsi="Calibri"/>
                <w:b/>
                <w:color w:val="2D3748"/>
                <w:sz w:val="15"/>
              </w:rPr>
              <w:t>Sections 12–15</w:t>
            </w:r>
          </w:p>
        </w:tc>
        <w:tc>
          <w:tcPr>
            <w:tcW w:type="dxa" w:w="3360"/>
            <w:shd w:fill="F7FAFC"/>
            <w:tcMar>
              <w:top w:w="65" w:type="dxa"/>
              <w:bottom w:w="65" w:type="dxa"/>
              <w:left w:w="100" w:type="dxa"/>
              <w:right w:w="100" w:type="dxa"/>
            </w:tcMar>
          </w:tcPr>
          <w:p>
            <w:r>
              <w:rPr>
                <w:rFonts w:ascii="Calibri" w:hAnsi="Calibri"/>
                <w:color w:val="2D3748"/>
                <w:sz w:val="15"/>
              </w:rPr>
              <w:t>Texture, Standardized Cooking Design</w:t>
            </w:r>
          </w:p>
        </w:tc>
        <w:tc>
          <w:tcPr>
            <w:tcW w:type="dxa" w:w="3360"/>
            <w:shd w:fill="F7FAFC"/>
            <w:tcMar>
              <w:top w:w="65" w:type="dxa"/>
              <w:bottom w:w="65" w:type="dxa"/>
              <w:left w:w="100" w:type="dxa"/>
              <w:right w:w="100" w:type="dxa"/>
            </w:tcMar>
          </w:tcPr>
          <w:p>
            <w:r>
              <w:rPr>
                <w:rFonts w:ascii="Calibri" w:hAnsi="Calibri"/>
                <w:color w:val="2D3748"/>
                <w:sz w:val="15"/>
              </w:rPr>
              <w:t>Sections 6, 11 (WP-08, WP-09, instrumented endpoint defined)</w:t>
            </w:r>
          </w:p>
        </w:tc>
      </w:tr>
      <w:tr>
        <w:trPr>
          <w:cantSplit/>
        </w:trPr>
        <w:tc>
          <w:tcPr>
            <w:tcW w:type="dxa" w:w="3360"/>
            <w:tcMar>
              <w:top w:w="65" w:type="dxa"/>
              <w:bottom w:w="65" w:type="dxa"/>
              <w:left w:w="100" w:type="dxa"/>
              <w:right w:w="100" w:type="dxa"/>
            </w:tcMar>
          </w:tcPr>
          <w:p>
            <w:r>
              <w:rPr>
                <w:rFonts w:ascii="Calibri" w:hAnsi="Calibri"/>
                <w:b/>
                <w:color w:val="2D3748"/>
                <w:sz w:val="15"/>
              </w:rPr>
              <w:t>Sections 16–18</w:t>
            </w:r>
          </w:p>
        </w:tc>
        <w:tc>
          <w:tcPr>
            <w:tcW w:type="dxa" w:w="3360"/>
            <w:tcMar>
              <w:top w:w="65" w:type="dxa"/>
              <w:bottom w:w="65" w:type="dxa"/>
              <w:left w:w="100" w:type="dxa"/>
              <w:right w:w="100" w:type="dxa"/>
            </w:tcMar>
          </w:tcPr>
          <w:p>
            <w:r>
              <w:rPr>
                <w:rFonts w:ascii="Calibri" w:hAnsi="Calibri"/>
                <w:color w:val="2D3748"/>
                <w:sz w:val="15"/>
              </w:rPr>
              <w:t>Root-Cause Pathway &amp; Phase 2 Tech</w:t>
            </w:r>
          </w:p>
        </w:tc>
        <w:tc>
          <w:tcPr>
            <w:tcW w:type="dxa" w:w="3360"/>
            <w:tcMar>
              <w:top w:w="65" w:type="dxa"/>
              <w:bottom w:w="65" w:type="dxa"/>
              <w:left w:w="100" w:type="dxa"/>
              <w:right w:w="100" w:type="dxa"/>
            </w:tcMar>
          </w:tcPr>
          <w:p>
            <w:r>
              <w:rPr>
                <w:rFonts w:ascii="Calibri" w:hAnsi="Calibri"/>
                <w:color w:val="2D3748"/>
                <w:sz w:val="15"/>
              </w:rPr>
              <w:t>Sections 6.1, 12 (10-hypothesis register, distinct reagents)</w:t>
            </w:r>
          </w:p>
        </w:tc>
      </w:tr>
      <w:tr>
        <w:trPr>
          <w:cantSplit/>
        </w:trPr>
        <w:tc>
          <w:tcPr>
            <w:tcW w:type="dxa" w:w="3360"/>
            <w:shd w:fill="F7FAFC"/>
            <w:tcMar>
              <w:top w:w="65" w:type="dxa"/>
              <w:bottom w:w="65" w:type="dxa"/>
              <w:left w:w="100" w:type="dxa"/>
              <w:right w:w="100" w:type="dxa"/>
            </w:tcMar>
          </w:tcPr>
          <w:p>
            <w:r>
              <w:rPr>
                <w:rFonts w:ascii="Calibri" w:hAnsi="Calibri"/>
                <w:b/>
                <w:color w:val="2D3748"/>
                <w:sz w:val="15"/>
              </w:rPr>
              <w:t>Sections 19–20</w:t>
            </w:r>
          </w:p>
        </w:tc>
        <w:tc>
          <w:tcPr>
            <w:tcW w:type="dxa" w:w="3360"/>
            <w:shd w:fill="F7FAFC"/>
            <w:tcMar>
              <w:top w:w="65" w:type="dxa"/>
              <w:bottom w:w="65" w:type="dxa"/>
              <w:left w:w="100" w:type="dxa"/>
              <w:right w:w="100" w:type="dxa"/>
            </w:tcMar>
          </w:tcPr>
          <w:p>
            <w:r>
              <w:rPr>
                <w:rFonts w:ascii="Calibri" w:hAnsi="Calibri"/>
                <w:color w:val="2D3748"/>
                <w:sz w:val="15"/>
              </w:rPr>
              <w:t>QC, Statistics, Integrated Analysis</w:t>
            </w:r>
          </w:p>
        </w:tc>
        <w:tc>
          <w:tcPr>
            <w:tcW w:type="dxa" w:w="3360"/>
            <w:shd w:fill="F7FAFC"/>
            <w:tcMar>
              <w:top w:w="65" w:type="dxa"/>
              <w:bottom w:w="65" w:type="dxa"/>
              <w:left w:w="100" w:type="dxa"/>
              <w:right w:w="100" w:type="dxa"/>
            </w:tcMar>
          </w:tcPr>
          <w:p>
            <w:r>
              <w:rPr>
                <w:rFonts w:ascii="Calibri" w:hAnsi="Calibri"/>
                <w:color w:val="2D3748"/>
                <w:sz w:val="15"/>
              </w:rPr>
              <w:t>Sections 6, 11 (Replication hierarchy, Welch's t-test, ANOVA)</w:t>
            </w:r>
          </w:p>
        </w:tc>
      </w:tr>
      <w:tr>
        <w:trPr>
          <w:cantSplit/>
        </w:trPr>
        <w:tc>
          <w:tcPr>
            <w:tcW w:type="dxa" w:w="3360"/>
            <w:tcMar>
              <w:top w:w="65" w:type="dxa"/>
              <w:bottom w:w="65" w:type="dxa"/>
              <w:left w:w="100" w:type="dxa"/>
              <w:right w:w="100" w:type="dxa"/>
            </w:tcMar>
          </w:tcPr>
          <w:p>
            <w:r>
              <w:rPr>
                <w:rFonts w:ascii="Calibri" w:hAnsi="Calibri"/>
                <w:b/>
                <w:color w:val="2D3748"/>
                <w:sz w:val="15"/>
              </w:rPr>
              <w:t>Sections 21–23</w:t>
            </w:r>
          </w:p>
        </w:tc>
        <w:tc>
          <w:tcPr>
            <w:tcW w:type="dxa" w:w="3360"/>
            <w:tcMar>
              <w:top w:w="65" w:type="dxa"/>
              <w:bottom w:w="65" w:type="dxa"/>
              <w:left w:w="100" w:type="dxa"/>
              <w:right w:w="100" w:type="dxa"/>
            </w:tcMar>
          </w:tcPr>
          <w:p>
            <w:r>
              <w:rPr>
                <w:rFonts w:ascii="Calibri" w:hAnsi="Calibri"/>
                <w:color w:val="2D3748"/>
                <w:sz w:val="15"/>
              </w:rPr>
              <w:t>Deliverables, Report Outline, Labs</w:t>
            </w:r>
          </w:p>
        </w:tc>
        <w:tc>
          <w:tcPr>
            <w:tcW w:type="dxa" w:w="3360"/>
            <w:tcMar>
              <w:top w:w="65" w:type="dxa"/>
              <w:bottom w:w="65" w:type="dxa"/>
              <w:left w:w="100" w:type="dxa"/>
              <w:right w:w="100" w:type="dxa"/>
            </w:tcMar>
          </w:tcPr>
          <w:p>
            <w:r>
              <w:rPr>
                <w:rFonts w:ascii="Calibri" w:hAnsi="Calibri"/>
                <w:color w:val="2D3748"/>
                <w:sz w:val="15"/>
              </w:rPr>
              <w:t>Section 8, Annexure A (All 14 deliverables mapped)</w:t>
            </w:r>
          </w:p>
        </w:tc>
      </w:tr>
      <w:tr>
        <w:trPr>
          <w:cantSplit/>
        </w:trPr>
        <w:tc>
          <w:tcPr>
            <w:tcW w:type="dxa" w:w="3360"/>
            <w:shd w:fill="F7FAFC"/>
            <w:tcMar>
              <w:top w:w="65" w:type="dxa"/>
              <w:bottom w:w="65" w:type="dxa"/>
              <w:left w:w="100" w:type="dxa"/>
              <w:right w:w="100" w:type="dxa"/>
            </w:tcMar>
          </w:tcPr>
          <w:p>
            <w:r>
              <w:rPr>
                <w:rFonts w:ascii="Calibri" w:hAnsi="Calibri"/>
                <w:b/>
                <w:color w:val="2D3748"/>
                <w:sz w:val="15"/>
              </w:rPr>
              <w:t>Sections 24–29</w:t>
            </w:r>
          </w:p>
        </w:tc>
        <w:tc>
          <w:tcPr>
            <w:tcW w:type="dxa" w:w="3360"/>
            <w:shd w:fill="F7FAFC"/>
            <w:tcMar>
              <w:top w:w="65" w:type="dxa"/>
              <w:bottom w:w="65" w:type="dxa"/>
              <w:left w:w="100" w:type="dxa"/>
              <w:right w:w="100" w:type="dxa"/>
            </w:tcMar>
          </w:tcPr>
          <w:p>
            <w:r>
              <w:rPr>
                <w:rFonts w:ascii="Calibri" w:hAnsi="Calibri"/>
                <w:color w:val="2D3748"/>
                <w:sz w:val="15"/>
              </w:rPr>
              <w:t>Fees, Ceiling, Timeline, Payments</w:t>
            </w:r>
          </w:p>
        </w:tc>
        <w:tc>
          <w:tcPr>
            <w:tcW w:type="dxa" w:w="3360"/>
            <w:shd w:fill="F7FAFC"/>
            <w:tcMar>
              <w:top w:w="65" w:type="dxa"/>
              <w:bottom w:w="65" w:type="dxa"/>
              <w:left w:w="100" w:type="dxa"/>
              <w:right w:w="100" w:type="dxa"/>
            </w:tcMar>
          </w:tcPr>
          <w:p>
            <w:r>
              <w:rPr>
                <w:rFonts w:ascii="Calibri" w:hAnsi="Calibri"/>
                <w:color w:val="2D3748"/>
                <w:sz w:val="15"/>
              </w:rPr>
              <w:t>Sections 9, 13 (₹1,73,000 line items, ₹2L ceiling, 40/40/20%)</w:t>
            </w:r>
          </w:p>
        </w:tc>
      </w:tr>
      <w:tr>
        <w:trPr>
          <w:cantSplit/>
        </w:trPr>
        <w:tc>
          <w:tcPr>
            <w:tcW w:type="dxa" w:w="3360"/>
            <w:tcMar>
              <w:top w:w="65" w:type="dxa"/>
              <w:bottom w:w="65" w:type="dxa"/>
              <w:left w:w="100" w:type="dxa"/>
              <w:right w:w="100" w:type="dxa"/>
            </w:tcMar>
          </w:tcPr>
          <w:p>
            <w:r>
              <w:rPr>
                <w:rFonts w:ascii="Calibri" w:hAnsi="Calibri"/>
                <w:b/>
                <w:color w:val="2D3748"/>
                <w:sz w:val="15"/>
              </w:rPr>
              <w:t>Sections 30–36</w:t>
            </w:r>
          </w:p>
        </w:tc>
        <w:tc>
          <w:tcPr>
            <w:tcW w:type="dxa" w:w="3360"/>
            <w:tcMar>
              <w:top w:w="65" w:type="dxa"/>
              <w:bottom w:w="65" w:type="dxa"/>
              <w:left w:w="100" w:type="dxa"/>
              <w:right w:w="100" w:type="dxa"/>
            </w:tcMar>
          </w:tcPr>
          <w:p>
            <w:r>
              <w:rPr>
                <w:rFonts w:ascii="Calibri" w:hAnsi="Calibri"/>
                <w:color w:val="2D3748"/>
                <w:sz w:val="15"/>
              </w:rPr>
              <w:t>Retention, NDA, Limits, Contacts</w:t>
            </w:r>
          </w:p>
        </w:tc>
        <w:tc>
          <w:tcPr>
            <w:tcW w:type="dxa" w:w="3360"/>
            <w:tcMar>
              <w:top w:w="65" w:type="dxa"/>
              <w:bottom w:w="65" w:type="dxa"/>
              <w:left w:w="100" w:type="dxa"/>
              <w:right w:w="100" w:type="dxa"/>
            </w:tcMar>
          </w:tcPr>
          <w:p>
            <w:r>
              <w:rPr>
                <w:rFonts w:ascii="Calibri" w:hAnsi="Calibri"/>
                <w:color w:val="2D3748"/>
                <w:sz w:val="15"/>
              </w:rPr>
              <w:t>Sections 4, 14, 15, 16 (Client data ownership, client authorization block)</w:t>
            </w:r>
          </w:p>
        </w:tc>
      </w:tr>
    </w:tbl>
    <w:p>
      <w:pPr>
        <w:spacing w:before="0" w:after="60" w:line="276" w:lineRule="auto"/>
      </w:pPr>
      <w:r>
        <w:rPr>
          <w:rFonts w:ascii="Calibri" w:hAnsi="Calibri"/>
          <w:color w:val="2D3748"/>
          <w:sz w:val="17"/>
        </w:rPr>
        <w:t>Concordance Summary: 36 of 36 sections mapped with zero substantive omission. All scope boundaries strictly protected.</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718096"/>
        <w:sz w:val="16"/>
      </w:rPr>
      <w:t>CONFIDENTIAL  —  PREPARED FOR CLIENT (KOLKATA)  |  REF: FNQ-PR-2026-001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Calibri" w:hAnsi="Calibri"/>
        <w:color w:val="718096"/>
        <w:sz w:val="16"/>
      </w:rPr>
      <w:t>FINNOAQ AGRO-INDUSTRIAL TECHNOLOGIES  |  TECHNICAL &amp; COMMERCIAL PROPOSAL  |  REV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