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Comparative Analysis of Foliar Particulate Matter Accumulation and Biochemical Resistance in Urban Biomonitors</w:t>
      </w:r>
    </w:p>
    <w:p>
      <w:pPr>
        <w:pStyle w:val="Heading2"/>
      </w:pPr>
      <w:r>
        <w:t>1. Introduction</w:t>
      </w:r>
    </w:p>
    <w:p>
      <w:pPr>
        <w:jc w:val="both"/>
      </w:pPr>
      <w:r>
        <w:t>The utilization of urban vegetation as a natural filtration system for atmospheric particulate matter (PM) has transitioned from a conceptual ecological service to a quantifiable engineering necessity. Urban centers grapple with escalating concentrations of fine and ultra-fine particulates, which not only degrade public health but also impose severe physiological constraints on the very flora intended to mitigate them (Singh &amp; Singh, 2025). The efficacy of a plant species as a biomonitor is defined by a dual-axis performance: its physical "capture capacity" (the ability to intercept and retain PM) and its biochemical "resilience" (the ability to maintain vital metabolic functions under corrosive dust loads). While initial research focused heavily on static leaf morphology, contemporary studies emphasize the dynamic interaction between PM chemistry and the epicuticular wax layer, which serves as the primary interface for gas exchange and water regulation (Liu et al., 2024).</w:t>
      </w:r>
    </w:p>
    <w:p>
      <w:pPr>
        <w:pStyle w:val="Heading2"/>
      </w:pPr>
      <w:r>
        <w:t>2. Mechanisms of Physical Capture and Retention</w:t>
      </w:r>
    </w:p>
    <w:p>
      <w:pPr>
        <w:jc w:val="both"/>
      </w:pPr>
      <w:r>
        <w:t>Physical interception is primarily governed by leaf micromorphology and canopy architecture. It is widely recognized that coniferous species, characterized by needle-like leaves and high resin content, exhibit a significantly higher PM dry deposition velocity ($V_d$) compared to broadleaf species. For instance, *Pinus mugo* has been shown to accumulate up to 15 times more PM than smoother-leaf species like *Tilia cordata* (Sæbø et al., 2012). This disparity is attributed to the complex geometry of the needle boundary layer and the persistence of epicuticular waxes that trap particles with high surface energy.</w:t>
      </w:r>
    </w:p>
    <w:p>
      <w:pPr>
        <w:jc w:val="both"/>
      </w:pPr>
      <w:r>
        <w:t>In broadleaf species, the presence of trichomes (leaf hairs) and surface roughness (SR) are the dominant drivers of total PM mass accumulation. Species such as *Malvaviscus arboreus* have demonstrated physical loads exceeding $17.3 g/m^2$ in high-pollution industrial corridors. However, high physical capture does not always equate to permanent removal; a significant fraction (up to 76%) of deposited PM can be resuspended into the atmosphere during high-wind events unless anchored by wax or washed into the soil by precipitation (Schaubroeck et al., 2014).</w:t>
      </w:r>
    </w:p>
    <w:p>
      <w:pPr>
        <w:pStyle w:val="Heading2"/>
      </w:pPr>
      <w:r>
        <w:t>3. Biochemical Stress and Wax Degradation</w:t>
      </w:r>
    </w:p>
    <w:p>
      <w:pPr>
        <w:jc w:val="both"/>
      </w:pPr>
      <w:r>
        <w:t>A critical research gap exists in understanding how PM physically and chemically degrades the biomonitor itself. The epicuticular wax layer, composed of long-chain hydrocarbons and alcohols, provides a hydrophobic barrier essential for plant survival. Recent investigations using Scanning Electron Microscopy (SEM) have revealed that chronic exposure to alkaline dusts and heavy metal aerosols induces the erosion and "fusion" of individual wax crystals (Liu et al., 2024). This biochemical degradation transforms the crystalline wax into amorphous, aggregated patches, thereby increasing the leaf’s permeability and reducing its photosynthetic efficiency—quantified by a marked decline in the chlorophyll fluorescence ratio ($F_v/F_m$).</w:t>
      </w:r>
    </w:p>
    <w:p>
      <w:pPr>
        <w:jc w:val="both"/>
      </w:pPr>
      <w:r>
        <w:t>Furthermore, the relationship between foliage and soil heavy metals has emerged as a fertile ground for rapid monitoring. Hyperspectral sensing has enabled the "spectral inversion" of leaf reflectance to predict soil concentrations of toxins like Cadmium (Cd) and Chromium (Cr) with high accuracy ($R^2 &gt; 0.74$) in species like *Ficus concinna* (Qi et al., 2026). This indicates that the plant’s entire metabolic profile—from its spectral identity to its wax integrity—functions as a high-fidelity sensor for multi-compartmental urban pollution.</w:t>
      </w:r>
    </w:p>
    <w:p>
      <w:pPr>
        <w:pStyle w:val="Heading2"/>
      </w:pPr>
      <w:r>
        <w:t>4. Synthesis and Future Directions</w:t>
      </w:r>
    </w:p>
    <w:p>
      <w:pPr>
        <w:jc w:val="both"/>
      </w:pPr>
      <w:r>
        <w:t>Strategic urban planning must move beyond "greenery" and toward "functional bio-analytics." Selecting plant species solely on the basis of physical PM capture is insufficient if those species succumb to biochemical stress within a single growing season. Optimal biomonitors exhibit a high Air Pollution Tolerance Index (APTI) alongside a regenerative wax layer capable of withstanding the chemical weathering induced by industrial aerosols. Future research should prioritize the integration of real-time hyperspectral monitoring with predictive models of wash-off dynamics to maximize the long-term effectiveness of urban biological filters.</w:t>
      </w:r>
    </w:p>
    <w:p>
      <w:pPr>
        <w:pStyle w:val="Heading2"/>
      </w:pPr>
      <w:r>
        <w:t>References</w:t>
      </w:r>
    </w:p>
    <w:p>
      <w:pPr>
        <w:jc w:val="both"/>
      </w:pPr>
      <w:r>
        <w:t>1. Qi, Y., et al. (2026). Rapid monitoring of soil heavy metals in urban road greenbelts using leaf spectral characteristic. *Journal of Hazardous Materials*, 506, 141565. DOI: 10.1016/j.jhazmat.2026.141565.</w:t>
      </w:r>
    </w:p>
    <w:p>
      <w:pPr>
        <w:jc w:val="both"/>
      </w:pPr>
      <w:r>
        <w:t>2. Singh, R., &amp; Singh, H. (2025). Analysing the Impact of Atmospheric Particulate Matter Deposition on Major Soil and Plants Attributes: A Review. *Water, Air, &amp; Soil Pollution*, 236(814). DOI: 10.1007/s11270-025-08472-3.</w:t>
      </w:r>
    </w:p>
    <w:p>
      <w:pPr>
        <w:jc w:val="both"/>
      </w:pPr>
      <w:r>
        <w:t>3. Liu, R., et al. (2024). Historical Pollution Exposure Impacts on PM2.5 Dry Deposition and Physiological Responses in Urban Trees. *Forests*, 15(9), 1614. DOI: 10.3390/f15091614.</w:t>
      </w:r>
    </w:p>
    <w:p>
      <w:pPr>
        <w:jc w:val="both"/>
      </w:pPr>
      <w:r>
        <w:t>4. Sæbø, A., et al. (2012). Plant species differences in particulate matter accumulation on leaf surfaces. *Science of the Total Environment*, 427, 347-354. DOI: 10.1016/j.scitotenv.2012.03.084.</w:t>
      </w:r>
    </w:p>
    <w:p>
      <w:pPr>
        <w:jc w:val="both"/>
      </w:pPr>
      <w:r>
        <w:t>5. Schaubroeck, T., et al. (2014). Multilayered Modeling of Particulate Matter Removal by a Growing Forest over Time. *Environmental Science &amp; Technology*, 48(18). DOI: 10.1021/es5019724.</w:t>
      </w:r>
    </w:p>
    <w:p>
      <w:r>
        <w:br w:type="page"/>
      </w:r>
    </w:p>
    <w:p>
      <w:pPr>
        <w:pStyle w:val="Heading1"/>
      </w:pPr>
      <w:r>
        <w:t>Figures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biomonitoring_structure_diagram_1773048111110.tiff"/>
                    <pic:cNvPicPr/>
                  </pic:nvPicPr>
                  <pic:blipFill>
                    <a:blip r:embed="rId9"/>
                    <a:stretch>
                      <a:fillRect/>
                    </a:stretch>
                  </pic:blipFill>
                  <pic:spPr>
                    <a:xfrm>
                      <a:off x="0" y="0"/>
                      <a:ext cx="5486400" cy="5486400"/>
                    </a:xfrm>
                    <a:prstGeom prst="rect"/>
                  </pic:spPr>
                </pic:pic>
              </a:graphicData>
            </a:graphic>
          </wp:inline>
        </w:drawing>
      </w:r>
    </w:p>
    <w:p>
      <w:pPr>
        <w:jc w:val="center"/>
      </w:pPr>
      <w:r>
        <w:t>Figure 1: Conceptual structure of plant-PM interaction pathways, highlighting physical capture kinetics and biochemical resilience markers.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