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LABIRINTO BUROCRÁTICO</w:t>
      </w:r>
    </w:p>
    <w:p>
      <w:pPr>
        <w:pStyle w:val="Subtitle"/>
      </w:pPr>
      <w:r>
        <w:t>Direção de arte, mecânicas e arquitetura</w:t>
      </w:r>
    </w:p>
    <w:p>
      <w:pPr/>
      <w:r>
        <w:t>Guia de evolução do RPG 2D • Versão 1.0 • 13 de setembro de 2026</w:t>
      </w:r>
    </w:p>
    <w:p>
      <w:pPr/>
      <w:r>
        <w:rPr>
          <w:b/>
        </w:rPr>
        <w:t>Diretriz:</w:t>
      </w:r>
      <w:r>
        <w:t xml:space="preserve"> transformar o escritório em um espaço expressivo e legível, no qual o jogador compreenda a competência de cada cargo, acompanhe os documentos e adapte seu plano sem perder a coerência das regras.</w:t>
      </w:r>
    </w:p>
    <w:p>
      <w:pPr>
        <w:pStyle w:val="Heading2"/>
      </w:pPr>
      <w:r>
        <w:t>Visão do produto</w:t>
      </w:r>
    </w:p>
    <w:p>
      <w:pPr/>
      <w:r>
        <w:t>Combinar pixel art com acabamento contemporâneo: personagens e mobiliário em uma grade consistente, iluminação que revele o ambiente, formulários nítidos e decisões cujas consequências sejam explicáveis. O desafio é reconhecer competências, reunir evidências e escolher um procedimento adequado.</w:t>
      </w:r>
    </w:p>
    <w:p>
      <w:pPr/>
      <w:r>
        <w:t>A proposta considera primeiro um jogo individual acessível pelo navegador. “Online” significa distribuição pela web; contas, sincronização e classificação pública entram quando necessárias. Os valores de animação, desempenho e dificuldade são pontos de partida para testes, não requisitos de uma teoria ou biblioteca.</w:t>
      </w:r>
    </w:p>
    <w:p>
      <w:pPr>
        <w:pStyle w:val="Heading2"/>
      </w:pPr>
      <w:r>
        <w:t>Base existente e próximo salto</w:t>
      </w:r>
    </w:p>
    <w:p>
      <w:pPr/>
      <w:r>
        <w:t xml:space="preserve">A versão local já separa regras em </w:t>
      </w:r>
      <w:r>
        <w:rPr>
          <w:rFonts w:ascii="Consolas" w:hAnsi="Consolas"/>
          <w:sz w:val="19"/>
        </w:rPr>
        <w:t>engine.js</w:t>
      </w:r>
      <w:r>
        <w:t xml:space="preserve"> e apresentação em </w:t>
      </w:r>
      <w:r>
        <w:rPr>
          <w:rFonts w:ascii="Consolas" w:hAnsi="Consolas"/>
          <w:sz w:val="19"/>
        </w:rPr>
        <w:t>game.js</w:t>
      </w:r>
      <w:r>
        <w:t>. Possui seis etapas, três vidas, eventos sorteados, prazo por ações, alternativas embaralhadas, salvamento local e interface HTML sobre Canvas. O escritório usa formas desenhadas por código, sombras e luzes decorativas. Ainda não há uma produção completa de sprites com iluminação dinâmica e oclusão.</w:t>
      </w:r>
    </w:p>
    <w:p>
      <w:pPr/>
      <w:r>
        <w:rPr>
          <w:b/>
        </w:rPr>
        <w:t>Evolução recomendada:</w:t>
      </w:r>
      <w:r>
        <w:t xml:space="preserve"> documentos, aprovações e pré-requisitos explícitos substituem a dependência exclusiva de </w:t>
      </w:r>
      <w:r>
        <w:rPr>
          <w:rFonts w:ascii="Consolas" w:hAnsi="Consolas"/>
          <w:sz w:val="19"/>
        </w:rPr>
        <w:t>stage</w:t>
      </w:r>
      <w:r>
        <w:t>; renderização, interação e persistência saem do arquivo de interface; o núcleo de regras continua testável sem navegador.</w:t>
      </w:r>
    </w:p>
    <w:p>
      <w:pPr>
        <w:pStyle w:val="Heading2"/>
      </w:pPr>
      <w:r>
        <w:t>Critério pedagógico</w:t>
      </w:r>
    </w:p>
    <w:p>
      <w:pPr/>
      <w:r>
        <w:t>Na formulação weberiana, cargos possuem competências, a administração opera com registros e a hierarquia define relações de autoridade. O jogo traduz esses elementos em situações fictícias. Não deve ensinar que burocracia é simplesmente lentidão, que toda regra é eficiente ou que a pessoa mais influente pode decidir qualquer assunto. [1]</w:t>
      </w:r>
    </w:p>
    <w:p>
      <w:pPr>
        <w:pStyle w:val="Heading2"/>
      </w:pPr>
      <w:r>
        <w:t>Como usar este guia</w:t>
      </w:r>
    </w:p>
    <w:p>
      <w:pPr/>
      <w:r>
        <w:t>As primeiras seções orientam arte e interface; as seguintes detalham inventário, diálogos e progressão; as últimas definem módulos, penalizações, salvamento e entrega. Exemplos de código são contratos propostos para implementação, não funcionalidades já incorporadas ao jogo.</w:t>
      </w:r>
    </w:p>
    <w:p>
      <w:pPr>
        <w:pStyle w:val="Break"/>
      </w:pPr>
      <w:r>
        <w:br w:type="page"/>
      </w:r>
    </w:p>
    <w:p>
      <w:pPr>
        <w:pStyle w:val="Heading1"/>
      </w:pPr>
      <w:r>
        <w:t>Direção de arte</w:t>
      </w:r>
    </w:p>
    <w:p>
      <w:pPr>
        <w:pStyle w:val="Subtitle"/>
      </w:pPr>
      <w:r>
        <w:t>Um escritório institucional, acolhedor e reconhecível</w:t>
      </w:r>
    </w:p>
    <w:p>
      <w:pPr/>
      <w:r>
        <w:t>Adotar a atmosfera de um escritório em miniatura: materiais quentes, arquitetura organizada, tecnologia discreta e pequenos sinais de vida. A composição deve diferenciar os setores antes da leitura das placas.</w:t>
      </w:r>
    </w:p>
    <w:p>
      <w:pPr>
        <w:pStyle w:val="Heading2"/>
      </w:pPr>
      <w:r>
        <w:t>Paleta principal: Arquivo contemporâneo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4DFE3"/>
          <w:left w:val="single" w:sz="4" w:color="D4DFE3"/>
          <w:bottom w:val="single" w:sz="4" w:color="D4DFE3"/>
          <w:right w:val="single" w:sz="4" w:color="D4DFE3"/>
          <w:insideH w:val="single" w:sz="4" w:color="D4DFE3"/>
          <w:insideV w:val="single" w:sz="4" w:color="D4DFE3"/>
        </w:tblBorders>
      </w:tblPr>
      <w:tblGrid>
        <w:gridCol w:w="2300"/>
        <w:gridCol w:w="1500"/>
        <w:gridCol w:w="5560"/>
      </w:tblGrid>
      <w:tr>
        <w:trPr>
          <w:cantSplit/>
          <w:tblHeader/>
        </w:trPr>
        <w:tc>
          <w:tcPr>
            <w:tcW w:type="dxa" w:w="2300"/>
            <w:vAlign w:val="center"/>
            <w:shd w:fill="E8EEF5"/>
          </w:tcPr>
          <w:p>
            <w:pPr>
              <w:pStyle w:val="TableHeader"/>
            </w:pPr>
            <w:r>
              <w:t>Cor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pStyle w:val="TableHeader"/>
            </w:pPr>
            <w:r>
              <w:t>HEX</w:t>
            </w:r>
          </w:p>
        </w:tc>
        <w:tc>
          <w:tcPr>
            <w:tcW w:type="dxa" w:w="5560"/>
            <w:vAlign w:val="center"/>
            <w:shd w:fill="E8EEF5"/>
          </w:tcPr>
          <w:p>
            <w:pPr>
              <w:pStyle w:val="TableHeader"/>
            </w:pPr>
            <w:r>
              <w:t>Aplicação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</w:pPr>
            <w:r>
              <w:t>Azul profundo</w:t>
            </w:r>
          </w:p>
        </w:tc>
        <w:tc>
          <w:tcPr>
            <w:tcW w:type="dxa" w:w="1500"/>
            <w:vAlign w:val="center"/>
            <w:shd w:fill="142536"/>
          </w:tcPr>
          <w:p>
            <w:pPr>
              <w:pStyle w:val="TableText"/>
            </w:pPr>
            <w:r>
              <w:rPr>
                <w:color w:val="FFFFFF"/>
              </w:rPr>
              <w:t>#142536</w:t>
            </w:r>
          </w:p>
        </w:tc>
        <w:tc>
          <w:tcPr>
            <w:tcW w:type="dxa" w:w="5560"/>
            <w:vAlign w:val="center"/>
          </w:tcPr>
          <w:p>
            <w:pPr>
              <w:pStyle w:val="TableText"/>
            </w:pPr>
            <w:r>
              <w:t>Fundo da interface e contornos escuros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</w:pPr>
            <w:r>
              <w:t>Azul ardósia</w:t>
            </w:r>
          </w:p>
        </w:tc>
        <w:tc>
          <w:tcPr>
            <w:tcW w:type="dxa" w:w="1500"/>
            <w:vAlign w:val="center"/>
            <w:shd w:fill="29485B"/>
          </w:tcPr>
          <w:p>
            <w:pPr>
              <w:pStyle w:val="TableText"/>
            </w:pPr>
            <w:r>
              <w:rPr>
                <w:color w:val="FFFFFF"/>
              </w:rPr>
              <w:t>#29485B</w:t>
            </w:r>
          </w:p>
        </w:tc>
        <w:tc>
          <w:tcPr>
            <w:tcW w:type="dxa" w:w="5560"/>
            <w:vAlign w:val="center"/>
          </w:tcPr>
          <w:p>
            <w:pPr>
              <w:pStyle w:val="TableText"/>
            </w:pPr>
            <w:r>
              <w:t>Painéis, paredes e metal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</w:pPr>
            <w:r>
              <w:t>Papel quente</w:t>
            </w:r>
          </w:p>
        </w:tc>
        <w:tc>
          <w:tcPr>
            <w:tcW w:type="dxa" w:w="1500"/>
            <w:vAlign w:val="center"/>
            <w:shd w:fill="F5EEDC"/>
          </w:tcPr>
          <w:p>
            <w:pPr>
              <w:pStyle w:val="TableText"/>
            </w:pPr>
            <w:r>
              <w:rPr>
                <w:color w:val="142536"/>
              </w:rPr>
              <w:t>#F5EEDC</w:t>
            </w:r>
          </w:p>
        </w:tc>
        <w:tc>
          <w:tcPr>
            <w:tcW w:type="dxa" w:w="5560"/>
            <w:vAlign w:val="center"/>
          </w:tcPr>
          <w:p>
            <w:pPr>
              <w:pStyle w:val="TableText"/>
            </w:pPr>
            <w:r>
              <w:t>Formulários e leitura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</w:pPr>
            <w:r>
              <w:t>Madeira clara</w:t>
            </w:r>
          </w:p>
        </w:tc>
        <w:tc>
          <w:tcPr>
            <w:tcW w:type="dxa" w:w="1500"/>
            <w:vAlign w:val="center"/>
            <w:shd w:fill="BD966F"/>
          </w:tcPr>
          <w:p>
            <w:pPr>
              <w:pStyle w:val="TableText"/>
            </w:pPr>
            <w:r>
              <w:rPr>
                <w:color w:val="142536"/>
              </w:rPr>
              <w:t>#BD966F</w:t>
            </w:r>
          </w:p>
        </w:tc>
        <w:tc>
          <w:tcPr>
            <w:tcW w:type="dxa" w:w="5560"/>
            <w:vAlign w:val="center"/>
          </w:tcPr>
          <w:p>
            <w:pPr>
              <w:pStyle w:val="TableText"/>
            </w:pPr>
            <w:r>
              <w:t>Mesas, portas e prateleiras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</w:pPr>
            <w:r>
              <w:t>Verde institucional</w:t>
            </w:r>
          </w:p>
        </w:tc>
        <w:tc>
          <w:tcPr>
            <w:tcW w:type="dxa" w:w="1500"/>
            <w:vAlign w:val="center"/>
            <w:shd w:fill="2D6958"/>
          </w:tcPr>
          <w:p>
            <w:pPr>
              <w:pStyle w:val="TableText"/>
            </w:pPr>
            <w:r>
              <w:rPr>
                <w:color w:val="FFFFFF"/>
              </w:rPr>
              <w:t>#2D6958</w:t>
            </w:r>
          </w:p>
        </w:tc>
        <w:tc>
          <w:tcPr>
            <w:tcW w:type="dxa" w:w="5560"/>
            <w:vAlign w:val="center"/>
          </w:tcPr>
          <w:p>
            <w:pPr>
              <w:pStyle w:val="TableText"/>
            </w:pPr>
            <w:r>
              <w:t>Aprovação e confirmação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</w:pPr>
            <w:r>
              <w:t>Âmbar</w:t>
            </w:r>
          </w:p>
        </w:tc>
        <w:tc>
          <w:tcPr>
            <w:tcW w:type="dxa" w:w="1500"/>
            <w:vAlign w:val="center"/>
            <w:shd w:fill="E3B56B"/>
          </w:tcPr>
          <w:p>
            <w:pPr>
              <w:pStyle w:val="TableText"/>
            </w:pPr>
            <w:r>
              <w:rPr>
                <w:color w:val="142536"/>
              </w:rPr>
              <w:t>#E3B56B</w:t>
            </w:r>
          </w:p>
        </w:tc>
        <w:tc>
          <w:tcPr>
            <w:tcW w:type="dxa" w:w="5560"/>
            <w:vAlign w:val="center"/>
          </w:tcPr>
          <w:p>
            <w:pPr>
              <w:pStyle w:val="TableText"/>
            </w:pPr>
            <w:r>
              <w:t>Objetivo, foco e pendência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</w:pPr>
            <w:r>
              <w:t>Terracota</w:t>
            </w:r>
          </w:p>
        </w:tc>
        <w:tc>
          <w:tcPr>
            <w:tcW w:type="dxa" w:w="1500"/>
            <w:vAlign w:val="center"/>
            <w:shd w:fill="A74737"/>
          </w:tcPr>
          <w:p>
            <w:pPr>
              <w:pStyle w:val="TableText"/>
            </w:pPr>
            <w:r>
              <w:rPr>
                <w:color w:val="FFFFFF"/>
              </w:rPr>
              <w:t>#A74737</w:t>
            </w:r>
          </w:p>
        </w:tc>
        <w:tc>
          <w:tcPr>
            <w:tcW w:type="dxa" w:w="5560"/>
            <w:vAlign w:val="center"/>
          </w:tcPr>
          <w:p>
            <w:pPr>
              <w:pStyle w:val="TableText"/>
            </w:pPr>
            <w:r>
              <w:t>Devolução e erro confirmado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pStyle w:val="TableText"/>
            </w:pPr>
            <w:r>
              <w:t>Cinza de texto</w:t>
            </w:r>
          </w:p>
        </w:tc>
        <w:tc>
          <w:tcPr>
            <w:tcW w:type="dxa" w:w="1500"/>
            <w:vAlign w:val="center"/>
            <w:shd w:fill="526775"/>
          </w:tcPr>
          <w:p>
            <w:pPr>
              <w:pStyle w:val="TableText"/>
            </w:pPr>
            <w:r>
              <w:rPr>
                <w:color w:val="FFFFFF"/>
              </w:rPr>
              <w:t>#526775</w:t>
            </w:r>
          </w:p>
        </w:tc>
        <w:tc>
          <w:tcPr>
            <w:tcW w:type="dxa" w:w="5560"/>
            <w:vAlign w:val="center"/>
          </w:tcPr>
          <w:p>
            <w:pPr>
              <w:pStyle w:val="TableText"/>
            </w:pPr>
            <w:r>
              <w:t>Texto secundário sobre papel claro</w:t>
            </w:r>
          </w:p>
        </w:tc>
      </w:tr>
    </w:tbl>
    <w:p>
      <w:pPr>
        <w:pStyle w:val="Break"/>
      </w:pPr>
    </w:p>
    <w:p>
      <w:pPr/>
      <w:r>
        <w:t>Status combina cor, texto e forma: aprovação com marca de conferência; pendência com relógio; devolução com seta de retorno. Cor de setor não pode, sozinha, indicar resposta correta.</w:t>
      </w:r>
    </w:p>
    <w:p>
      <w:pPr/>
      <w:r>
        <w:rPr>
          <w:b/>
        </w:rPr>
        <w:t>Expediente diurno:</w:t>
      </w:r>
      <w:r>
        <w:t xml:space="preserve"> fundo #E6DFCF, paredes #80978D, tinta #243E49 e destaque #B87740. Favorece uma apresentação clara; preservar contraste dos carimbos.</w:t>
      </w:r>
    </w:p>
    <w:p>
      <w:pPr/>
      <w:r>
        <w:rPr>
          <w:b/>
        </w:rPr>
        <w:t>Plantão noturno:</w:t>
      </w:r>
      <w:r>
        <w:t xml:space="preserve"> fundo #102033, paredes #30495C, papel #ECE6D6 e luz #D6B77B. Usar em missão específica, mantendo portas e personagens visíveis. A dificuldade não deve depender de enxergar no escuro.</w:t>
      </w:r>
    </w:p>
    <w:p>
      <w:pPr>
        <w:pStyle w:val="Heading2"/>
      </w:pPr>
      <w:r>
        <w:t>Materiais e identidade dos setores</w:t>
      </w:r>
    </w:p>
    <w:p>
      <w:pPr/>
      <w:r>
        <w:t>Concentrar tons saturados em personagens, portas úteis e documentos. Trabalhar com três ou quatro valores de luminosidade por material. Evitar contorno preto uniforme e degradês diferentes em cada objeto.</w:t>
      </w:r>
    </w:p>
    <w:p>
      <w:pPr/>
      <w:r>
        <w:t>Diferenciar pela silhueta: Protocolo com bandejas e arquivo; Supervisão com quadro de fluxo; Gerência com planilhas; Diretoria com mesa de reunião; Jurídico com biblioteca; Direção-geral com visão do escritório. Preservar escala de mesas, largura das portas e altura aparente das paredes.</w:t>
      </w:r>
    </w:p>
    <w:p>
      <w:pPr>
        <w:pStyle w:val="Break"/>
      </w:pPr>
      <w:r>
        <w:br w:type="page"/>
      </w:r>
    </w:p>
    <w:p>
      <w:pPr>
        <w:pStyle w:val="Heading1"/>
      </w:pPr>
      <w:r>
        <w:t>Sprites e avatares</w:t>
      </w:r>
    </w:p>
    <w:p>
      <w:pPr>
        <w:pStyle w:val="Subtitle"/>
      </w:pPr>
      <w:r>
        <w:t>Pixel art com regras de produção</w:t>
      </w:r>
    </w:p>
    <w:p>
      <w:pPr>
        <w:pStyle w:val="Heading2"/>
      </w:pPr>
      <w:r>
        <w:t>Grade e câmera</w:t>
      </w:r>
    </w:p>
    <w:p>
      <w:pPr/>
      <w:r>
        <w:t xml:space="preserve">Usar tiles de </w:t>
      </w:r>
      <w:r>
        <w:rPr>
          <w:b/>
        </w:rPr>
        <w:t>32 × 32 pixels</w:t>
      </w:r>
      <w:r>
        <w:t xml:space="preserve"> e personagens em quadros de </w:t>
      </w:r>
      <w:r>
        <w:rPr>
          <w:b/>
        </w:rPr>
        <w:t>32 × 48 pixels</w:t>
      </w:r>
      <w:r>
        <w:t>, com origem nos pés. Colisões acompanham a base física dos objetos; cabeças, encostos e copas podem ultrapassá-la sem bloquear o movimento.</w:t>
      </w:r>
    </w:p>
    <w:p>
      <w:pPr/>
      <w:r>
        <w:t xml:space="preserve">Propor câmera de </w:t>
      </w:r>
      <w:r>
        <w:rPr>
          <w:b/>
        </w:rPr>
        <w:t>480 × 320 pixels lógicos</w:t>
      </w:r>
      <w:r>
        <w:t>, separada do tamanho do mapa. Em telas maiores, ampliar por fatores inteiros; em celular, reduzir a área visível ou mover a câmera. Encolher o escritório inteiro prejudica a exploração.</w:t>
      </w:r>
    </w:p>
    <w:p>
      <w:pPr/>
      <w:r>
        <w:t xml:space="preserve">Usar </w:t>
      </w:r>
      <w:r>
        <w:rPr>
          <w:rFonts w:ascii="Consolas" w:hAnsi="Consolas"/>
          <w:sz w:val="19"/>
        </w:rPr>
        <w:t>imageSmoothingEnabled = false</w:t>
      </w:r>
      <w:r>
        <w:t xml:space="preserve"> para sprites ampliados e escala sem suavização. Conservar posições físicas fracionárias e arredondar apenas o desenho. Textos longos permanecem em HTML na resolução da tela. A propriedade do Canvas evita interpolação dos pixels ao ampliar imagens. [2]</w:t>
      </w:r>
    </w:p>
    <w:p>
      <w:pPr>
        <w:pStyle w:val="Heading2"/>
      </w:pPr>
      <w:r>
        <w:t>Biblioteca inicial de animações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4DFE3"/>
          <w:left w:val="single" w:sz="4" w:color="D4DFE3"/>
          <w:bottom w:val="single" w:sz="4" w:color="D4DFE3"/>
          <w:right w:val="single" w:sz="4" w:color="D4DFE3"/>
          <w:insideH w:val="single" w:sz="4" w:color="D4DFE3"/>
          <w:insideV w:val="single" w:sz="4" w:color="D4DFE3"/>
        </w:tblBorders>
      </w:tblPr>
      <w:tblGrid>
        <w:gridCol w:w="2400"/>
        <w:gridCol w:w="3300"/>
        <w:gridCol w:w="3660"/>
      </w:tblGrid>
      <w:tr>
        <w:trPr>
          <w:cantSplit/>
          <w:tblHeader/>
        </w:trPr>
        <w:tc>
          <w:tcPr>
            <w:tcW w:type="dxa" w:w="2400"/>
            <w:vAlign w:val="center"/>
            <w:shd w:fill="E8EEF5"/>
          </w:tcPr>
          <w:p>
            <w:pPr>
              <w:pStyle w:val="TableHeader"/>
            </w:pPr>
            <w:r>
              <w:t>Estado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pStyle w:val="TableHeader"/>
            </w:pPr>
            <w:r>
              <w:t>Produção sugerida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pStyle w:val="TableHeader"/>
            </w:pPr>
            <w:r>
              <w:t>Intenção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Parado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2 quadros por direção; 2–3 fps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Respiração sem deslizar os pés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Caminhando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6 quadros por direção; 8–10 fps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Passadas coerentes com a velocidade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Conversando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3 poses; alternância lenta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Olhar e gestos para o interlocutor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Entregando pasta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4–6 quadros; 350–500 ms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Preparar, entregar, retornar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Carimbando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5 quadros; 250–350 ms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Antecipação e contato marcante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Reagindo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2–3 poses; 400–700 ms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Dúvida, surpresa e satisfação</w:t>
            </w:r>
          </w:p>
        </w:tc>
      </w:tr>
    </w:tbl>
    <w:p>
      <w:pPr>
        <w:pStyle w:val="Break"/>
      </w:pPr>
    </w:p>
    <w:p>
      <w:pPr/>
      <w:r>
        <w:t>Começar com quatro direções. Diferenciar NPCs por roupa, cabelo, acessório e postura. Não usar idade, aparência ou riqueza visual como indicador de competência administrativa.</w:t>
      </w:r>
    </w:p>
    <w:p>
      <w:pPr/>
      <w:r>
        <w:t>Sincronizar o som do carimbo com o quadro de contato. O efeito acompanha uma aprovação já confirmada pelo domínio; a animação nunca concede a assinatura. Permitir pular efeitos sem perder mensagens e respeitar redução de movimento.</w:t>
      </w:r>
    </w:p>
    <w:p>
      <w:pPr/>
      <w:r>
        <w:t>Usar sprites completos enquanto personalização por partes não for necessária. Exportar PNG transparente, origem consistente e margem de extrusão no atlas para reduzir vazamento entre quadros. Definir frames e duração em dados, sem condicionais específicas por personagem.</w:t>
      </w:r>
    </w:p>
    <w:p>
      <w:pPr/>
      <w:r>
        <w:rPr>
          <w:b/>
        </w:rPr>
        <w:t>Critério de arte:</w:t>
      </w:r>
      <w:r>
        <w:t xml:space="preserve"> avatares reconhecíveis em escala 1×; portas e objetos interativos identificáveis sem depender de brilho ou animação.</w:t>
      </w:r>
    </w:p>
    <w:p>
      <w:pPr>
        <w:pStyle w:val="Break"/>
      </w:pPr>
      <w:r>
        <w:br w:type="page"/>
      </w:r>
    </w:p>
    <w:p>
      <w:pPr>
        <w:pStyle w:val="Heading1"/>
      </w:pPr>
      <w:r>
        <w:t>Iluminação e sombras</w:t>
      </w:r>
    </w:p>
    <w:p>
      <w:pPr>
        <w:pStyle w:val="Subtitle"/>
      </w:pPr>
      <w:r>
        <w:t>Profundidade com leitura e desempenho</w:t>
      </w:r>
    </w:p>
    <w:p>
      <w:pPr/>
      <w:r>
        <w:t xml:space="preserve">Pré-renderizar pisos, paredes e decoração estática, atualizando o cache quando a sala mudar. Desenhar atores e objetos móveis em passagem própria, ordenados pela coordenada dos pés. Dividir móveis altos em base e parte frontal quando necessário. Cache, camadas e </w:t>
      </w:r>
      <w:r>
        <w:rPr>
          <w:rFonts w:ascii="Consolas" w:hAnsi="Consolas"/>
          <w:sz w:val="19"/>
        </w:rPr>
        <w:t>requestAnimationFrame</w:t>
      </w:r>
      <w:r>
        <w:t xml:space="preserve"> são práticas documentadas de otimização do Canvas. [3]</w:t>
      </w:r>
    </w:p>
    <w:p>
      <w:pPr/>
      <w:r>
        <w:rPr>
          <w:b/>
        </w:rPr>
        <w:t>Ordem proposta:</w:t>
      </w:r>
      <w:r>
        <w:t xml:space="preserve"> cenário → sombras de contato → atores e móveis com profundidade → máscara de luz do mundo → efeitos pontuais → UI HTML. Formulários ficam fora da iluminação do mundo.</w:t>
      </w:r>
    </w:p>
    <w:p>
      <w:pPr/>
      <w:r>
        <w:t>Sombras de contato são elipses sob personagens e bases de móveis, inicialmente com 15–25% de opacidade. Para luz ambiente, sobrepor uma camada escura e abrir zonas iluminadas com máscaras radiais pré-calculadas. É uma simulação econômica: não resolve automaticamente a passagem de luz por paredes.</w:t>
      </w:r>
    </w:p>
    <w:p>
      <w:pPr>
        <w:pStyle w:val="Heading2"/>
      </w:pPr>
      <w:r>
        <w:t>Oclusão real das luzes</w:t>
      </w:r>
    </w:p>
    <w:p>
      <w:pPr/>
      <w:r>
        <w:t>Representar paredes e móveis relevantes por segmentos. Para cada luz próxima, lançar raios para os vértices dos obstáculos e pequenas variações angulares; encontrar a interseção mais próxima, ordenar os resultados e formar um polígono de visibilidade. Recortar o gradiente nesse polígono. Recalcular quando a luz ou a geometria mudar.</w:t>
      </w:r>
    </w:p>
    <w:p>
      <w:pPr/>
      <w:r>
        <w:t>Colisão, oclusão da luz e profundidade visual são sistemas distintos. Uma mesa pode bloquear os pés, permitir a cabeça atrás dela e projetar outra sombra. Não derivar os três comportamentos de um único retângulo.</w:t>
      </w:r>
    </w:p>
    <w:p>
      <w:pPr>
        <w:pStyle w:val="Heading2"/>
      </w:pPr>
      <w:r>
        <w:t>Quando avaliar WebGL</w:t>
      </w:r>
    </w:p>
    <w:p>
      <w:pPr/>
      <w:r>
        <w:t xml:space="preserve">Se houver necessidade de luz por pixel e reação das superfícies, prototipar um renderizador WebGL. Como referência versionada, Phaser 3.90 oferece </w:t>
      </w:r>
      <w:r>
        <w:rPr>
          <w:rFonts w:ascii="Consolas" w:hAnsi="Consolas"/>
          <w:sz w:val="19"/>
        </w:rPr>
        <w:t>Light2D</w:t>
      </w:r>
      <w:r>
        <w:t xml:space="preserve"> e normal maps. Fixar a versão escolhida e conferir seus exemplos. Normal maps descrevem orientação da superfície; não substituem sombras projetadas por obstáculos. [4]</w:t>
      </w:r>
    </w:p>
    <w:p>
      <w:pPr>
        <w:pStyle w:val="Heading2"/>
      </w:pPr>
      <w:r>
        <w:t>Orçamento inicial de efeitos</w:t>
      </w:r>
    </w:p>
    <w:p>
      <w:pPr/>
      <w:r>
        <w:t>Começar com até quatro luzes móveis visíveis, sombras dinâmicas apenas próximas e textura de luz em resolução reduzida. Ampliar suavemente os efeitos sem suavizar os sprites. Modo econômico remove partículas, brilho e oclusão dinâmica, preservando contraste e objetivos.</w:t>
      </w:r>
    </w:p>
    <w:p>
      <w:pPr/>
      <w:r>
        <w:rPr>
          <w:b/>
        </w:rPr>
        <w:t>Metas propostas, ainda não medidas:</w:t>
      </w:r>
      <w:r>
        <w:t xml:space="preserve"> 60 fps em computador de referência e 30 fps em celular intermediário. Medir tempo de quadro, travamentos e memória com todos os efeitos ativos; testar aba oculta e preferência por movimento reduzido.</w:t>
      </w:r>
    </w:p>
    <w:p>
      <w:pPr>
        <w:pStyle w:val="Break"/>
      </w:pPr>
      <w:r>
        <w:br w:type="page"/>
      </w:r>
    </w:p>
    <w:p>
      <w:pPr>
        <w:pStyle w:val="Heading1"/>
      </w:pPr>
      <w:r>
        <w:t>Interface premium</w:t>
      </w:r>
    </w:p>
    <w:p>
      <w:pPr>
        <w:pStyle w:val="Subtitle"/>
      </w:pPr>
      <w:r>
        <w:t>A pasta de trabalho organiza a experiência</w:t>
      </w:r>
    </w:p>
    <w:p>
      <w:pPr/>
      <w:r>
        <w:t xml:space="preserve">No computador, reservar aproximadamente 70% da área útil ao mundo e 30% à missão e ao processo. No topo, manter prazo em ações, vidas e progresso. O documento em foco explica </w:t>
      </w:r>
      <w:r>
        <w:rPr>
          <w:b/>
        </w:rPr>
        <w:t>quem precisa agir, o que falta e por quê</w:t>
      </w:r>
      <w:r>
        <w:t>.</w:t>
      </w:r>
    </w:p>
    <w:p>
      <w:pPr/>
      <w:r>
        <w:t>No celular, usar câmera e uma faixa de objetivo; inventário e formulários abrem em painéis de leitura. Oferecer equivalência entre teclado e toque. Arrastar documentos não pode ser a única maneira de anexá-los.</w:t>
      </w:r>
    </w:p>
    <w:p>
      <w:pPr/>
      <w:r>
        <w:t>Cabeçalho: número do processo, tipo, revisão e status. Corpo: finalidade, quantidade, justificativa e anexos. Rodapé: pareceres e assinaturas, cada um com cargo, responsável, revisão analisada e validade.</w:t>
      </w:r>
    </w:p>
    <w:p>
      <w:pPr/>
      <w:r>
        <w:rPr>
          <w:b/>
        </w:rPr>
        <w:t>Exemplo:</w:t>
      </w:r>
      <w:r>
        <w:t xml:space="preserve"> “REQ-001 · revisão 3 · Em revisão financeira”. Explicação: “A quantidade mudou de 5 para 7. O parecer financeiro precisa ser atualizado.” Ações: “Ver alterações”, “Selecionar anexo” e “Encaminhar à Gerência”. Códigos internos não substituem a explicação.</w:t>
      </w:r>
    </w:p>
    <w:p>
      <w:pPr>
        <w:pStyle w:val="Heading2"/>
      </w:pPr>
      <w:r>
        <w:t>Carimbos e microinterações</w:t>
      </w:r>
    </w:p>
    <w:p>
      <w:pPr/>
      <w:r>
        <w:t>Usar papel claro, linhas finas, cantos de 6–10 px nos painéis e sombra curta. A arte do carimbo pode ter textura sutil e rotação de até 4°; metadados permanecem alinhados. Priorizar legibilidade em escala pequena.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4DFE3"/>
          <w:left w:val="single" w:sz="4" w:color="D4DFE3"/>
          <w:bottom w:val="single" w:sz="4" w:color="D4DFE3"/>
          <w:right w:val="single" w:sz="4" w:color="D4DFE3"/>
          <w:insideH w:val="single" w:sz="4" w:color="D4DFE3"/>
          <w:insideV w:val="single" w:sz="4" w:color="D4DFE3"/>
        </w:tblBorders>
      </w:tblPr>
      <w:tblGrid>
        <w:gridCol w:w="2400"/>
        <w:gridCol w:w="3300"/>
        <w:gridCol w:w="3660"/>
      </w:tblGrid>
      <w:tr>
        <w:trPr>
          <w:cantSplit/>
          <w:tblHeader/>
        </w:trPr>
        <w:tc>
          <w:tcPr>
            <w:tcW w:type="dxa" w:w="2400"/>
            <w:vAlign w:val="center"/>
            <w:shd w:fill="E8EEF5"/>
          </w:tcPr>
          <w:p>
            <w:pPr>
              <w:pStyle w:val="TableHeader"/>
            </w:pPr>
            <w:r>
              <w:t>Estado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pStyle w:val="TableHeader"/>
            </w:pPr>
            <w:r>
              <w:t>Tratamento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pStyle w:val="TableHeader"/>
            </w:pPr>
            <w:r>
              <w:t>Comportamento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Aprovado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Verde e conferência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Carimbo curto; registro persistente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Pendente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Âmbar e relógio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Motivo, responsável e próximo passo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Devolvido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Terracota e retorno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Custo aplicado e correção possível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Superado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Cinza e revisão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Histórico consultável; não aprova</w:t>
            </w:r>
          </w:p>
        </w:tc>
      </w:tr>
    </w:tbl>
    <w:p>
      <w:pPr>
        <w:pStyle w:val="Break"/>
      </w:pPr>
    </w:p>
    <w:p>
      <w:pPr/>
      <w:r>
        <w:t>Painéis: 150–220 ms de transição. Carimbo: até 350 ms. Evitar tremor de tela, flashes e mensagens que desapareçam antes de serem lidas.</w:t>
      </w:r>
    </w:p>
    <w:p>
      <w:pPr>
        <w:pStyle w:val="Heading2"/>
      </w:pPr>
      <w:r>
        <w:t>Tipografia e acessibilidade</w:t>
      </w:r>
    </w:p>
    <w:p>
      <w:pPr/>
      <w:r>
        <w:t>Usar fonte de leitura como Segoe UI; verificar licença de fontes distribuídas. Reservar fonte pixelada para títulos curtos. Formulários começam em 16 px CSS, com entrelinha próxima de 1,5. Validar contraste de 4,5:1 para texto comum e 3:1 para texto grande. [5]</w:t>
      </w:r>
    </w:p>
    <w:p>
      <w:pPr/>
      <w:r>
        <w:t>Adotar 44 × 44 px como meta de conforto para toque; WCAG 2.2 AA define 24 × 24 px, com exceções. [6] Garantir foco visível, Escape para consultas, restituição de foco e informação textual para todos os estados.</w:t>
      </w:r>
    </w:p>
    <w:p>
      <w:pPr>
        <w:pStyle w:val="Break"/>
      </w:pPr>
      <w:r>
        <w:br w:type="page"/>
      </w:r>
    </w:p>
    <w:p>
      <w:pPr>
        <w:pStyle w:val="Heading1"/>
      </w:pPr>
      <w:r>
        <w:t>Inventário de documentos</w:t>
      </w:r>
    </w:p>
    <w:p>
      <w:pPr>
        <w:pStyle w:val="Subtitle"/>
      </w:pPr>
      <w:r>
        <w:t>Entidades versionadas, não apenas imagens</w:t>
      </w:r>
    </w:p>
    <w:p>
      <w:pPr/>
      <w:r>
        <w:t>Representar uma pasta de trabalho, com filtros por tipo, revisão atual, pendências e setor. Permitir comparar revisões e fixar um documento na tela. Documentos essenciais não podem ser descartados nem ocupar uma capacidade que bloqueie a missão.</w:t>
      </w:r>
    </w:p>
    <w:p>
      <w:pPr>
        <w:pStyle w:val="Heading2"/>
      </w:pPr>
      <w:r>
        <w:t>Contrato de dados proposto</w:t>
      </w:r>
    </w:p>
    <w:p>
      <w:pPr>
        <w:pStyle w:val="Code"/>
        <w:keepNext/>
      </w:pPr>
      <w:r>
        <w:t>type DocumentRecord = {</w:t>
      </w:r>
    </w:p>
    <w:p>
      <w:pPr>
        <w:pStyle w:val="Code"/>
        <w:keepNext/>
      </w:pPr>
      <w:r>
        <w:t xml:space="preserve">  id: string;</w:t>
      </w:r>
    </w:p>
    <w:p>
      <w:pPr>
        <w:pStyle w:val="Code"/>
        <w:keepNext/>
      </w:pPr>
      <w:r>
        <w:t xml:space="preserve">  processId: string;</w:t>
      </w:r>
    </w:p>
    <w:p>
      <w:pPr>
        <w:pStyle w:val="Code"/>
        <w:keepNext/>
      </w:pPr>
      <w:r>
        <w:t xml:space="preserve">  kind: 'request' | 'budget' | 'contract' | 'delegation';</w:t>
      </w:r>
    </w:p>
    <w:p>
      <w:pPr>
        <w:pStyle w:val="Code"/>
        <w:keepNext/>
      </w:pPr>
      <w:r>
        <w:t xml:space="preserve">  currentRevision: number;</w:t>
      </w:r>
    </w:p>
    <w:p>
      <w:pPr>
        <w:pStyle w:val="Code"/>
        <w:keepNext/>
      </w:pPr>
      <w:r>
        <w:t xml:space="preserve">  revisions: DocumentRevision[];</w:t>
      </w:r>
    </w:p>
    <w:p>
      <w:pPr>
        <w:pStyle w:val="Code"/>
        <w:keepNext/>
      </w:pPr>
      <w:r>
        <w:t>};</w:t>
      </w:r>
    </w:p>
    <w:p>
      <w:pPr>
        <w:pStyle w:val="Code"/>
        <w:keepNext/>
      </w:pPr>
      <w:r>
        <w:t>type DocumentRevision = {</w:t>
      </w:r>
    </w:p>
    <w:p>
      <w:pPr>
        <w:pStyle w:val="Code"/>
        <w:keepNext/>
      </w:pPr>
      <w:r>
        <w:t xml:space="preserve">  revision: number;</w:t>
      </w:r>
    </w:p>
    <w:p>
      <w:pPr>
        <w:pStyle w:val="Code"/>
        <w:keepNext/>
      </w:pPr>
      <w:r>
        <w:t xml:space="preserve">  fields: Record&lt;string, string | number&gt;;</w:t>
      </w:r>
    </w:p>
    <w:p>
      <w:pPr>
        <w:pStyle w:val="Code"/>
        <w:keepNext/>
      </w:pPr>
      <w:r>
        <w:t xml:space="preserve">  attachments: { documentId: string; revision: number }[];</w:t>
      </w:r>
    </w:p>
    <w:p>
      <w:pPr>
        <w:pStyle w:val="Code"/>
        <w:keepNext/>
      </w:pPr>
      <w:r>
        <w:t xml:space="preserve">  reason: string;</w:t>
      </w:r>
    </w:p>
    <w:p>
      <w:pPr>
        <w:pStyle w:val="Code"/>
        <w:keepNext/>
      </w:pPr>
      <w:r>
        <w:t>};</w:t>
      </w:r>
    </w:p>
    <w:p>
      <w:pPr>
        <w:pStyle w:val="Code"/>
        <w:keepNext/>
      </w:pPr>
      <w:r>
        <w:t>type Approval = {</w:t>
      </w:r>
    </w:p>
    <w:p>
      <w:pPr>
        <w:pStyle w:val="Code"/>
        <w:keepNext/>
      </w:pPr>
      <w:r>
        <w:t xml:space="preserve">  id: string;</w:t>
      </w:r>
    </w:p>
    <w:p>
      <w:pPr>
        <w:pStyle w:val="Code"/>
        <w:keepNext/>
      </w:pPr>
      <w:r>
        <w:t xml:space="preserve">  requirementId: string;</w:t>
      </w:r>
    </w:p>
    <w:p>
      <w:pPr>
        <w:pStyle w:val="Code"/>
        <w:keepNext/>
      </w:pPr>
      <w:r>
        <w:t xml:space="preserve">  signerId: string;</w:t>
      </w:r>
    </w:p>
    <w:p>
      <w:pPr>
        <w:pStyle w:val="Code"/>
        <w:keepNext/>
      </w:pPr>
      <w:r>
        <w:t xml:space="preserve">  authorityRole: string;</w:t>
      </w:r>
    </w:p>
    <w:p>
      <w:pPr>
        <w:pStyle w:val="Code"/>
        <w:keepNext/>
      </w:pPr>
      <w:r>
        <w:t xml:space="preserve">  documentId: string;</w:t>
      </w:r>
    </w:p>
    <w:p>
      <w:pPr>
        <w:pStyle w:val="Code"/>
        <w:keepNext/>
      </w:pPr>
      <w:r>
        <w:t xml:space="preserve">  signedRevision: number;</w:t>
      </w:r>
    </w:p>
    <w:p>
      <w:pPr>
        <w:pStyle w:val="Code"/>
        <w:keepNext/>
      </w:pPr>
      <w:r>
        <w:t xml:space="preserve">  basisDigest: string;</w:t>
      </w:r>
    </w:p>
    <w:p>
      <w:pPr>
        <w:pStyle w:val="Code"/>
        <w:keepNext/>
      </w:pPr>
      <w:r>
        <w:t xml:space="preserve">  status: 'valid' | 'superseded';</w:t>
      </w:r>
    </w:p>
    <w:p>
      <w:pPr>
        <w:pStyle w:val="Code"/>
        <w:keepNext w:val="0"/>
      </w:pPr>
      <w:r>
        <w:t>};</w:t>
      </w:r>
    </w:p>
    <w:p>
      <w:pPr>
        <w:pStyle w:val="Break"/>
      </w:pPr>
    </w:p>
    <w:p>
      <w:pPr/>
      <w:r>
        <w:t>Revisões emitidas são imutáveis. Cada alteração gera revisão com motivo e referências exatas dos anexos usados. O modelo é ilustrativo e deve ganhar validação de esquema na implementação.</w:t>
      </w:r>
    </w:p>
    <w:p>
      <w:pPr>
        <w:pStyle w:val="Heading2"/>
      </w:pPr>
      <w:r>
        <w:t>Operações e validade</w:t>
      </w:r>
    </w:p>
    <w:p>
      <w:pPr/>
      <w:r>
        <w:rPr>
          <w:b/>
        </w:rPr>
        <w:t>Anexar:</w:t>
      </w:r>
      <w:r>
        <w:t xml:space="preserve"> validar tipo, processo, revisão e ausência de ciclos. </w:t>
      </w:r>
      <w:r>
        <w:rPr>
          <w:b/>
        </w:rPr>
        <w:t>Encaminhar:</w:t>
      </w:r>
      <w:r>
        <w:t xml:space="preserve"> conferir destinatário, evidências e pendências. </w:t>
      </w:r>
      <w:r>
        <w:rPr>
          <w:b/>
        </w:rPr>
        <w:t>Assinar:</w:t>
      </w:r>
      <w:r>
        <w:t xml:space="preserve"> verificar competência. </w:t>
      </w:r>
      <w:r>
        <w:rPr>
          <w:b/>
        </w:rPr>
        <w:t>Revisar:</w:t>
      </w:r>
      <w:r>
        <w:t xml:space="preserve"> detectar os campos alterados e aprovações dependentes.</w:t>
      </w:r>
    </w:p>
    <w:p>
      <w:pPr/>
      <w:r>
        <w:t xml:space="preserve">O </w:t>
      </w:r>
      <w:r>
        <w:rPr>
          <w:rFonts w:ascii="Consolas" w:hAnsi="Consolas"/>
          <w:sz w:val="19"/>
        </w:rPr>
        <w:t>basisDigest</w:t>
      </w:r>
      <w:r>
        <w:t xml:space="preserve"> identifica campos, anexos e aprovações relevantes àquela decisão. Detecta base desatualizada; não torna o cliente confiável nem é assinatura digital jurídica. Uma edição descritiva pode preservar o parecer financeiro se seus dados e pré-requisitos não mudarem.</w:t>
      </w:r>
    </w:p>
    <w:p>
      <w:pPr/>
      <w:r>
        <w:rPr>
          <w:b/>
        </w:rPr>
        <w:t>Exemplo:</w:t>
      </w:r>
      <w:r>
        <w:t xml:space="preserve"> de cinco para sete computadores, a revisão anterior continua no histórico. A análise de custo e suas decisões dependentes ficam superadas. O registro de abertura permanece, e a pasta mostra a rota necessária para revalidar o pedido.</w:t>
      </w:r>
    </w:p>
    <w:p>
      <w:pPr>
        <w:pStyle w:val="Break"/>
      </w:pPr>
      <w:r>
        <w:br w:type="page"/>
      </w:r>
    </w:p>
    <w:p>
      <w:pPr>
        <w:pStyle w:val="Heading1"/>
      </w:pPr>
      <w:r>
        <w:t>Diálogos ramificados</w:t>
      </w:r>
    </w:p>
    <w:p>
      <w:pPr>
        <w:pStyle w:val="Subtitle"/>
      </w:pPr>
      <w:r>
        <w:t>Amizade muda o tom, não a competência</w:t>
      </w:r>
    </w:p>
    <w:p>
      <w:pPr/>
      <w:r>
        <w:t>Usar um grafo de nós de entrada, pergunta, condição, resposta e saída. Ramos podem voltar a pontos comuns, reduzindo texto duplicado. As conversas reagem a documentos, cargo, pendências, eventos e decisões anteriores.</w:t>
      </w:r>
    </w:p>
    <w:p>
      <w:pPr>
        <w:pStyle w:val="Heading2"/>
      </w:pPr>
      <w:r>
        <w:t>Cena: um amigo na Diretoria</w:t>
      </w:r>
    </w:p>
    <w:p>
      <w:pPr/>
      <w:r>
        <w:t>Diego conhece o jogador, mas falta a conferência da Supervisão. A recepção pode ser calorosa; a decisão administrativa continua vinculada à função.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4DFE3"/>
          <w:left w:val="single" w:sz="4" w:color="D4DFE3"/>
          <w:bottom w:val="single" w:sz="4" w:color="D4DFE3"/>
          <w:right w:val="single" w:sz="4" w:color="D4DFE3"/>
          <w:insideH w:val="single" w:sz="4" w:color="D4DFE3"/>
          <w:insideV w:val="single" w:sz="4" w:color="D4DFE3"/>
        </w:tblBorders>
      </w:tblPr>
      <w:tblGrid>
        <w:gridCol w:w="2400"/>
        <w:gridCol w:w="3300"/>
        <w:gridCol w:w="3660"/>
      </w:tblGrid>
      <w:tr>
        <w:trPr>
          <w:cantSplit/>
          <w:tblHeader/>
        </w:trPr>
        <w:tc>
          <w:tcPr>
            <w:tcW w:type="dxa" w:w="2400"/>
            <w:vAlign w:val="center"/>
            <w:shd w:fill="E8EEF5"/>
          </w:tcPr>
          <w:p>
            <w:pPr>
              <w:pStyle w:val="TableHeader"/>
            </w:pPr>
            <w:r>
              <w:t>Escolha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pStyle w:val="TableHeader"/>
            </w:pPr>
            <w:r>
              <w:t>Reação de Diego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pStyle w:val="TableHeader"/>
            </w:pPr>
            <w:r>
              <w:t>Efeito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“Pode explicar o caminho?”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Indica a Supervisão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Consulta livre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“Assina antes, por amizade?”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Explica o limite do cargo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Advertência; pode reconsiderar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“Entendi. Vou regularizar.”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Mostra a pendência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Volta ao fluxo sem custo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“Mesmo assim, quero o favor.”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Recusa a tentativa explícita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Uma penalização; não assina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t>“Há prioridade por interrupção do serviço?”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Solicita evidência e critério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Abre análise de prioridade formal</w:t>
            </w:r>
          </w:p>
        </w:tc>
      </w:tr>
    </w:tbl>
    <w:p>
      <w:pPr>
        <w:pStyle w:val="Break"/>
      </w:pPr>
    </w:p>
    <w:p>
      <w:pPr/>
      <w:r>
        <w:t xml:space="preserve">Separar </w:t>
      </w:r>
      <w:r>
        <w:rPr>
          <w:rFonts w:ascii="Consolas" w:hAnsi="Consolas"/>
          <w:sz w:val="19"/>
        </w:rPr>
        <w:t>relationships</w:t>
      </w:r>
      <w:r>
        <w:t xml:space="preserve">, que muda familiaridade e falas, de </w:t>
      </w:r>
      <w:r>
        <w:rPr>
          <w:rFonts w:ascii="Consolas" w:hAnsi="Consolas"/>
          <w:sz w:val="19"/>
        </w:rPr>
        <w:t>authorizations</w:t>
      </w:r>
      <w:r>
        <w:t xml:space="preserve">, que representa competências e delegações. Registrar </w:t>
      </w:r>
      <w:r>
        <w:rPr>
          <w:rFonts w:ascii="Consolas" w:hAnsi="Consolas"/>
          <w:sz w:val="19"/>
        </w:rPr>
        <w:t>favorWarningSeen</w:t>
      </w:r>
      <w:r>
        <w:t xml:space="preserve"> e a tentativa confirmada. No retorno, Diego lembra a regra sem repetir toda a explicação.</w:t>
      </w:r>
    </w:p>
    <w:p>
      <w:pPr/>
      <w:r>
        <w:t>Não bloquear aprovação para sempre por um erro: depois de corrigir o processo, é possível avançar. Evitar uma barra genérica de moralidade que permita compensar favorecimento com tarefas sem relação com o problema.</w:t>
      </w:r>
    </w:p>
    <w:p>
      <w:pPr>
        <w:pStyle w:val="Heading2"/>
      </w:pPr>
      <w:r>
        <w:t>Distinções que a escrita deve preservar</w:t>
      </w:r>
    </w:p>
    <w:p>
      <w:pPr/>
      <w:r>
        <w:rPr>
          <w:b/>
        </w:rPr>
        <w:t>Pedir informação</w:t>
      </w:r>
      <w:r>
        <w:t xml:space="preserve"> a um amigo é permitido. </w:t>
      </w:r>
      <w:r>
        <w:rPr>
          <w:b/>
        </w:rPr>
        <w:t>Pedir vantagem sem critério</w:t>
      </w:r>
      <w:r>
        <w:t xml:space="preserve"> entra no ramo de impessoalidade. </w:t>
      </w:r>
      <w:r>
        <w:rPr>
          <w:b/>
        </w:rPr>
        <w:t>Solicitar prioridade prevista e demonstrada</w:t>
      </w:r>
      <w:r>
        <w:t xml:space="preserve"> pode ser correto, independentemente da amizade.</w:t>
      </w:r>
    </w:p>
    <w:p>
      <w:pPr/>
      <w:r>
        <w:rPr>
          <w:b/>
        </w:rPr>
        <w:t>Feedback:</w:t>
      </w:r>
      <w:r>
        <w:t xml:space="preserve"> perguntar ou ouvir uma oferta não custa vida. A perda ocorre ao confirmar a tentativa indevida. Se o mesmo ato também viola a hierarquia, cobrar uma única vez e explicar os dois conceitos, sem multiplicar a punição por clique.</w:t>
      </w:r>
    </w:p>
    <w:p>
      <w:pPr>
        <w:pStyle w:val="Break"/>
      </w:pPr>
      <w:r>
        <w:br w:type="page"/>
      </w:r>
    </w:p>
    <w:p>
      <w:pPr>
        <w:pStyle w:val="Heading1"/>
      </w:pPr>
      <w:r>
        <w:t>Estrutura dos diálogos</w:t>
      </w:r>
    </w:p>
    <w:p>
      <w:pPr>
        <w:pStyle w:val="Subtitle"/>
      </w:pPr>
      <w:r>
        <w:t>Conteúdo editável, efeitos validados pelo domínio</w:t>
      </w:r>
    </w:p>
    <w:p>
      <w:pPr>
        <w:pStyle w:val="Code"/>
        <w:keepNext/>
      </w:pPr>
      <w:r>
        <w:t>const favorOffer = {</w:t>
      </w:r>
    </w:p>
    <w:p>
      <w:pPr>
        <w:pStyle w:val="Code"/>
        <w:keepNext/>
      </w:pPr>
      <w:r>
        <w:t xml:space="preserve">  id: 'director.favor.offer',</w:t>
      </w:r>
    </w:p>
    <w:p>
      <w:pPr>
        <w:pStyle w:val="Code"/>
        <w:keepNext/>
      </w:pPr>
      <w:r>
        <w:t xml:space="preserve">  speaker: 'diego',</w:t>
      </w:r>
    </w:p>
    <w:p>
      <w:pPr>
        <w:pStyle w:val="Code"/>
        <w:keepNext/>
      </w:pPr>
      <w:r>
        <w:t xml:space="preserve">  textKey: 'dialogue.director.favor.offer',</w:t>
      </w:r>
    </w:p>
    <w:p>
      <w:pPr>
        <w:pStyle w:val="Code"/>
        <w:keepNext/>
      </w:pPr>
      <w:r>
        <w:t xml:space="preserve">  choices: [</w:t>
      </w:r>
    </w:p>
    <w:p>
      <w:pPr>
        <w:pStyle w:val="Code"/>
        <w:keepNext/>
      </w:pPr>
      <w:r>
        <w:t xml:space="preserve">    {</w:t>
      </w:r>
    </w:p>
    <w:p>
      <w:pPr>
        <w:pStyle w:val="Code"/>
        <w:keepNext/>
      </w:pPr>
      <w:r>
        <w:t xml:space="preserve">      id: 'ask_guidance',</w:t>
      </w:r>
    </w:p>
    <w:p>
      <w:pPr>
        <w:pStyle w:val="Code"/>
        <w:keepNext/>
      </w:pPr>
      <w:r>
        <w:t xml:space="preserve">      textKey: 'choice.ask_guidance',</w:t>
      </w:r>
    </w:p>
    <w:p>
      <w:pPr>
        <w:pStyle w:val="Code"/>
        <w:keepNext/>
      </w:pPr>
      <w:r>
        <w:t xml:space="preserve">      next: 'director.explain_flow'</w:t>
      </w:r>
    </w:p>
    <w:p>
      <w:pPr>
        <w:pStyle w:val="Code"/>
        <w:keepNext/>
      </w:pPr>
      <w:r>
        <w:t xml:space="preserve">    },</w:t>
      </w:r>
    </w:p>
    <w:p>
      <w:pPr>
        <w:pStyle w:val="Code"/>
        <w:keepNext/>
      </w:pPr>
      <w:r>
        <w:t xml:space="preserve">    {</w:t>
      </w:r>
    </w:p>
    <w:p>
      <w:pPr>
        <w:pStyle w:val="Code"/>
        <w:keepNext/>
      </w:pPr>
      <w:r>
        <w:t xml:space="preserve">      id: 'request_favor',</w:t>
      </w:r>
    </w:p>
    <w:p>
      <w:pPr>
        <w:pStyle w:val="Code"/>
        <w:keepNext/>
      </w:pPr>
      <w:r>
        <w:t xml:space="preserve">      textKey: 'choice.request_favor',</w:t>
      </w:r>
    </w:p>
    <w:p>
      <w:pPr>
        <w:pStyle w:val="Code"/>
        <w:keepNext/>
      </w:pPr>
      <w:r>
        <w:t xml:space="preserve">      when: { relationshipAtLeast: ['diego', 1] },</w:t>
      </w:r>
    </w:p>
    <w:p>
      <w:pPr>
        <w:pStyle w:val="Code"/>
        <w:keepNext/>
      </w:pPr>
      <w:r>
        <w:t xml:space="preserve">      next: 'director.favor.warning'</w:t>
      </w:r>
    </w:p>
    <w:p>
      <w:pPr>
        <w:pStyle w:val="Code"/>
        <w:keepNext/>
      </w:pPr>
      <w:r>
        <w:t xml:space="preserve">    },</w:t>
      </w:r>
    </w:p>
    <w:p>
      <w:pPr>
        <w:pStyle w:val="Code"/>
        <w:keepNext/>
      </w:pPr>
      <w:r>
        <w:t xml:space="preserve">    {</w:t>
      </w:r>
    </w:p>
    <w:p>
      <w:pPr>
        <w:pStyle w:val="Code"/>
        <w:keepNext/>
      </w:pPr>
      <w:r>
        <w:t xml:space="preserve">      id: 'submit_formally',</w:t>
      </w:r>
    </w:p>
    <w:p>
      <w:pPr>
        <w:pStyle w:val="Code"/>
        <w:keepNext/>
      </w:pPr>
      <w:r>
        <w:t xml:space="preserve">      textKey: 'choice.submit_formally',</w:t>
      </w:r>
    </w:p>
    <w:p>
      <w:pPr>
        <w:pStyle w:val="Code"/>
        <w:keepNext/>
      </w:pPr>
      <w:r>
        <w:t xml:space="preserve">      intent: { type: 'SUBMIT_DOCUMENT', target: 'director' }</w:t>
      </w:r>
    </w:p>
    <w:p>
      <w:pPr>
        <w:pStyle w:val="Code"/>
        <w:keepNext/>
      </w:pPr>
      <w:r>
        <w:t xml:space="preserve">    }</w:t>
      </w:r>
    </w:p>
    <w:p>
      <w:pPr>
        <w:pStyle w:val="Code"/>
        <w:keepNext/>
      </w:pPr>
      <w:r>
        <w:t xml:space="preserve">  ]</w:t>
      </w:r>
    </w:p>
    <w:p>
      <w:pPr>
        <w:pStyle w:val="Code"/>
        <w:keepNext w:val="0"/>
      </w:pPr>
      <w:r>
        <w:t>};</w:t>
      </w:r>
    </w:p>
    <w:p>
      <w:pPr>
        <w:pStyle w:val="Break"/>
      </w:pPr>
    </w:p>
    <w:p>
      <w:pPr/>
      <w:r>
        <w:t xml:space="preserve">O nó de advertência oferece “Voltar ao fluxo” e “Insistir no favor”. Somente a confirmação emite </w:t>
      </w:r>
      <w:r>
        <w:rPr>
          <w:rFonts w:ascii="Consolas" w:hAnsi="Consolas"/>
          <w:sz w:val="19"/>
        </w:rPr>
        <w:t>ATTEMPT_FAVORITISM</w:t>
      </w:r>
      <w:r>
        <w:t>. O domínio valida a escolha e aplica a política; o arquivo de diálogo não altera vidas nem concede aprovações diretamente.</w:t>
      </w:r>
    </w:p>
    <w:p>
      <w:pPr>
        <w:pStyle w:val="Heading2"/>
      </w:pPr>
      <w:r>
        <w:t>Execução previsível</w:t>
      </w:r>
    </w:p>
    <w:p>
      <w:pPr/>
      <w:r>
        <w:t xml:space="preserve">Interpretar condições por operadores permitidos: documento presente, aprovação válida, cargo disponível, evento ativo e opção já escolhida. Validar o conteúdo ao carregar. Não executar expressões textuais com </w:t>
      </w:r>
      <w:r>
        <w:rPr>
          <w:rFonts w:ascii="Consolas" w:hAnsi="Consolas"/>
          <w:sz w:val="19"/>
        </w:rPr>
        <w:t>eval</w:t>
      </w:r>
      <w:r>
        <w:t>.</w:t>
      </w:r>
    </w:p>
    <w:p>
      <w:pPr/>
      <w:r>
        <w:t>Ao selecionar, enviar IDs de nó e escolha. Reavaliar suas condições: um documento pode ter mudado depois da abertura da conversa. O botão visível não comprova que a ação ainda é válida.</w:t>
      </w:r>
    </w:p>
    <w:p>
      <w:pPr>
        <w:pStyle w:val="Heading2"/>
      </w:pPr>
      <w:r>
        <w:t>Escala editorial</w:t>
      </w:r>
    </w:p>
    <w:p>
      <w:pPr/>
      <w:r>
        <w:t>Separar textos por chaves estáveis para tradução. Validar referências inexistentes, nós sem saída e caminhos que concedem poder por amizade. Ciclos de consulta podem existir; ciclos obrigatórios que impedem terminar devem falhar na validação.</w:t>
      </w:r>
    </w:p>
    <w:p>
      <w:pPr/>
      <w:r>
        <w:t xml:space="preserve">Para pouco conteúdo, JSON e um interpretador restrito bastam. Para narrativa extensa, avaliar Ink e seu runtime JavaScript </w:t>
      </w:r>
      <w:r>
        <w:rPr>
          <w:rFonts w:ascii="Consolas" w:hAnsi="Consolas"/>
          <w:sz w:val="19"/>
        </w:rPr>
        <w:t>inkjs</w:t>
      </w:r>
      <w:r>
        <w:t>. A integração continua emitindo intenções para o domínio, sem copiar suas regras para a ferramenta narrativa. [7]</w:t>
      </w:r>
    </w:p>
    <w:p>
      <w:pPr>
        <w:pStyle w:val="Break"/>
      </w:pPr>
      <w:r>
        <w:br w:type="page"/>
      </w:r>
    </w:p>
    <w:p>
      <w:pPr>
        <w:pStyle w:val="Heading1"/>
      </w:pPr>
      <w:r>
        <w:t>Progressão e hierarquia</w:t>
      </w:r>
    </w:p>
    <w:p>
      <w:pPr>
        <w:pStyle w:val="Subtitle"/>
      </w:pPr>
      <w:r>
        <w:t>Requisitos e autoridade explícitos</w:t>
      </w:r>
    </w:p>
    <w:p>
      <w:pPr>
        <w:pStyle w:val="Heading2"/>
      </w:pPr>
      <w:r>
        <w:t>Separar dois mapas</w:t>
      </w:r>
    </w:p>
    <w:p>
      <w:pPr/>
      <w:r>
        <w:t>O organograma descreve autoridade: Supervisor → Gerente → Diretor. O fluxo do processo informa quais documentos e análises cada decisão exige. Jurídico e Financeiro são funções especializadas, não necessariamente cargos superiores ao Diretor.</w:t>
      </w:r>
    </w:p>
    <w:p>
      <w:pPr/>
      <w:r>
        <w:t>Preservar a sequência atual como primeira configuração didática. Missões futuras podem permitir análises paralelas quando a regra autorizar. Um DAG, grafo dirigido sem ciclos, descreve dependências de aprovação. Retrabalho cria nova rodada de validação, sem inserir ciclos impossíveis nesse grafo.</w:t>
      </w:r>
    </w:p>
    <w:p>
      <w:pPr>
        <w:pStyle w:val="Code"/>
        <w:keepNext/>
      </w:pPr>
      <w:r>
        <w:t>const directorApproval = {</w:t>
      </w:r>
    </w:p>
    <w:p>
      <w:pPr>
        <w:pStyle w:val="Code"/>
        <w:keepNext/>
      </w:pPr>
      <w:r>
        <w:t xml:space="preserve">  id: 'approval.director',</w:t>
      </w:r>
    </w:p>
    <w:p>
      <w:pPr>
        <w:pStyle w:val="Code"/>
        <w:keepNext/>
      </w:pPr>
      <w:r>
        <w:t xml:space="preserve">  allowedRoles: ['director'],</w:t>
      </w:r>
    </w:p>
    <w:p>
      <w:pPr>
        <w:pStyle w:val="Code"/>
        <w:keepNext/>
      </w:pPr>
      <w:r>
        <w:t xml:space="preserve">  prerequisites: ['approval.manager'],</w:t>
      </w:r>
    </w:p>
    <w:p>
      <w:pPr>
        <w:pStyle w:val="Code"/>
        <w:keepNext/>
      </w:pPr>
      <w:r>
        <w:t xml:space="preserve">  requiredDocuments: ['request', 'budget'],</w:t>
      </w:r>
    </w:p>
    <w:p>
      <w:pPr>
        <w:pStyle w:val="Code"/>
        <w:keepNext/>
      </w:pPr>
      <w:r>
        <w:t xml:space="preserve">  watchedFields: ['request.quantity', 'budget.total'],</w:t>
      </w:r>
    </w:p>
    <w:p>
      <w:pPr>
        <w:pStyle w:val="Code"/>
        <w:keepNext/>
      </w:pPr>
      <w:r>
        <w:t xml:space="preserve">  delegationAllowed: true,</w:t>
      </w:r>
    </w:p>
    <w:p>
      <w:pPr>
        <w:pStyle w:val="Code"/>
        <w:keepNext/>
      </w:pPr>
      <w:r>
        <w:t xml:space="preserve">  rewardKey: 'mission01.director'</w:t>
      </w:r>
    </w:p>
    <w:p>
      <w:pPr>
        <w:pStyle w:val="Code"/>
        <w:keepNext w:val="0"/>
      </w:pPr>
      <w:r>
        <w:t>};</w:t>
      </w:r>
    </w:p>
    <w:p>
      <w:pPr>
        <w:pStyle w:val="Break"/>
      </w:pPr>
    </w:p>
    <w:p>
      <w:pPr/>
      <w:r>
        <w:t>Autorizar o cargo competente ou uma delegação válida para aquele ato, processo, limite e período. Prestígio, tempo de serviço e amizade não substituem essa verificação. Um número de nível não pode permitir que qualquer cargo “mais alto” assine por outro.</w:t>
      </w:r>
    </w:p>
    <w:p>
      <w:pPr>
        <w:pStyle w:val="Heading2"/>
      </w:pPr>
      <w:r>
        <w:t>Invalidação seletiva</w:t>
      </w:r>
    </w:p>
    <w:p>
      <w:pPr/>
      <w:r>
        <w:t>Quando um campo mudar, encontrar aprovações que o observam e percorrer suas dependentes. Marcar as afetadas como superadas, mantendo responsável, histórico e justificativa. Derivar a próxima tarefa dos requisitos pendentes.</w:t>
      </w:r>
    </w:p>
    <w:p>
      <w:pPr/>
      <w:r>
        <w:rPr>
          <w:b/>
        </w:rPr>
        <w:t>Corte de verba:</w:t>
      </w:r>
      <w:r>
        <w:t xml:space="preserve"> revalidar parecer financeiro e decisões que dependem dele. </w:t>
      </w:r>
      <w:r>
        <w:rPr>
          <w:b/>
        </w:rPr>
        <w:t>Troca de fornecedor:</w:t>
      </w:r>
      <w:r>
        <w:t xml:space="preserve"> revalidar habilitação, condições comerciais e cláusulas afetadas. Não presumir que toda mudança exige voltar ao Protocolo ou que basta trocar um nome no contrato.</w:t>
      </w:r>
    </w:p>
    <w:p>
      <w:pPr>
        <w:pStyle w:val="Heading2"/>
      </w:pPr>
      <w:r>
        <w:t>Vitória e recompensa</w:t>
      </w:r>
    </w:p>
    <w:p>
      <w:pPr/>
      <w:r>
        <w:t xml:space="preserve">Concluir apenas quando todas as aprovações obrigatórias são válidas para suas bases atuais, anexos exigidos existem e não há evento bloqueante. Carimbo visual, sala visitada ou índice </w:t>
      </w:r>
      <w:r>
        <w:rPr>
          <w:rFonts w:ascii="Consolas" w:hAnsi="Consolas"/>
          <w:sz w:val="19"/>
        </w:rPr>
        <w:t>stage</w:t>
      </w:r>
      <w:r>
        <w:t xml:space="preserve"> não demonstram conclusão sozinhos.</w:t>
      </w:r>
    </w:p>
    <w:p>
      <w:pPr/>
      <w:r>
        <w:t xml:space="preserve">Recompensar cada marco uma vez por missão usando </w:t>
      </w:r>
      <w:r>
        <w:rPr>
          <w:rFonts w:ascii="Consolas" w:hAnsi="Consolas"/>
          <w:sz w:val="19"/>
        </w:rPr>
        <w:t>rewardKey</w:t>
      </w:r>
      <w:r>
        <w:t>. Reassinar revisão pode custar trabalho, mas não permite repetir indefinidamente os mesmos pontos. Aprovações históricas nunca são apagadas para simular retrabalho.</w:t>
      </w:r>
    </w:p>
    <w:p>
      <w:pPr>
        <w:pStyle w:val="Break"/>
      </w:pPr>
      <w:r>
        <w:br w:type="page"/>
      </w:r>
    </w:p>
    <w:p>
      <w:pPr>
        <w:pStyle w:val="Heading1"/>
      </w:pPr>
      <w:r>
        <w:t>Engenharia modular</w:t>
      </w:r>
    </w:p>
    <w:p>
      <w:pPr>
        <w:pStyle w:val="Subtitle"/>
      </w:pPr>
      <w:r>
        <w:t>O domínio decide; o navegador apresenta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4DFE3"/>
          <w:left w:val="single" w:sz="4" w:color="D4DFE3"/>
          <w:bottom w:val="single" w:sz="4" w:color="D4DFE3"/>
          <w:right w:val="single" w:sz="4" w:color="D4DFE3"/>
          <w:insideH w:val="single" w:sz="4" w:color="D4DFE3"/>
          <w:insideV w:val="single" w:sz="4" w:color="D4DFE3"/>
        </w:tblBorders>
      </w:tblPr>
      <w:tblGrid>
        <w:gridCol w:w="2400"/>
        <w:gridCol w:w="3300"/>
        <w:gridCol w:w="3660"/>
      </w:tblGrid>
      <w:tr>
        <w:trPr>
          <w:cantSplit/>
          <w:tblHeader/>
        </w:trPr>
        <w:tc>
          <w:tcPr>
            <w:tcW w:type="dxa" w:w="2400"/>
            <w:vAlign w:val="center"/>
            <w:shd w:fill="E8EEF5"/>
          </w:tcPr>
          <w:p>
            <w:pPr>
              <w:pStyle w:val="TableHeader"/>
            </w:pPr>
            <w:r>
              <w:t>Módulo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pStyle w:val="TableHeader"/>
            </w:pPr>
            <w:r>
              <w:t>Responsabilidade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pStyle w:val="TableHeader"/>
            </w:pPr>
            <w:r>
              <w:t>Dependência permitida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>domain/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Documentos, autoridade, progressão e custos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Tipos e funções puras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>application/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Comandos, transações e coordenação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Domínio e contratos de serviço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>content/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Missões, diálogos e requisitos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Esquemas de dados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>rendering/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Sprites, câmera, luzes e cena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Projeção de leitura do estado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>ui/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Formulários, inventário e acessibilidade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Comandos e seletores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>infrastructure/</w:t>
            </w:r>
          </w:p>
        </w:tc>
        <w:tc>
          <w:tcPr>
            <w:tcW w:type="dxa" w:w="3300"/>
            <w:vAlign w:val="center"/>
          </w:tcPr>
          <w:p>
            <w:pPr>
              <w:pStyle w:val="TableText"/>
            </w:pPr>
            <w:r>
              <w:t>Persistência, áudio, relógio e rede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</w:pPr>
            <w:r>
              <w:t>Contratos da aplicação</w:t>
            </w:r>
          </w:p>
        </w:tc>
      </w:tr>
    </w:tbl>
    <w:p>
      <w:pPr>
        <w:pStyle w:val="Break"/>
      </w:pPr>
    </w:p>
    <w:p>
      <w:pPr/>
      <w:r>
        <w:t xml:space="preserve">O domínio não acessa DOM, Canvas, </w:t>
      </w:r>
      <w:r>
        <w:rPr>
          <w:rFonts w:ascii="Consolas" w:hAnsi="Consolas"/>
          <w:sz w:val="19"/>
        </w:rPr>
        <w:t>localStorage</w:t>
      </w:r>
      <w:r>
        <w:t xml:space="preserve"> nem áudio. O renderizador recebe o que desenhar e não conhece a regra que autoriza uma assinatura. Evitar um sistema de eventos no qual qualquer componente possa alterar livremente o estado.</w:t>
      </w:r>
    </w:p>
    <w:p>
      <w:pPr>
        <w:pStyle w:val="Code"/>
        <w:keepNext/>
      </w:pPr>
      <w:r>
        <w:t>type CommandEnvelope = {</w:t>
      </w:r>
    </w:p>
    <w:p>
      <w:pPr>
        <w:pStyle w:val="Code"/>
        <w:keepNext/>
      </w:pPr>
      <w:r>
        <w:t xml:space="preserve">  commandId: string;</w:t>
      </w:r>
    </w:p>
    <w:p>
      <w:pPr>
        <w:pStyle w:val="Code"/>
        <w:keepNext/>
      </w:pPr>
      <w:r>
        <w:t xml:space="preserve">  expectedRevision: number;</w:t>
      </w:r>
    </w:p>
    <w:p>
      <w:pPr>
        <w:pStyle w:val="Code"/>
        <w:keepNext/>
      </w:pPr>
      <w:r>
        <w:t xml:space="preserve">  action: GameAction;</w:t>
      </w:r>
    </w:p>
    <w:p>
      <w:pPr>
        <w:pStyle w:val="Code"/>
        <w:keepNext/>
      </w:pPr>
      <w:r>
        <w:t>};</w:t>
      </w:r>
    </w:p>
    <w:p>
      <w:pPr>
        <w:pStyle w:val="Code"/>
        <w:keepNext/>
      </w:pPr>
      <w:r>
        <w:t>type Transition = {</w:t>
      </w:r>
    </w:p>
    <w:p>
      <w:pPr>
        <w:pStyle w:val="Code"/>
        <w:keepNext/>
      </w:pPr>
      <w:r>
        <w:t xml:space="preserve">  state: GameState;</w:t>
      </w:r>
    </w:p>
    <w:p>
      <w:pPr>
        <w:pStyle w:val="Code"/>
        <w:keepNext/>
      </w:pPr>
      <w:r>
        <w:t xml:space="preserve">  events: DomainEvent[];</w:t>
      </w:r>
    </w:p>
    <w:p>
      <w:pPr>
        <w:pStyle w:val="Code"/>
        <w:keepNext/>
      </w:pPr>
      <w:r>
        <w:t xml:space="preserve">  result: 'accepted' | 'rejected' | 'duplicate';</w:t>
      </w:r>
    </w:p>
    <w:p>
      <w:pPr>
        <w:pStyle w:val="Code"/>
        <w:keepNext/>
      </w:pPr>
      <w:r>
        <w:t>};</w:t>
      </w:r>
    </w:p>
    <w:p>
      <w:pPr>
        <w:pStyle w:val="Code"/>
        <w:keepNext/>
      </w:pPr>
      <w:r>
        <w:t>function transition(</w:t>
      </w:r>
    </w:p>
    <w:p>
      <w:pPr>
        <w:pStyle w:val="Code"/>
        <w:keepNext/>
      </w:pPr>
      <w:r>
        <w:t xml:space="preserve">  state: GameState,</w:t>
      </w:r>
    </w:p>
    <w:p>
      <w:pPr>
        <w:pStyle w:val="Code"/>
        <w:keepNext/>
      </w:pPr>
      <w:r>
        <w:t xml:space="preserve">  command: CommandEnvelope,</w:t>
      </w:r>
    </w:p>
    <w:p>
      <w:pPr>
        <w:pStyle w:val="Code"/>
        <w:keepNext/>
      </w:pPr>
      <w:r>
        <w:t xml:space="preserve">  context: RuleContext</w:t>
      </w:r>
    </w:p>
    <w:p>
      <w:pPr>
        <w:pStyle w:val="Code"/>
        <w:keepNext w:val="0"/>
      </w:pPr>
      <w:r>
        <w:t>): Transition;</w:t>
      </w:r>
    </w:p>
    <w:p>
      <w:pPr>
        <w:pStyle w:val="Break"/>
      </w:pPr>
    </w:p>
    <w:p>
      <w:pPr/>
      <w:r>
        <w:t xml:space="preserve">Relógio e sorteio são entradas controladas. Cada interação gera uma intenção, como </w:t>
      </w:r>
      <w:r>
        <w:rPr>
          <w:rFonts w:ascii="Consolas" w:hAnsi="Consolas"/>
          <w:sz w:val="19"/>
        </w:rPr>
        <w:t>SUBMIT_DOCUMENT</w:t>
      </w:r>
      <w:r>
        <w:t xml:space="preserve"> ou </w:t>
      </w:r>
      <w:r>
        <w:rPr>
          <w:rFonts w:ascii="Consolas" w:hAnsi="Consolas"/>
          <w:sz w:val="19"/>
        </w:rPr>
        <w:t>CONFIRM_CHOICE</w:t>
      </w:r>
      <w:r>
        <w:t xml:space="preserve">. A transição valida, calcula consequências e devolve estado e eventos, como </w:t>
      </w:r>
      <w:r>
        <w:rPr>
          <w:rFonts w:ascii="Consolas" w:hAnsi="Consolas"/>
          <w:sz w:val="19"/>
        </w:rPr>
        <w:t>ApprovalGranted</w:t>
      </w:r>
      <w:r>
        <w:t xml:space="preserve"> e </w:t>
      </w:r>
      <w:r>
        <w:rPr>
          <w:rFonts w:ascii="Consolas" w:hAnsi="Consolas"/>
          <w:sz w:val="19"/>
        </w:rPr>
        <w:t>PenaltyApplied</w:t>
      </w:r>
      <w:r>
        <w:t>.</w:t>
      </w:r>
    </w:p>
    <w:p>
      <w:pPr/>
      <w:r>
        <w:t>Um mesmo evento alimenta feedback, áudio e diário. Falha de animação não repete nem desfaz uma decisão. O salvamento registra estado e sequência de comandos de maneira coerente.</w:t>
      </w:r>
    </w:p>
    <w:p>
      <w:pPr>
        <w:pStyle w:val="Heading2"/>
      </w:pPr>
      <w:r>
        <w:t>Migração do código atual</w:t>
      </w:r>
    </w:p>
    <w:p>
      <w:pPr/>
      <w:r>
        <w:t xml:space="preserve">Extrair dados de </w:t>
      </w:r>
      <w:r>
        <w:rPr>
          <w:rFonts w:ascii="Consolas" w:hAnsi="Consolas"/>
          <w:sz w:val="19"/>
        </w:rPr>
        <w:t>engine.js</w:t>
      </w:r>
      <w:r>
        <w:t xml:space="preserve">, criar tipos e seletores, mantendo adaptadores temporários para suas funções. Separar </w:t>
      </w:r>
      <w:r>
        <w:rPr>
          <w:rFonts w:ascii="Consolas" w:hAnsi="Consolas"/>
          <w:sz w:val="19"/>
        </w:rPr>
        <w:t>game.js</w:t>
      </w:r>
      <w:r>
        <w:t xml:space="preserve"> em cena, entrada, UI e persistência. Só então introduzir documentos e grafo. TypeScript ajuda a sustentar os contratos; um ECS completo é desnecessário para poucos setores e personagens.</w:t>
      </w:r>
    </w:p>
    <w:p>
      <w:pPr>
        <w:pStyle w:val="Break"/>
      </w:pPr>
      <w:r>
        <w:br w:type="page"/>
      </w:r>
    </w:p>
    <w:p>
      <w:pPr>
        <w:pStyle w:val="Heading1"/>
      </w:pPr>
      <w:r>
        <w:t>Vidas e penalizações</w:t>
      </w:r>
    </w:p>
    <w:p>
      <w:pPr>
        <w:pStyle w:val="Subtitle"/>
      </w:pPr>
      <w:r>
        <w:t>Consequências consistentes e recuperáveis</w:t>
      </w:r>
    </w:p>
    <w:p>
      <w:pPr/>
      <w:r>
        <w:t>Manter inicialmente três vidas como margem de erros do expediente. Cada erro explica ação cometida, conceito envolvido, custo e correção. Andar e consultar não geram punição.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4DFE3"/>
          <w:left w:val="single" w:sz="4" w:color="D4DFE3"/>
          <w:bottom w:val="single" w:sz="4" w:color="D4DFE3"/>
          <w:right w:val="single" w:sz="4" w:color="D4DFE3"/>
          <w:insideH w:val="single" w:sz="4" w:color="D4DFE3"/>
          <w:insideV w:val="single" w:sz="4" w:color="D4DFE3"/>
        </w:tblBorders>
      </w:tblPr>
      <w:tblGrid>
        <w:gridCol w:w="4200"/>
        <w:gridCol w:w="1080"/>
        <w:gridCol w:w="1440"/>
        <w:gridCol w:w="2640"/>
      </w:tblGrid>
      <w:tr>
        <w:trPr>
          <w:cantSplit/>
          <w:tblHeader/>
        </w:trPr>
        <w:tc>
          <w:tcPr>
            <w:tcW w:type="dxa" w:w="4200"/>
            <w:vAlign w:val="center"/>
            <w:shd w:fill="E8EEF5"/>
          </w:tcPr>
          <w:p>
            <w:pPr>
              <w:pStyle w:val="TableHeader"/>
            </w:pPr>
            <w:r>
              <w:t>Ação confirmada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pStyle w:val="TableHeader"/>
            </w:pPr>
            <w:r>
              <w:t>Vidas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pStyle w:val="TableHeader"/>
            </w:pPr>
            <w:r>
              <w:t>Pontos</w:t>
            </w:r>
          </w:p>
        </w:tc>
        <w:tc>
          <w:tcPr>
            <w:tcW w:type="dxa" w:w="2640"/>
            <w:vAlign w:val="center"/>
            <w:shd w:fill="E8EEF5"/>
          </w:tcPr>
          <w:p>
            <w:pPr>
              <w:pStyle w:val="TableHeader"/>
            </w:pPr>
            <w:r>
              <w:t>Ações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pStyle w:val="TableText"/>
            </w:pPr>
            <w:r>
              <w:t>Consultar ou visitar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pStyle w:val="TableText"/>
            </w:pPr>
            <w:r>
              <w:t>Aprovação inédita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+100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−1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pStyle w:val="TableText"/>
            </w:pPr>
            <w:r>
              <w:t>Resolver imprevisto inédito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+30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−1 na revisão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pStyle w:val="TableText"/>
            </w:pPr>
            <w:r>
              <w:t>Escolher contingência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Custo visível de 1–3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pStyle w:val="TableText"/>
            </w:pPr>
            <w:r>
              <w:t>Insistir em pular requisito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</w:pPr>
            <w:r>
              <w:t>−1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Até −25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−2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pStyle w:val="TableText"/>
            </w:pPr>
            <w:r>
              <w:t>Confirmar favorecimento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</w:pPr>
            <w:r>
              <w:t>−1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Até −25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−2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pStyle w:val="TableText"/>
            </w:pPr>
            <w:r>
              <w:t>Usar revisão inválida após aviso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</w:pPr>
            <w:r>
              <w:t>−1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Até −25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−2</w:t>
            </w:r>
          </w:p>
        </w:tc>
      </w:tr>
    </w:tbl>
    <w:p>
      <w:pPr>
        <w:pStyle w:val="Break"/>
      </w:pPr>
    </w:p>
    <w:p>
      <w:pPr/>
      <w:r>
        <w:t>Ler um aviso e desistir é livre. Não cobrar vida pela invalidação causada por evento externo: anunciar o custo de retrabalho. Entrada técnica inválida, comando duplicado ou conflito de sincronização são rejeitados sem penalizar o jogador.</w:t>
      </w:r>
    </w:p>
    <w:p>
      <w:pPr>
        <w:pStyle w:val="Heading2"/>
      </w:pPr>
      <w:r>
        <w:t>Ordem atômica de decisão</w:t>
      </w:r>
    </w:p>
    <w:p>
      <w:pPr>
        <w:pStyle w:val="Code"/>
        <w:keepNext/>
      </w:pPr>
      <w:r>
        <w:t>1. Se commandId já foi aplicado, retornar o resultado anterior.</w:t>
      </w:r>
    </w:p>
    <w:p>
      <w:pPr>
        <w:pStyle w:val="Code"/>
        <w:keepNext/>
      </w:pPr>
      <w:r>
        <w:t>2. Se a missão terminou, não alterar o estado.</w:t>
      </w:r>
    </w:p>
    <w:p>
      <w:pPr>
        <w:pStyle w:val="Code"/>
        <w:keepNext/>
      </w:pPr>
      <w:r>
        <w:t>3. Validar revisão esperada, escolha ativa e dados do comando.</w:t>
      </w:r>
    </w:p>
    <w:p>
      <w:pPr>
        <w:pStyle w:val="Code"/>
        <w:keepNext/>
      </w:pPr>
      <w:r>
        <w:t>4. Avaliar regras e calcular uma única consequência agregada.</w:t>
      </w:r>
    </w:p>
    <w:p>
      <w:pPr>
        <w:pStyle w:val="Code"/>
        <w:keepNext/>
      </w:pPr>
      <w:r>
        <w:t>5. Aplicar documentos, pontos, vidas e ações no novo estado.</w:t>
      </w:r>
    </w:p>
    <w:p>
      <w:pPr>
        <w:pStyle w:val="Code"/>
        <w:keepNext/>
      </w:pPr>
      <w:r>
        <w:t>6. Vidas = 0: derrota.</w:t>
      </w:r>
    </w:p>
    <w:p>
      <w:pPr>
        <w:pStyle w:val="Code"/>
        <w:keepNext/>
      </w:pPr>
      <w:r>
        <w:t xml:space="preserve">   Senão, missão completa: vitória, inclusive com 0 ações.</w:t>
      </w:r>
    </w:p>
    <w:p>
      <w:pPr>
        <w:pStyle w:val="Code"/>
        <w:keepNext/>
      </w:pPr>
      <w:r>
        <w:t xml:space="preserve">   Senão, ações = 0: derrota por prazo.</w:t>
      </w:r>
    </w:p>
    <w:p>
      <w:pPr>
        <w:pStyle w:val="Code"/>
        <w:keepNext w:val="0"/>
      </w:pPr>
      <w:r>
        <w:t>7. Confirmar transação, salvar e publicar eventos visuais.</w:t>
      </w:r>
    </w:p>
    <w:p>
      <w:pPr>
        <w:pStyle w:val="Break"/>
      </w:pPr>
    </w:p>
    <w:p>
      <w:pPr/>
      <w:r>
        <w:t>Pontos e ações nunca ficam negativos. Se faltar saldo para o custo de uma tentativa, esgotar o prazo e encerrar sem conceder a aprovação pretendida. O item 4 deve decidir isso antes de alterar documentos. Uma falha com várias causas gera uma única cobrança.</w:t>
      </w:r>
    </w:p>
    <w:p>
      <w:pPr>
        <w:pStyle w:val="Heading2"/>
      </w:pPr>
      <w:r>
        <w:t>Recalibrar a dificuldade</w:t>
      </w:r>
    </w:p>
    <w:p>
      <w:pPr/>
      <w:r>
        <w:t>Os modos atuais usam 18 e 13 ações, definidos para as tarefas existentes. Inventário e novos ramos mudam o custo mínimo. Calcular esse mínimo por cenário e adicionar a margem de erro desejada. Sortear eventos com semente reproduzível e garantir ao menos uma solução em cada configuração inicial. Uma nova tentativa confirmada pode ter custo; retransmitir a mesma tentativa não pode.</w:t>
      </w:r>
    </w:p>
    <w:p>
      <w:pPr>
        <w:pStyle w:val="Break"/>
      </w:pPr>
      <w:r>
        <w:br w:type="page"/>
      </w:r>
    </w:p>
    <w:p>
      <w:pPr>
        <w:pStyle w:val="Heading1"/>
      </w:pPr>
      <w:r>
        <w:t>Salvamento e evolução online</w:t>
      </w:r>
    </w:p>
    <w:p>
      <w:pPr>
        <w:pStyle w:val="Subtitle"/>
      </w:pPr>
      <w:r>
        <w:t>Crescer sem perder a confiabilidade</w:t>
      </w:r>
    </w:p>
    <w:p>
      <w:pPr>
        <w:pStyle w:val="Heading2"/>
      </w:pPr>
      <w:r>
        <w:t>Persistência versionada</w:t>
      </w:r>
    </w:p>
    <w:p>
      <w:pPr/>
      <w:r>
        <w:t xml:space="preserve">Salvar </w:t>
      </w:r>
      <w:r>
        <w:rPr>
          <w:rFonts w:ascii="Consolas" w:hAnsi="Consolas"/>
          <w:sz w:val="19"/>
        </w:rPr>
        <w:t>schemaVersion</w:t>
      </w:r>
      <w:r>
        <w:t xml:space="preserve">, </w:t>
      </w:r>
      <w:r>
        <w:rPr>
          <w:rFonts w:ascii="Consolas" w:hAnsi="Consolas"/>
          <w:sz w:val="19"/>
        </w:rPr>
        <w:t>contentVersion</w:t>
      </w:r>
      <w:r>
        <w:t>, revisão do estado, semente e sorteios consumidos, documentos, aprovações, eventos pendentes e recompensas concedidas. Uma animação não pode ser a única evidência de que uma operação ocorreu.</w:t>
      </w:r>
    </w:p>
    <w:p>
      <w:pPr/>
      <w:r>
        <w:t>Criar migrações explícitas e validar seu resultado. O salvamento atual pode ser convertido em processo com aprovações correspondentes às etapas concluídas. Se a conversão não for segura, preservar cópia e explicar incompatibilidade; não inventar anexos nem descartar progresso silenciosamente.</w:t>
      </w:r>
    </w:p>
    <w:p>
      <w:pPr/>
      <w:r>
        <w:t>Para estados pequenos, manter o mecanismo atual durante a refatoração. Para documentos, histórico e gravações transacionais, IndexedDB armazena dados estruturados e oferece transações. Ainda é necessário tratar indisponibilidade, falhas de gravação e limites do navegador. [8]</w:t>
      </w:r>
    </w:p>
    <w:p>
      <w:pPr>
        <w:pStyle w:val="Heading2"/>
      </w:pPr>
      <w:r>
        <w:t>Publicar não exige multiplayer</w:t>
      </w:r>
    </w:p>
    <w:p>
      <w:pPr/>
      <w:r>
        <w:t xml:space="preserve">O jogo individual pode ser distribuído como arquivos estáticos por HTTPS, com recursos empacotados e versões consistentes de conteúdo. Se abrir por </w:t>
      </w:r>
      <w:r>
        <w:rPr>
          <w:rFonts w:ascii="Consolas" w:hAnsi="Consolas"/>
          <w:sz w:val="19"/>
        </w:rPr>
        <w:t>index.html</w:t>
      </w:r>
      <w:r>
        <w:t xml:space="preserve"> continuar sendo requisito, produzir também um pacote compatível; módulos e carregamento por </w:t>
      </w:r>
      <w:r>
        <w:rPr>
          <w:rFonts w:ascii="Consolas" w:hAnsi="Consolas"/>
          <w:sz w:val="19"/>
        </w:rPr>
        <w:t>fetch</w:t>
      </w:r>
      <w:r>
        <w:t xml:space="preserve"> podem exigir servidor local durante desenvolvimento.</w:t>
      </w:r>
    </w:p>
    <w:p>
      <w:pPr/>
      <w:r>
        <w:t>Contas entram se for necessário continuar em outro dispositivo. O servidor associa a partida ao usuário, confirma comandos e usa revisão esperada para detectar conflitos. Uma guia desatualizada recebe o estado atualizado antes de tentar novamente.</w:t>
      </w:r>
    </w:p>
    <w:p>
      <w:pPr/>
      <w:r>
        <w:t>Para ranking público ou avaliação formal, o servidor valida regras e sorteio. JSON local, hash calculado no cliente ou pontos enviados pelo navegador não comprovam integridade. Uso exclusivamente local pode dispensar essa infraestrutura.</w:t>
      </w:r>
    </w:p>
    <w:p>
      <w:pPr>
        <w:pStyle w:val="Heading2"/>
      </w:pPr>
      <w:r>
        <w:t>Observabilidade e recuperação</w:t>
      </w:r>
    </w:p>
    <w:p>
      <w:pPr/>
      <w:r>
        <w:t>Registrar tipo de comando, resultado, requisito, custo e versão do conteúdo. Separar diagnóstico técnico de histórico pedagógico. O relatório final pode indicar conceitos que exigiram correção, sem precisar expor dados pessoais.</w:t>
      </w:r>
    </w:p>
    <w:p>
      <w:pPr/>
      <w:r>
        <w:rPr>
          <w:b/>
        </w:rPr>
        <w:t>Teste essencial:</w:t>
      </w:r>
      <w:r>
        <w:t xml:space="preserve"> recarregar durante advertência, depois da penalização e após assinar. O estado deve continuar coerente, sem assinatura repetida, custo duplicado ou novo sorteio. Uma falha de salvamento precisa ser informada; não mostrar “Salvo” antes da confirmação da gravação.</w:t>
      </w:r>
    </w:p>
    <w:p>
      <w:pPr>
        <w:pStyle w:val="Break"/>
      </w:pPr>
      <w:r>
        <w:br w:type="page"/>
      </w:r>
    </w:p>
    <w:p>
      <w:pPr>
        <w:pStyle w:val="Heading1"/>
      </w:pPr>
      <w:r>
        <w:t>Plano de entrega e qualidade</w:t>
      </w:r>
    </w:p>
    <w:p>
      <w:pPr>
        <w:pStyle w:val="Subtitle"/>
      </w:pPr>
      <w:r>
        <w:t>Evoluir por uma missão completa</w:t>
      </w:r>
    </w:p>
    <w:p>
      <w:pPr>
        <w:pStyle w:val="Heading2"/>
      </w:pPr>
      <w:r>
        <w:t>Etapas de implementação</w:t>
      </w:r>
    </w:p>
    <w:p>
      <w:pPr/>
      <w:r>
        <w:rPr>
          <w:b/>
        </w:rPr>
        <w:t>1. Base de regras.</w:t>
      </w:r>
      <w:r>
        <w:t xml:space="preserve"> Criar comandos, tipos, seletores e política única de custos. Preservar a missão existente. Saída: testes do domínio executam sem DOM.</w:t>
      </w:r>
    </w:p>
    <w:p>
      <w:pPr/>
      <w:r>
        <w:rPr>
          <w:b/>
        </w:rPr>
        <w:t>2. Documentos e diálogos.</w:t>
      </w:r>
      <w:r>
        <w:t xml:space="preserve"> Implementar requerimento versionado, parecer financeiro e ramo de impessoalidade. Saída: mudar quantidade invalida somente aprovações afetadas; favor confirmado é recusado e penalizado uma vez.</w:t>
      </w:r>
    </w:p>
    <w:p>
      <w:pPr/>
      <w:r>
        <w:rPr>
          <w:b/>
        </w:rPr>
        <w:t>3. Produção visual.</w:t>
      </w:r>
      <w:r>
        <w:t xml:space="preserve"> Finalizar uma sala, avatar em quatro direções, formulário e carimbo. Medir desempenho e legibilidade antes dos outros setores. Saída: recorte jogável em computador e celular, com efeitos ativos e econômicos.</w:t>
      </w:r>
    </w:p>
    <w:p>
      <w:pPr/>
      <w:r>
        <w:rPr>
          <w:b/>
        </w:rPr>
        <w:t>4. Eventos e publicação.</w:t>
      </w:r>
      <w:r>
        <w:t xml:space="preserve"> Expandir conteúdo, recalibrar custos e validar migração. Publicar depois de testar progressão e recuperação. Contas e sincronização podem ficar para uma entrega posterior.</w:t>
      </w:r>
    </w:p>
    <w:p>
      <w:pPr>
        <w:pStyle w:val="Heading2"/>
      </w:pPr>
      <w:r>
        <w:t>Testes indispensáveis</w:t>
      </w:r>
    </w:p>
    <w:p>
      <w:pPr>
        <w:pStyle w:val="ListBullet"/>
        <w:numPr>
          <w:ilvl w:val="0"/>
          <w:numId w:val="70"/>
        </w:numPr>
      </w:pPr>
      <w:r>
        <w:t>Nenhuma aprovação sem competência ou delegação e pré-requisitos atuais.</w:t>
      </w:r>
    </w:p>
    <w:p>
      <w:pPr>
        <w:pStyle w:val="ListBullet"/>
        <w:numPr>
          <w:ilvl w:val="0"/>
          <w:numId w:val="70"/>
        </w:numPr>
      </w:pPr>
      <w:r>
        <w:t>Amizade muda a fala, mas nunca libera autorização.</w:t>
      </w:r>
    </w:p>
    <w:p>
      <w:pPr>
        <w:pStyle w:val="ListBullet"/>
        <w:numPr>
          <w:ilvl w:val="0"/>
          <w:numId w:val="70"/>
        </w:numPr>
      </w:pPr>
      <w:r>
        <w:t>Um comando confirmado gera no máximo uma cobrança, mesmo retransmitido.</w:t>
      </w:r>
    </w:p>
    <w:p>
      <w:pPr>
        <w:pStyle w:val="ListBullet"/>
        <w:numPr>
          <w:ilvl w:val="0"/>
          <w:numId w:val="70"/>
        </w:numPr>
      </w:pPr>
      <w:r>
        <w:t>Mudança de orçamento invalida dependências; consulta não altera estado.</w:t>
      </w:r>
    </w:p>
    <w:p>
      <w:pPr>
        <w:pStyle w:val="ListBullet"/>
        <w:numPr>
          <w:ilvl w:val="0"/>
          <w:numId w:val="70"/>
        </w:numPr>
      </w:pPr>
      <w:r>
        <w:t>A última ação pode concluir a missão; saldo insuficiente não concede assinatura.</w:t>
      </w:r>
    </w:p>
    <w:p>
      <w:pPr>
        <w:pStyle w:val="ListBullet"/>
        <w:numPr>
          <w:ilvl w:val="0"/>
          <w:numId w:val="70"/>
        </w:numPr>
      </w:pPr>
      <w:r>
        <w:t>Revalidar e reabrir diálogos não repete recompensas.</w:t>
      </w:r>
    </w:p>
    <w:p>
      <w:pPr>
        <w:pStyle w:val="ListBullet"/>
        <w:numPr>
          <w:ilvl w:val="0"/>
          <w:numId w:val="70"/>
        </w:numPr>
      </w:pPr>
      <w:r>
        <w:t>Salvar, restaurar e repetir comandos produz o mesmo resultado lógico.</w:t>
      </w:r>
    </w:p>
    <w:p>
      <w:pPr>
        <w:pStyle w:val="ListBullet"/>
        <w:numPr>
          <w:ilvl w:val="0"/>
          <w:numId w:val="70"/>
        </w:numPr>
      </w:pPr>
      <w:r>
        <w:t>Todo sorteio inicialmente permitido tem solução; derrota por escolhas é explicável.</w:t>
      </w:r>
    </w:p>
    <w:p>
      <w:pPr>
        <w:pStyle w:val="Heading2"/>
      </w:pPr>
      <w:r>
        <w:t>Revisão com jogadores</w:t>
      </w:r>
    </w:p>
    <w:p>
      <w:pPr/>
      <w:r>
        <w:t>Observar se identificam o próximo setor, entendem a devolução e distinguem prioridade formal de favor pessoal. Avaliar justificativas depois da partida, além dos acertos. Alternativas podem mudar de ordem, mas sua compreensão não deve depender de adivinhar a intenção do autor.</w:t>
      </w:r>
    </w:p>
    <w:p>
      <w:pPr>
        <w:pStyle w:val="Heading2"/>
      </w:pPr>
      <w:r>
        <w:t>Definição de pronto</w:t>
      </w:r>
    </w:p>
    <w:p>
      <w:pPr/>
      <w:r>
        <w:t>Regras, feedback e documento concordam; há conclusão por teclado e toque; efeitos não escondem informação; erros técnicos não consomem vidas; salvamentos resistem à recarga; o resultado explica os conceitos aplicados. Metas de fps e dificuldade são aprovadas com medições e testes, não apenas pela aparência de uma captura.</w:t>
      </w:r>
    </w:p>
    <w:p>
      <w:pPr>
        <w:pStyle w:val="Break"/>
      </w:pPr>
      <w:r>
        <w:br w:type="page"/>
      </w:r>
    </w:p>
    <w:p>
      <w:pPr>
        <w:pStyle w:val="Heading1"/>
      </w:pPr>
      <w:r>
        <w:t>Referências e escopo</w:t>
      </w:r>
    </w:p>
    <w:p>
      <w:pPr>
        <w:pStyle w:val="Subtitle"/>
      </w:pPr>
      <w:r>
        <w:t>Fontes consultadas em 13 de setembro de 2026</w:t>
      </w:r>
    </w:p>
    <w:p>
      <w:pPr>
        <w:pStyle w:val="Reference"/>
      </w:pPr>
      <w:r>
        <w:t>As fontes sustentam capacidades de plataforma e enquadramento conceitual. Paletas, módulos, números de animação e políticas de jogo são recomendações para o projeto, sujeitas a validação.</w:t>
      </w:r>
    </w:p>
    <w:p>
      <w:pPr>
        <w:pStyle w:val="Reference"/>
      </w:pPr>
      <w:r>
        <w:t>[1] WEBER, Max. “Bureaucracy”. Excerto de From Max Weber: Essays in Sociology, organizado e traduzido por H. H. Gerth e C. Wright Mills, Oxford University Press, 1946. Cópia disponibilizada pela University of Washington.</w:t>
      </w:r>
    </w:p>
    <w:p>
      <w:pPr>
        <w:pStyle w:val="Reference"/>
      </w:pPr>
      <w:hyperlink r:id="rId11">
        <w:r>
          <w:rPr>
            <w:color w:val="2D6958"/>
          </w:rPr>
          <w:t>https://courses.washington.edu/ppm504/Weber_Bureaucracy.pdf</w:t>
        </w:r>
      </w:hyperlink>
    </w:p>
    <w:p>
      <w:pPr>
        <w:pStyle w:val="Reference"/>
      </w:pPr>
      <w:r>
        <w:t>[2] MDN. CanvasRenderingContext2D: imageSmoothingEnabled. Controle da suavização de imagens ampliadas.</w:t>
      </w:r>
    </w:p>
    <w:p>
      <w:pPr>
        <w:pStyle w:val="Reference"/>
      </w:pPr>
      <w:hyperlink r:id="rId12">
        <w:r>
          <w:rPr>
            <w:color w:val="2D6958"/>
          </w:rPr>
          <w:t>https://developer.mozilla.org/en-US/docs/Web/API/CanvasRenderingContext2D/imageSmoothingEnabled</w:t>
        </w:r>
      </w:hyperlink>
    </w:p>
    <w:p>
      <w:pPr>
        <w:pStyle w:val="Reference"/>
      </w:pPr>
      <w:r>
        <w:t>[3] MDN. Optimizing canvas. Cache, camadas e atualização por quadros.</w:t>
      </w:r>
    </w:p>
    <w:p>
      <w:pPr>
        <w:pStyle w:val="Reference"/>
      </w:pPr>
      <w:hyperlink r:id="rId13">
        <w:r>
          <w:rPr>
            <w:color w:val="2D6958"/>
          </w:rPr>
          <w:t>https://developer.mozilla.org/en-US/docs/Web/API/Canvas_API/Tutorial/Optimizing_canvas</w:t>
        </w:r>
      </w:hyperlink>
    </w:p>
    <w:p>
      <w:pPr>
        <w:pStyle w:val="Reference"/>
      </w:pPr>
      <w:r>
        <w:t>[4] Phaser. LightsManager — API 3.90.0. Referência versionada de Light2D.</w:t>
      </w:r>
    </w:p>
    <w:p>
      <w:pPr>
        <w:pStyle w:val="Reference"/>
      </w:pPr>
      <w:hyperlink r:id="rId14">
        <w:r>
          <w:rPr>
            <w:color w:val="2D6958"/>
          </w:rPr>
          <w:t>https://docs.phaser.io/api-documentation/3.90.0/class/gameobjects-lightsmanager</w:t>
        </w:r>
      </w:hyperlink>
    </w:p>
    <w:p>
      <w:pPr>
        <w:pStyle w:val="Reference"/>
      </w:pPr>
      <w:r>
        <w:t>[5] W3C. Understanding Success Criterion 1.4.3: Contrast (Minimum).</w:t>
      </w:r>
    </w:p>
    <w:p>
      <w:pPr>
        <w:pStyle w:val="Reference"/>
      </w:pPr>
      <w:hyperlink r:id="rId15">
        <w:r>
          <w:rPr>
            <w:color w:val="2D6958"/>
          </w:rPr>
          <w:t>https://www.w3.org/WAI/WCAG22/Understanding/contrast-minimum.html</w:t>
        </w:r>
      </w:hyperlink>
    </w:p>
    <w:p>
      <w:pPr>
        <w:pStyle w:val="Reference"/>
      </w:pPr>
      <w:r>
        <w:t>[6] W3C. Understanding Success Criterion 2.5.8: Target Size (Minimum).</w:t>
      </w:r>
    </w:p>
    <w:p>
      <w:pPr>
        <w:pStyle w:val="Reference"/>
      </w:pPr>
      <w:hyperlink r:id="rId16">
        <w:r>
          <w:rPr>
            <w:color w:val="2D6958"/>
          </w:rPr>
          <w:t>https://www.w3.org/WAI/WCAG22/Understanding/target-size-minimum.html</w:t>
        </w:r>
      </w:hyperlink>
    </w:p>
    <w:p>
      <w:pPr>
        <w:pStyle w:val="Reference"/>
      </w:pPr>
      <w:r>
        <w:t>[7] Inkle. Ink; projeto inkjs. Narrativa interativa e runtime JavaScript.</w:t>
      </w:r>
    </w:p>
    <w:p>
      <w:pPr>
        <w:pStyle w:val="Reference"/>
      </w:pPr>
      <w:hyperlink r:id="rId17">
        <w:r>
          <w:rPr>
            <w:color w:val="2D6958"/>
          </w:rPr>
          <w:t>https://github.com/inkle/ink</w:t>
        </w:r>
      </w:hyperlink>
    </w:p>
    <w:p>
      <w:pPr>
        <w:pStyle w:val="Reference"/>
      </w:pPr>
      <w:hyperlink r:id="rId18">
        <w:r>
          <w:rPr>
            <w:color w:val="2D6958"/>
          </w:rPr>
          <w:t>https://github.com/y-lohse/inkjs</w:t>
        </w:r>
      </w:hyperlink>
    </w:p>
    <w:p>
      <w:pPr>
        <w:pStyle w:val="Reference"/>
      </w:pPr>
      <w:r>
        <w:t>[8] MDN. IndexedDB API. Persistência estruturada no navegador.</w:t>
      </w:r>
    </w:p>
    <w:p>
      <w:pPr>
        <w:pStyle w:val="Reference"/>
      </w:pPr>
      <w:hyperlink r:id="rId19">
        <w:r>
          <w:rPr>
            <w:color w:val="2D6958"/>
          </w:rPr>
          <w:t>https://developer.mozilla.org/en-US/docs/Web/API/IndexedDB_API</w:t>
        </w:r>
      </w:hyperlink>
    </w:p>
    <w:p>
      <w:pPr>
        <w:pStyle w:val="Reference"/>
      </w:pPr>
      <w:r>
        <w:rPr>
          <w:b/>
        </w:rPr>
        <w:t>Referência local:</w:t>
      </w:r>
      <w:r>
        <w:t xml:space="preserve"> </w:t>
      </w:r>
      <w:r>
        <w:rPr>
          <w:rFonts w:ascii="Consolas" w:hAnsi="Consolas"/>
          <w:sz w:val="19"/>
        </w:rPr>
        <w:t>engine.js</w:t>
      </w:r>
      <w:r>
        <w:t xml:space="preserve">, </w:t>
      </w:r>
      <w:r>
        <w:rPr>
          <w:rFonts w:ascii="Consolas" w:hAnsi="Consolas"/>
          <w:sz w:val="19"/>
        </w:rPr>
        <w:t>game.js</w:t>
      </w:r>
      <w:r>
        <w:t xml:space="preserve">, </w:t>
      </w:r>
      <w:r>
        <w:rPr>
          <w:rFonts w:ascii="Consolas" w:hAnsi="Consolas"/>
          <w:sz w:val="19"/>
        </w:rPr>
        <w:t>index.html</w:t>
      </w:r>
      <w:r>
        <w:t xml:space="preserve">, </w:t>
      </w:r>
      <w:r>
        <w:rPr>
          <w:rFonts w:ascii="Consolas" w:hAnsi="Consolas"/>
          <w:sz w:val="19"/>
        </w:rPr>
        <w:t>style.css</w:t>
      </w:r>
      <w:r>
        <w:t xml:space="preserve"> e </w:t>
      </w:r>
      <w:r>
        <w:rPr>
          <w:rFonts w:ascii="Consolas" w:hAnsi="Consolas"/>
          <w:sz w:val="19"/>
        </w:rPr>
        <w:t>README.md</w:t>
      </w:r>
      <w:r>
        <w:t>, na versão disponível para esta análise. Os modelos de inventário, autoridade e diálogos apresentados são propostas; ainda precisam ser implementados e testados.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unning"/>
      <w:jc w:val="right"/>
    </w:pPr>
    <w:r>
      <w:t xml:space="preserve">DIREÇÃO DE ARTE E ARQUITETURA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unning"/>
    </w:pPr>
    <w:r>
      <w:t>NETFELIZ  /  O LABIRINTO BUROCRÁTICO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Calibri"/>
      <w:b w:val="0"/>
      <w:color w:val="142536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425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D69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D695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425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76" w:lineRule="auto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267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0" w:lineRule="auto"/>
      <w:contextualSpacing/>
    </w:pPr>
    <w:rPr>
      <w:rFonts w:ascii="Calibri" w:hAnsi="Calibri" w:eastAsia="Calibri"/>
      <w:b w:val="0"/>
      <w:color w:val="14253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80" w:line="276" w:lineRule="auto"/>
    </w:pPr>
    <w:rPr>
      <w:rFonts w:ascii="Calibri" w:hAnsi="Calibri" w:eastAsia="Calibri"/>
      <w:b w:val="0"/>
      <w:color w:val="142536"/>
      <w:sz w:val="19"/>
    </w:rPr>
  </w:style>
  <w:style w:type="paragraph" w:customStyle="1" w:styleId="TableHeader">
    <w:name w:val="Table Header"/>
    <w:pPr>
      <w:widowControl/>
      <w:spacing w:before="0" w:after="80" w:line="276" w:lineRule="auto"/>
    </w:pPr>
    <w:rPr>
      <w:rFonts w:ascii="Calibri" w:hAnsi="Calibri" w:eastAsia="Calibri"/>
      <w:b/>
      <w:color w:val="142536"/>
      <w:sz w:val="19"/>
    </w:rPr>
  </w:style>
  <w:style w:type="paragraph" w:customStyle="1" w:styleId="Reference">
    <w:name w:val="Reference"/>
    <w:pPr>
      <w:widowControl/>
      <w:spacing w:before="0" w:after="80" w:line="264" w:lineRule="auto"/>
    </w:pPr>
    <w:rPr>
      <w:rFonts w:ascii="Calibri" w:hAnsi="Calibri" w:eastAsia="Calibri"/>
      <w:b w:val="0"/>
      <w:color w:val="526775"/>
      <w:sz w:val="19"/>
    </w:rPr>
  </w:style>
  <w:style w:type="paragraph" w:customStyle="1" w:styleId="TableCitation">
    <w:name w:val="Table Citation"/>
    <w:pPr>
      <w:widowControl/>
      <w:spacing w:before="80" w:after="80" w:line="264" w:lineRule="auto"/>
    </w:pPr>
    <w:rPr>
      <w:rFonts w:ascii="Calibri" w:hAnsi="Calibri" w:eastAsia="Calibri"/>
      <w:b w:val="0"/>
      <w:color w:val="526775"/>
      <w:sz w:val="19"/>
    </w:rPr>
  </w:style>
  <w:style w:type="paragraph" w:customStyle="1" w:styleId="Running">
    <w:name w:val="Running"/>
    <w:pPr>
      <w:widowControl/>
      <w:spacing w:before="0" w:after="0" w:line="240" w:lineRule="auto"/>
    </w:pPr>
    <w:rPr>
      <w:rFonts w:ascii="Calibri" w:hAnsi="Calibri" w:eastAsia="Calibri"/>
      <w:b w:val="0"/>
      <w:color w:val="526775"/>
      <w:sz w:val="16"/>
    </w:rPr>
  </w:style>
  <w:style w:type="paragraph" w:customStyle="1" w:styleId="Break">
    <w:name w:val="Break"/>
    <w:pPr>
      <w:widowControl/>
      <w:spacing w:before="0" w:after="0" w:line="20" w:lineRule="exact"/>
    </w:pPr>
    <w:rPr>
      <w:rFonts w:ascii="Calibri" w:hAnsi="Calibri" w:eastAsia="Calibri"/>
      <w:b w:val="0"/>
      <w:color w:val="142536"/>
      <w:sz w:val="2"/>
    </w:rPr>
  </w:style>
  <w:style w:type="paragraph" w:customStyle="1" w:styleId="Code">
    <w:name w:val="Code"/>
    <w:pPr>
      <w:widowControl/>
      <w:spacing w:before="0" w:after="0" w:line="200" w:lineRule="exact"/>
      <w:ind w:left="160" w:right="160"/>
      <w:shd w:fill="F0F3F5"/>
    </w:pPr>
    <w:rPr>
      <w:rFonts w:ascii="Consolas" w:hAnsi="Consolas" w:eastAsia="Consolas"/>
      <w:b w:val="0"/>
      <w:color w:val="14253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urses.washington.edu/ppm504/Weber_Bureaucracy.pdf" TargetMode="External"/><Relationship Id="rId12" Type="http://schemas.openxmlformats.org/officeDocument/2006/relationships/hyperlink" Target="https://developer.mozilla.org/en-US/docs/Web/API/CanvasRenderingContext2D/imageSmoothingEnabled" TargetMode="External"/><Relationship Id="rId13" Type="http://schemas.openxmlformats.org/officeDocument/2006/relationships/hyperlink" Target="https://developer.mozilla.org/en-US/docs/Web/API/Canvas_API/Tutorial/Optimizing_canvas" TargetMode="External"/><Relationship Id="rId14" Type="http://schemas.openxmlformats.org/officeDocument/2006/relationships/hyperlink" Target="https://docs.phaser.io/api-documentation/3.90.0/class/gameobjects-lightsmanager" TargetMode="External"/><Relationship Id="rId15" Type="http://schemas.openxmlformats.org/officeDocument/2006/relationships/hyperlink" Target="https://www.w3.org/WAI/WCAG22/Understanding/contrast-minimum.html" TargetMode="External"/><Relationship Id="rId16" Type="http://schemas.openxmlformats.org/officeDocument/2006/relationships/hyperlink" Target="https://www.w3.org/WAI/WCAG22/Understanding/target-size-minimum.html" TargetMode="External"/><Relationship Id="rId17" Type="http://schemas.openxmlformats.org/officeDocument/2006/relationships/hyperlink" Target="https://github.com/inkle/ink" TargetMode="External"/><Relationship Id="rId18" Type="http://schemas.openxmlformats.org/officeDocument/2006/relationships/hyperlink" Target="https://github.com/y-lohse/inkjs" TargetMode="External"/><Relationship Id="rId19" Type="http://schemas.openxmlformats.org/officeDocument/2006/relationships/hyperlink" Target="https://developer.mozilla.org/en-US/docs/Web/API/IndexedDB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Labirinto Burocrático — Direção de arte, mecânicas e arquitetura</dc:title>
  <dc:subject>Guia de evolução do RPG educativo sobre burocracia</dc:subject>
  <dc:creator>Projeto O Labirinto Burocrático</dc:creator>
  <cp:keywords>pixel art, RPG, Max Weber, inventário, diálogos, arquitetura</cp:keywords>
  <dc:description>Proposta técnica e artística. Exemplos ilustrativos, sem alteração do código do jogo.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