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3"/>
      </w:pPr>
      <w:r>
        <w:rPr>
          <w:i/>
        </w:rPr>
        <w:t>Bioinformatics</w:t>
      </w:r>
      <w:r>
        <w:t>, YYYY, 0–0</w:t>
      </w:r>
    </w:p>
    <w:p>
      <w:pPr>
        <w:pStyle w:val="103"/>
      </w:pPr>
      <w:r>
        <w:t>doi: 10.1093/bioinformatics/xxxxx</w:t>
      </w:r>
    </w:p>
    <w:p>
      <w:pPr>
        <w:pStyle w:val="103"/>
      </w:pPr>
      <w:r>
        <w:t>Advance Access Publication Date: DD Month YYYY</w:t>
      </w:r>
    </w:p>
    <w:p>
      <w:pPr>
        <w:pStyle w:val="103"/>
      </w:pPr>
      <w:r>
        <w:t>Manuscript Category</w:t>
      </w:r>
    </w:p>
    <w:p>
      <w:pPr>
        <w:pStyle w:val="35"/>
        <w:spacing w:line="14" w:lineRule="exact"/>
      </w:pPr>
    </w:p>
    <w:tbl>
      <w:tblPr>
        <w:tblStyle w:val="25"/>
        <w:tblW w:w="0" w:type="auto"/>
        <w:tblInd w:w="0" w:type="dxa"/>
        <w:tblBorders>
          <w:top w:val="single" w:color="auto" w:sz="24" w:space="0"/>
          <w:left w:val="none" w:color="auto" w:sz="0" w:space="0"/>
          <w:bottom w:val="single" w:color="auto" w:sz="24" w:space="0"/>
          <w:right w:val="none" w:color="auto" w:sz="0" w:space="0"/>
          <w:insideH w:val="none" w:color="auto" w:sz="0" w:space="0"/>
          <w:insideV w:val="none" w:color="auto" w:sz="0" w:space="0"/>
        </w:tblBorders>
        <w:tblLayout w:type="autofit"/>
        <w:tblCellMar>
          <w:top w:w="0" w:type="dxa"/>
          <w:left w:w="115" w:type="dxa"/>
          <w:bottom w:w="216" w:type="dxa"/>
          <w:right w:w="115" w:type="dxa"/>
        </w:tblCellMar>
      </w:tblPr>
      <w:tblGrid>
        <w:gridCol w:w="8320"/>
      </w:tblGrid>
      <w:tr>
        <w:tblPrEx>
          <w:tblBorders>
            <w:top w:val="single" w:color="auto" w:sz="24" w:space="0"/>
            <w:left w:val="none" w:color="auto" w:sz="0" w:space="0"/>
            <w:bottom w:val="single" w:color="auto" w:sz="24" w:space="0"/>
            <w:right w:val="none" w:color="auto" w:sz="0" w:space="0"/>
            <w:insideH w:val="none" w:color="auto" w:sz="0" w:space="0"/>
            <w:insideV w:val="none" w:color="auto" w:sz="0" w:space="0"/>
          </w:tblBorders>
          <w:tblCellMar>
            <w:top w:w="0" w:type="dxa"/>
            <w:left w:w="115" w:type="dxa"/>
            <w:bottom w:w="216" w:type="dxa"/>
            <w:right w:w="115" w:type="dxa"/>
          </w:tblCellMar>
        </w:tblPrEx>
        <w:tc>
          <w:tcPr>
            <w:tcW w:w="8320" w:type="dxa"/>
          </w:tcPr>
          <w:p>
            <w:pPr>
              <w:pStyle w:val="19"/>
            </w:pPr>
            <w:r>
              <w:t>Subject Section</w:t>
            </w:r>
          </w:p>
          <w:p>
            <w:pPr>
              <w:pStyle w:val="22"/>
            </w:pPr>
            <w:r>
              <w:t>Manuscript Title</w:t>
            </w:r>
          </w:p>
          <w:p>
            <w:pPr>
              <w:pStyle w:val="90"/>
            </w:pPr>
            <w:r>
              <w:t>Corresponding Author</w:t>
            </w:r>
            <w:r>
              <w:rPr>
                <w:vertAlign w:val="superscript"/>
              </w:rPr>
              <w:t>1,</w:t>
            </w:r>
            <w:r>
              <w:rPr>
                <w:rFonts w:ascii="Times New Roman" w:hAnsi="Times New Roman"/>
                <w:vertAlign w:val="superscript"/>
              </w:rPr>
              <w:t>*</w:t>
            </w:r>
            <w:r>
              <w:t>, Co-author</w:t>
            </w:r>
            <w:r>
              <w:rPr>
                <w:vertAlign w:val="superscript"/>
              </w:rPr>
              <w:t>2</w:t>
            </w:r>
            <w:r>
              <w:t xml:space="preserve"> and Co-Author</w:t>
            </w:r>
            <w:r>
              <w:rPr>
                <w:vertAlign w:val="superscript"/>
              </w:rPr>
              <w:t>2</w:t>
            </w:r>
          </w:p>
          <w:p>
            <w:pPr>
              <w:pStyle w:val="93"/>
            </w:pPr>
            <w:r>
              <w:rPr>
                <w:vertAlign w:val="superscript"/>
              </w:rPr>
              <w:t>1</w:t>
            </w:r>
            <w:r>
              <w:t xml:space="preserve">Department of XXXXXXX, Address XXXX etc., </w:t>
            </w:r>
            <w:r>
              <w:rPr>
                <w:vertAlign w:val="superscript"/>
              </w:rPr>
              <w:t>2</w:t>
            </w:r>
            <w:r>
              <w:t>Department of XXXXXXX, Address XXXX etc.</w:t>
            </w:r>
          </w:p>
          <w:p>
            <w:pPr>
              <w:pStyle w:val="100"/>
            </w:pPr>
            <w:r>
              <w:t>*To whom correspondence should be addressed.</w:t>
            </w:r>
          </w:p>
          <w:p>
            <w:pPr>
              <w:pStyle w:val="100"/>
            </w:pPr>
            <w:r>
              <w:t>Associate Editor: XXXXXXX</w:t>
            </w:r>
          </w:p>
          <w:p>
            <w:pPr>
              <w:pStyle w:val="101"/>
            </w:pPr>
            <w:r>
              <w:t xml:space="preserve">Received on XXXXX; revised on XXXXX; accepted on XXXXX </w:t>
            </w:r>
          </w:p>
          <w:p>
            <w:pPr>
              <w:pStyle w:val="87"/>
            </w:pPr>
            <w:r>
              <w:t>Abstract</w:t>
            </w:r>
          </w:p>
          <w:p>
            <w:pPr>
              <w:pStyle w:val="86"/>
            </w:pPr>
            <w:r>
              <w:rPr>
                <w:b/>
                <w:bCs/>
              </w:rPr>
              <w:t>Motivation:</w:t>
            </w:r>
            <w:r>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w:t>
            </w:r>
          </w:p>
          <w:p>
            <w:pPr>
              <w:pStyle w:val="86"/>
            </w:pPr>
            <w:r>
              <w:rPr>
                <w:b/>
              </w:rPr>
              <w:t>Results:</w:t>
            </w:r>
            <w:r>
              <w:t xml:space="preserve"> The quick brown fox jumps over the lazy dog. The quick brown fox jumps over the lazy dog. The quick brown fox jumps over the lazy dog. The quick brown fox jumps over the lazy dog. The quick brown fox jumps over the lazy dog. The quick brown fox jumps over the lazy dog.</w:t>
            </w:r>
          </w:p>
          <w:p>
            <w:pPr>
              <w:pStyle w:val="86"/>
              <w:rPr>
                <w:rFonts w:ascii="AdvPS2AA1" w:hAnsi="AdvPS2AA1" w:cs="AdvPS2AA1"/>
                <w:lang w:val="en-GB" w:eastAsia="en-IN"/>
              </w:rPr>
            </w:pPr>
            <w:r>
              <w:rPr>
                <w:rFonts w:ascii="AdvPS2AA1" w:hAnsi="AdvPS2AA1" w:cs="AdvPS2AA1"/>
                <w:b/>
                <w:lang w:val="en-GB" w:eastAsia="en-IN"/>
              </w:rPr>
              <w:t>Availability:</w:t>
            </w:r>
            <w:r>
              <w:rPr>
                <w:rFonts w:ascii="AdvPS2AA1" w:hAnsi="AdvPS2AA1" w:cs="AdvPS2AA1"/>
                <w:lang w:val="en-GB" w:eastAsia="en-IN"/>
              </w:rPr>
              <w:t xml:space="preserve"> </w:t>
            </w:r>
            <w:r>
              <w:t>The quick brown fox jumps over the lazy dog.</w:t>
            </w:r>
          </w:p>
          <w:p>
            <w:pPr>
              <w:pStyle w:val="86"/>
              <w:rPr>
                <w:lang w:val="en-GB" w:eastAsia="en-IN"/>
              </w:rPr>
            </w:pPr>
            <w:r>
              <w:rPr>
                <w:rFonts w:ascii="AdvPS2AA1" w:hAnsi="AdvPS2AA1" w:cs="AdvPS2AA1"/>
                <w:b/>
                <w:lang w:val="en-GB" w:eastAsia="en-IN"/>
              </w:rPr>
              <w:t>Contact:</w:t>
            </w:r>
            <w:r>
              <w:rPr>
                <w:rFonts w:ascii="AdvPS2AA1" w:hAnsi="AdvPS2AA1" w:cs="AdvPS2AA1"/>
                <w:lang w:val="en-GB" w:eastAsia="en-IN"/>
              </w:rPr>
              <w:t xml:space="preserve"> </w:t>
            </w:r>
            <w:r>
              <w:rPr>
                <w:lang w:val="en-GB" w:eastAsia="en-IN"/>
              </w:rPr>
              <w:t xml:space="preserve">example@example.org </w:t>
            </w:r>
          </w:p>
          <w:p>
            <w:pPr>
              <w:pStyle w:val="86"/>
              <w:rPr>
                <w:sz w:val="28"/>
                <w:szCs w:val="28"/>
              </w:rPr>
            </w:pPr>
            <w:r>
              <w:rPr>
                <w:b/>
                <w:lang w:val="en-GB" w:eastAsia="en-IN"/>
              </w:rPr>
              <w:t>Supplementary information:</w:t>
            </w:r>
            <w:r>
              <w:rPr>
                <w:rFonts w:ascii="AdvPS2A83" w:hAnsi="AdvPS2A83" w:cs="AdvPS2A83"/>
                <w:color w:val="0000FF"/>
                <w:lang w:val="en-GB" w:eastAsia="en-IN"/>
              </w:rPr>
              <w:t xml:space="preserve"> </w:t>
            </w:r>
            <w:r>
              <w:rPr>
                <w:lang w:val="en-GB" w:eastAsia="en-IN"/>
              </w:rPr>
              <w:t xml:space="preserve">Supplementary data </w:t>
            </w:r>
            <w:r>
              <w:rPr>
                <w:rFonts w:ascii="AdvPS2A83" w:hAnsi="AdvPS2A83" w:cs="AdvPS2A83"/>
                <w:color w:val="000000"/>
                <w:lang w:val="en-GB" w:eastAsia="en-IN"/>
              </w:rPr>
              <w:t xml:space="preserve">are available at </w:t>
            </w:r>
            <w:r>
              <w:rPr>
                <w:rFonts w:ascii="AdvPS2A8F" w:hAnsi="AdvPS2A8F" w:cs="AdvPS2A8F"/>
                <w:i/>
                <w:color w:val="000000"/>
                <w:lang w:val="en-GB" w:eastAsia="en-IN"/>
              </w:rPr>
              <w:t>Bioinformatics</w:t>
            </w:r>
            <w:r>
              <w:rPr>
                <w:rFonts w:ascii="AdvPS2A8F" w:hAnsi="AdvPS2A8F" w:cs="AdvPS2A8F"/>
                <w:color w:val="000000"/>
                <w:lang w:val="en-GB" w:eastAsia="en-IN"/>
              </w:rPr>
              <w:t xml:space="preserve"> </w:t>
            </w:r>
            <w:r>
              <w:rPr>
                <w:rFonts w:ascii="AdvPS2A83" w:hAnsi="AdvPS2A83" w:cs="AdvPS2A83"/>
                <w:color w:val="000000"/>
                <w:lang w:val="en-GB" w:eastAsia="en-IN"/>
              </w:rPr>
              <w:t>online.</w:t>
            </w:r>
          </w:p>
        </w:tc>
      </w:tr>
    </w:tbl>
    <w:p>
      <w:pPr>
        <w:pStyle w:val="35"/>
        <w:spacing w:line="14" w:lineRule="exact"/>
      </w:pPr>
    </w:p>
    <w:p>
      <w:pPr>
        <w:pStyle w:val="35"/>
        <w:spacing w:line="14" w:lineRule="exact"/>
      </w:pPr>
    </w:p>
    <w:p>
      <w:pPr>
        <w:pStyle w:val="2"/>
        <w:sectPr>
          <w:headerReference r:id="rId3" w:type="default"/>
          <w:headerReference r:id="rId4" w:type="even"/>
          <w:pgSz w:w="12240" w:h="15826"/>
          <w:pgMar w:top="1267" w:right="1382" w:bottom="1267" w:left="1094" w:header="706" w:footer="835" w:gutter="0"/>
          <w:cols w:space="360" w:num="1"/>
          <w:titlePg/>
          <w:docGrid w:linePitch="360" w:charSpace="0"/>
        </w:sectPr>
      </w:pPr>
    </w:p>
    <w:p>
      <w:pPr>
        <w:pStyle w:val="2"/>
      </w:pPr>
      <w:r>
        <w:t xml:space="preserve">Introduction </w:t>
      </w:r>
    </w:p>
    <w:p>
      <w:pPr>
        <w:pStyle w:val="5"/>
      </w:pPr>
      <w:r>
        <w:rPr>
          <w:rFonts w:hint="eastAsia"/>
        </w:rPr>
        <w:t>Clustered regularly interspaced short palindromic repeats (CRISPR)/CRIPSR-associated  protein 9 (Cas) systems is preferred over other biological research and human medicine technologies now, beacuse of it's efficiency, robustness and programmability. Cas9 nucleases can be directed by short guide RNAs (sgRNAs) to introduce site-specific DNA double-stranded breaks in target，so to enable editing site-specific within the mammalian genome</w:t>
      </w:r>
      <w:r>
        <w:rPr>
          <w:rFonts w:hint="eastAsia" w:eastAsia="宋体"/>
          <w:lang w:val="en-US" w:eastAsia="zh-CN"/>
        </w:rPr>
        <w:t xml:space="preserve"> </w:t>
      </w:r>
      <w:r>
        <w:rPr>
          <w:rFonts w:hint="eastAsia" w:eastAsia="宋体"/>
          <w:lang w:val="en-US" w:eastAsia="zh-CN"/>
        </w:rPr>
        <w:fldChar w:fldCharType="begin"/>
      </w:r>
      <w:r>
        <w:rPr>
          <w:rFonts w:hint="eastAsia" w:eastAsia="宋体"/>
          <w:lang w:val="en-US" w:eastAsia="zh-CN"/>
        </w:rPr>
        <w:instrText xml:space="preserve"> ADDIN  EN.CITE &lt;EndNote&gt;&lt;Cite&gt;&lt;Author&gt;Cong&lt;/Author&gt;&lt;Year&gt;2013&lt;/Year&gt;&lt;RecNum&gt;9&lt;/RecNum&gt;&lt;DisplayText&gt;(Cong, et al., 2013; Jinek, et al., 2012)&lt;/DisplayText&gt;&lt;record&gt;&lt;rec-number&gt;9&lt;/rec-number&gt;&lt;foreign-keys&gt;&lt;key app="EN" db-id="d95w9exz3w2wvpexwwavww5ea2preszwxvsf" timestamp="1597846299"&gt;9&lt;/key&gt;&lt;/foreign-keys&gt;&lt;ref-type name="Journal Article"&gt;17&lt;/ref-type&gt;&lt;contributors&gt;&lt;authors&gt;&lt;author&gt;Cong, Le&lt;/author&gt;&lt;author&gt;Ran, F Ann&lt;/author&gt;&lt;author&gt;Cox, David D&lt;/author&gt;&lt;author&gt;Lin, Shuailiang&lt;/author&gt;&lt;author&gt;Barretto, Robert P J&lt;/author&gt;&lt;author&gt;Habib, Naomi&lt;/author&gt;&lt;author&gt;Hsu, Patrick&lt;/author&gt;&lt;author&gt;Wu, Xuebing&lt;/author&gt;&lt;author&gt;Jiang, Wenyan&lt;/author&gt;&lt;author&gt;Marraffini, Luciano A %J Science&lt;/author&gt;&lt;/authors&gt;&lt;/contributors&gt;&lt;titles&gt;&lt;title&gt;Multiplex Genome Engineering Using CRISPR/Cas Systems&lt;/title&gt;&lt;/titles&gt;&lt;pages&gt;819-823&lt;/pages&gt;&lt;volume&gt;339&lt;/volume&gt;&lt;number&gt;6121&lt;/number&gt;&lt;dates&gt;&lt;year&gt;2013&lt;/year&gt;&lt;/dates&gt;&lt;urls&gt;&lt;/urls&gt;&lt;/record&gt;&lt;/Cite&gt;&lt;Cite&gt;&lt;Author&gt;Jinek&lt;/Author&gt;&lt;Year&gt;2012&lt;/Year&gt;&lt;RecNum&gt;10&lt;/RecNum&gt;&lt;record&gt;&lt;rec-number&gt;10&lt;/rec-number&gt;&lt;foreign-keys&gt;&lt;key app="EN" db-id="d95w9exz3w2wvpexwwavww5ea2preszwxvsf" timestamp="1597846300"&gt;10&lt;/key&gt;&lt;/foreign-keys&gt;&lt;ref-type name="Journal Article"&gt;17&lt;/ref-type&gt;&lt;contributors&gt;&lt;authors&gt;&lt;author&gt;Jinek, Martin&lt;/author&gt;&lt;author&gt;Chylinski, Krzysztof&lt;/author&gt;&lt;author&gt;Fonfara, Ines&lt;/author&gt;&lt;author&gt;Hauer, Michael&lt;/author&gt;&lt;author&gt;Doudna, Jennifer A&lt;/author&gt;&lt;author&gt;Charpentier, Emmanuelle %J Science&lt;/author&gt;&lt;/authors&gt;&lt;/contributors&gt;&lt;titles&gt;&lt;title&gt;A programmable dual-RNA-guided DNA endonuclease in adaptive bacterial immunity&lt;/title&gt;&lt;/titles&gt;&lt;pages&gt;816-821&lt;/pages&gt;&lt;volume&gt;337&lt;/volume&gt;&lt;number&gt;6096&lt;/number&gt;&lt;dates&gt;&lt;year&gt;2012&lt;/year&gt;&lt;/dates&gt;&lt;urls&gt;&lt;/urls&gt;&lt;/record&gt;&lt;/Cite&gt;&lt;/EndNote&gt;</w:instrText>
      </w:r>
      <w:r>
        <w:rPr>
          <w:rFonts w:hint="eastAsia" w:eastAsia="宋体"/>
          <w:lang w:val="en-US" w:eastAsia="zh-CN"/>
        </w:rPr>
        <w:fldChar w:fldCharType="separate"/>
      </w:r>
      <w:r>
        <w:rPr>
          <w:rFonts w:hint="eastAsia" w:ascii="Times New Roman" w:hAnsi="Times New Roman" w:eastAsia="宋体" w:cs="Times New Roman"/>
          <w:sz w:val="16"/>
          <w:szCs w:val="16"/>
          <w:lang w:val="en-US" w:eastAsia="zh-CN" w:bidi="ar-SA"/>
        </w:rPr>
        <w:t>(Cong, et al., 2013; Jinek, et al., 2012)</w:t>
      </w:r>
      <w:r>
        <w:rPr>
          <w:rFonts w:hint="eastAsia" w:eastAsia="宋体"/>
          <w:lang w:val="en-US" w:eastAsia="zh-CN"/>
        </w:rPr>
        <w:fldChar w:fldCharType="end"/>
      </w:r>
      <w:r>
        <w:rPr>
          <w:rFonts w:hint="eastAsia"/>
        </w:rPr>
        <w:t>. CRISPR/Cas9, to a large extent, has developed genetic therapies at the cellular level, while there are still severe medical disadvantage even now which has greatly hindered the further clinical application of the CRISPR/Cas9 systems. One of these disadvantage is due to point mutations caused by off-target effects</w:t>
      </w:r>
      <w:r>
        <w:rPr>
          <w:rFonts w:hint="eastAsia" w:eastAsia="宋体"/>
          <w:lang w:val="en-US" w:eastAsia="zh-CN"/>
        </w:rPr>
        <w:t xml:space="preserve"> </w:t>
      </w:r>
      <w:r>
        <w:rPr>
          <w:rFonts w:hint="eastAsia" w:eastAsia="宋体"/>
          <w:lang w:val="en-US" w:eastAsia="zh-CN"/>
        </w:rPr>
        <w:fldChar w:fldCharType="begin"/>
      </w:r>
      <w:r>
        <w:rPr>
          <w:rFonts w:hint="eastAsia" w:eastAsia="宋体"/>
          <w:lang w:val="en-US" w:eastAsia="zh-CN"/>
        </w:rPr>
        <w:instrText xml:space="preserve"> ADDIN  EN.CITE &lt;EndNote&gt;&lt;Cite&gt;&lt;Author&gt;Rubeis&lt;/Author&gt;&lt;Year&gt;2018&lt;/Year&gt;&lt;RecNum&gt;7&lt;/RecNum&gt;&lt;DisplayText&gt;(Rubeis and Steger, 2018; Slaymaker, et al., 2016)&lt;/DisplayText&gt;&lt;record&gt;&lt;rec-number&gt;7&lt;/rec-number&gt;&lt;foreign-keys&gt;&lt;key app="EN" db-id="d95w9exz3w2wvpexwwavww5ea2preszwxvsf" timestamp="1597846298"&gt;7&lt;/key&gt;&lt;/foreign-keys&gt;&lt;ref-type name="Journal Article"&gt;17&lt;/ref-type&gt;&lt;contributors&gt;&lt;authors&gt;&lt;author&gt;Rubeis, Giovanni&lt;/author&gt;&lt;author&gt;Steger, Florian %J Asian Bioethics Review&lt;/author&gt;&lt;/authors&gt;&lt;/contributors&gt;&lt;titles&gt;&lt;title&gt;Risks and benefits of human germline genome editing: An ethical analysis&lt;/title&gt;&lt;/titles&gt;&lt;pages&gt;133-141&lt;/pages&gt;&lt;volume&gt;10&lt;/volume&gt;&lt;number&gt;2&lt;/number&gt;&lt;dates&gt;&lt;year&gt;2018&lt;/year&gt;&lt;/dates&gt;&lt;urls&gt;&lt;/urls&gt;&lt;/record&gt;&lt;/Cite&gt;&lt;Cite&gt;&lt;Author&gt;Slaymaker&lt;/Author&gt;&lt;Year&gt;2016&lt;/Year&gt;&lt;RecNum&gt;3&lt;/RecNum&gt;&lt;record&gt;&lt;rec-number&gt;3&lt;/rec-number&gt;&lt;foreign-keys&gt;&lt;key app="EN" db-id="d95w9exz3w2wvpexwwavww5ea2preszwxvsf" timestamp="1597846295"&gt;3&lt;/key&gt;&lt;/foreign-keys&gt;&lt;ref-type name="Journal Article"&gt;17&lt;/ref-type&gt;&lt;contributors&gt;&lt;authors&gt;&lt;author&gt;Slaymaker, Ian M&lt;/author&gt;&lt;author&gt;Gao, Linyi&lt;/author&gt;&lt;author&gt;Zetsche, Bernd&lt;/author&gt;&lt;author&gt;Scott, David A&lt;/author&gt;&lt;author&gt;Yan, Winston X&lt;/author&gt;&lt;author&gt;Zhang, Feng %J Science&lt;/author&gt;&lt;/authors&gt;&lt;/contributors&gt;&lt;titles&gt;&lt;title&gt;Rationally engineered Cas9 nucleases with improved specificity&lt;/title&gt;&lt;/titles&gt;&lt;pages&gt;84-88&lt;/pages&gt;&lt;volume&gt;351&lt;/volume&gt;&lt;number&gt;6268&lt;/number&gt;&lt;dates&gt;&lt;year&gt;2016&lt;/year&gt;&lt;/dates&gt;&lt;urls&gt;&lt;/urls&gt;&lt;/record&gt;&lt;/Cite&gt;&lt;/EndNote&gt;</w:instrText>
      </w:r>
      <w:r>
        <w:rPr>
          <w:rFonts w:hint="eastAsia" w:eastAsia="宋体"/>
          <w:lang w:val="en-US" w:eastAsia="zh-CN"/>
        </w:rPr>
        <w:fldChar w:fldCharType="separate"/>
      </w:r>
      <w:r>
        <w:rPr>
          <w:rFonts w:hint="eastAsia" w:ascii="Times New Roman" w:hAnsi="Times New Roman" w:eastAsia="宋体" w:cs="Times New Roman"/>
          <w:sz w:val="16"/>
          <w:szCs w:val="16"/>
          <w:lang w:val="en-US" w:eastAsia="zh-CN" w:bidi="ar-SA"/>
        </w:rPr>
        <w:t>(Rubeis and Steger, 2018; Slaymaker, et al., 2016)</w:t>
      </w:r>
      <w:r>
        <w:rPr>
          <w:rFonts w:hint="eastAsia" w:eastAsia="宋体"/>
          <w:lang w:val="en-US" w:eastAsia="zh-CN"/>
        </w:rPr>
        <w:fldChar w:fldCharType="end"/>
      </w:r>
      <w:r>
        <w:rPr>
          <w:rFonts w:hint="eastAsia"/>
        </w:rPr>
        <w:t>.</w:t>
      </w:r>
      <w:r>
        <w:rPr>
          <w:rFonts w:hint="eastAsia" w:eastAsia="宋体"/>
          <w:lang w:val="en-US" w:eastAsia="zh-CN"/>
        </w:rPr>
        <w:t xml:space="preserve"> </w:t>
      </w:r>
      <w:r>
        <w:rPr>
          <w:rFonts w:hint="eastAsia"/>
        </w:rPr>
        <w:t>To overcome this disadvantage, a solution is to engineer CRISPR/Cas9 with higher specificities.</w:t>
      </w:r>
      <w:r>
        <w:rPr>
          <w:rFonts w:hint="eastAsia" w:eastAsia="宋体"/>
          <w:lang w:val="en-US" w:eastAsia="zh-CN"/>
        </w:rPr>
        <w:t xml:space="preserve"> </w:t>
      </w:r>
      <w:bookmarkStart w:id="0" w:name="_GoBack"/>
      <w:bookmarkEnd w:id="0"/>
      <w:r>
        <w:rPr>
          <w:rFonts w:hint="eastAsia"/>
        </w:rPr>
        <w:t>That's why more and more higher specificities Cas9 variants,</w:t>
      </w:r>
      <w:r>
        <w:rPr>
          <w:rFonts w:hint="eastAsia" w:eastAsia="宋体"/>
          <w:lang w:val="en-US" w:eastAsia="zh-CN"/>
        </w:rPr>
        <w:t xml:space="preserve"> </w:t>
      </w:r>
      <w:r>
        <w:rPr>
          <w:rFonts w:hint="eastAsia"/>
        </w:rPr>
        <w:t>such as enhanced SpCas9 (eSpCas9(1.1)),</w:t>
      </w:r>
      <w:r>
        <w:rPr>
          <w:rFonts w:hint="eastAsia" w:eastAsia="宋体"/>
          <w:lang w:val="en-US" w:eastAsia="zh-CN"/>
        </w:rPr>
        <w:t xml:space="preserve"> </w:t>
      </w:r>
      <w:r>
        <w:rPr>
          <w:rFonts w:hint="eastAsia"/>
        </w:rPr>
        <w:t>Cas9-High Fidelity (SpCas9-HF1)</w:t>
      </w:r>
      <w:r>
        <w:rPr>
          <w:rFonts w:hint="eastAsia" w:eastAsia="宋体"/>
          <w:lang w:val="en-US" w:eastAsia="zh-CN"/>
        </w:rPr>
        <w:t xml:space="preserve"> </w:t>
      </w:r>
      <w:r>
        <w:rPr>
          <w:rFonts w:hint="eastAsia" w:eastAsia="宋体"/>
          <w:lang w:val="en-US" w:eastAsia="zh-CN"/>
        </w:rPr>
        <w:fldChar w:fldCharType="begin"/>
      </w:r>
      <w:r>
        <w:rPr>
          <w:rFonts w:hint="eastAsia" w:eastAsia="宋体"/>
          <w:lang w:val="en-US" w:eastAsia="zh-CN"/>
        </w:rPr>
        <w:instrText xml:space="preserve"> ADDIN  EN.CITE &lt;EndNote&gt;&lt;Cite&gt;&lt;Author&gt;Kleinstiver&lt;/Author&gt;&lt;Year&gt;2016&lt;/Year&gt;&lt;RecNum&gt;2&lt;/RecNum&gt;&lt;DisplayText&gt;(Kleinstiver, et al., 2016; Slaymaker, et al., 2016)&lt;/DisplayText&gt;&lt;record&gt;&lt;rec-number&gt;2&lt;/rec-number&gt;&lt;foreign-keys&gt;&lt;key app="EN" db-id="d95w9exz3w2wvpexwwavww5ea2preszwxvsf" timestamp="1597846294"&gt;2&lt;/key&gt;&lt;/foreign-keys&gt;&lt;ref-type name="Journal Article"&gt;17&lt;/ref-type&gt;&lt;contributors&gt;&lt;authors&gt;&lt;author&gt;Kleinstiver, Benjamin P&lt;/author&gt;&lt;author&gt;Pattanayak, Vikram&lt;/author&gt;&lt;author&gt;Prew, Michelle S&lt;/author&gt;&lt;author&gt;Tsai, Shengdar Q&lt;/author&gt;&lt;author&gt;Nguyen, Nhu T&lt;/author&gt;&lt;author&gt;Zheng, Zongli&lt;/author&gt;&lt;author&gt;Joung, J Keith %J Nature&lt;/author&gt;&lt;/authors&gt;&lt;/contributors&gt;&lt;titles&gt;&lt;title&gt;High-fidelity CRISPR–Cas9 nucleases with no detectable genome-wide off-target effects&lt;/title&gt;&lt;/titles&gt;&lt;pages&gt;490-495&lt;/pages&gt;&lt;volume&gt;529&lt;/volume&gt;&lt;number&gt;7587&lt;/number&gt;&lt;dates&gt;&lt;year&gt;2016&lt;/year&gt;&lt;/dates&gt;&lt;urls&gt;&lt;/urls&gt;&lt;/record&gt;&lt;/Cite&gt;&lt;Cite&gt;&lt;Author&gt;Slaymaker&lt;/Author&gt;&lt;Year&gt;2016&lt;/Year&gt;&lt;RecNum&gt;3&lt;/RecNum&gt;&lt;record&gt;&lt;rec-number&gt;3&lt;/rec-number&gt;&lt;foreign-keys&gt;&lt;key app="EN" db-id="d95w9exz3w2wvpexwwavww5ea2preszwxvsf" timestamp="1597846295"&gt;3&lt;/key&gt;&lt;/foreign-keys&gt;&lt;ref-type name="Journal Article"&gt;17&lt;/ref-type&gt;&lt;contributors&gt;&lt;authors&gt;&lt;author&gt;Slaymaker, Ian M&lt;/author&gt;&lt;author&gt;Gao, Linyi&lt;/author&gt;&lt;author&gt;Zetsche, Bernd&lt;/author&gt;&lt;author&gt;Scott, David A&lt;/author&gt;&lt;author&gt;Yan, Winston X&lt;/author&gt;&lt;author&gt;Zhang, Feng %J Science&lt;/author&gt;&lt;/authors&gt;&lt;/contributors&gt;&lt;titles&gt;&lt;title&gt;Rationally engineered Cas9 nucleases with improved specificity&lt;/title&gt;&lt;/titles&gt;&lt;pages&gt;84-88&lt;/pages&gt;&lt;volume&gt;351&lt;/volume&gt;&lt;number&gt;6268&lt;/number&gt;&lt;dates&gt;&lt;year&gt;2016&lt;/year&gt;&lt;/dates&gt;&lt;urls&gt;&lt;/urls&gt;&lt;/record&gt;&lt;/Cite&gt;&lt;/EndNote&gt;</w:instrText>
      </w:r>
      <w:r>
        <w:rPr>
          <w:rFonts w:hint="eastAsia" w:eastAsia="宋体"/>
          <w:lang w:val="en-US" w:eastAsia="zh-CN"/>
        </w:rPr>
        <w:fldChar w:fldCharType="separate"/>
      </w:r>
      <w:r>
        <w:rPr>
          <w:rFonts w:hint="eastAsia" w:ascii="Times New Roman" w:hAnsi="Times New Roman" w:eastAsia="宋体" w:cs="Times New Roman"/>
          <w:sz w:val="16"/>
          <w:szCs w:val="16"/>
          <w:lang w:val="en-US" w:eastAsia="zh-CN" w:bidi="ar-SA"/>
        </w:rPr>
        <w:t>(Kleinstiver, et al., 2016; Slaymaker, et al., 2016)</w:t>
      </w:r>
      <w:r>
        <w:rPr>
          <w:rFonts w:hint="eastAsia" w:eastAsia="宋体"/>
          <w:lang w:val="en-US" w:eastAsia="zh-CN"/>
        </w:rPr>
        <w:fldChar w:fldCharType="end"/>
      </w:r>
      <w:r>
        <w:rPr>
          <w:rFonts w:hint="eastAsia"/>
        </w:rPr>
        <w:t>, hyper-accurate Cas9 (HypaCas9)</w:t>
      </w:r>
      <w:r>
        <w:rPr>
          <w:rFonts w:hint="eastAsia" w:eastAsia="宋体"/>
          <w:lang w:val="en-US" w:eastAsia="zh-CN"/>
        </w:rPr>
        <w:t xml:space="preserve"> </w:t>
      </w:r>
      <w:r>
        <w:rPr>
          <w:rFonts w:hint="eastAsia" w:eastAsia="宋体"/>
          <w:lang w:val="en-US" w:eastAsia="zh-CN"/>
        </w:rPr>
        <w:fldChar w:fldCharType="begin"/>
      </w:r>
      <w:r>
        <w:rPr>
          <w:rFonts w:hint="eastAsia" w:eastAsia="宋体"/>
          <w:lang w:val="en-US" w:eastAsia="zh-CN"/>
        </w:rPr>
        <w:instrText xml:space="preserve"> ADDIN  EN.CITE &lt;EndNote&gt;&lt;Cite&gt;&lt;Author&gt;Chen&lt;/Author&gt;&lt;Year&gt;2017&lt;/Year&gt;&lt;RecNum&gt;1&lt;/RecNum&gt;&lt;DisplayText&gt;(Chen, et al., 2017)&lt;/DisplayText&gt;&lt;record&gt;&lt;rec-number&gt;1&lt;/rec-number&gt;&lt;foreign-keys&gt;&lt;key app="EN" db-id="d95w9exz3w2wvpexwwavww5ea2preszwxvsf" timestamp="1597846293"&gt;1&lt;/key&gt;&lt;/foreign-keys&gt;&lt;ref-type name="Journal Article"&gt;17&lt;/ref-type&gt;&lt;contributors&gt;&lt;authors&gt;&lt;author&gt;Chen, Janice S&lt;/author&gt;&lt;author&gt;Dagdas, Yavuz S&lt;/author&gt;&lt;author&gt;Kleinstiver, Benjamin P&lt;/author&gt;&lt;author&gt;Welch, Moira M&lt;/author&gt;&lt;author&gt;Sousa, Alexander A&lt;/author&gt;&lt;author&gt;Harrington, Lucas B&lt;/author&gt;&lt;author&gt;Sternberg, Samuel H&lt;/author&gt;&lt;author&gt;Joung, J Keith&lt;/author&gt;&lt;author&gt;Yildiz, Ahmet&lt;/author&gt;&lt;author&gt;Doudna, Jennifer A %J Nature&lt;/author&gt;&lt;/authors&gt;&lt;/contributors&gt;&lt;titles&gt;&lt;title&gt;Enhanced proofreading governs CRISPR–Cas9 targeting accuracy&lt;/title&gt;&lt;/titles&gt;&lt;pages&gt;407-410&lt;/pages&gt;&lt;volume&gt;550&lt;/volume&gt;&lt;number&gt;7676&lt;/number&gt;&lt;dates&gt;&lt;year&gt;2017&lt;/year&gt;&lt;/dates&gt;&lt;urls&gt;&lt;/urls&gt;&lt;/record&gt;&lt;/Cite&gt;&lt;/EndNote&gt;</w:instrText>
      </w:r>
      <w:r>
        <w:rPr>
          <w:rFonts w:hint="eastAsia" w:eastAsia="宋体"/>
          <w:lang w:val="en-US" w:eastAsia="zh-CN"/>
        </w:rPr>
        <w:fldChar w:fldCharType="separate"/>
      </w:r>
      <w:r>
        <w:rPr>
          <w:rFonts w:hint="eastAsia" w:ascii="Times New Roman" w:hAnsi="Times New Roman" w:eastAsia="宋体" w:cs="Times New Roman"/>
          <w:sz w:val="16"/>
          <w:szCs w:val="16"/>
          <w:lang w:val="en-US" w:eastAsia="zh-CN" w:bidi="ar-SA"/>
        </w:rPr>
        <w:t>(Chen, et al., 2017)</w:t>
      </w:r>
      <w:r>
        <w:rPr>
          <w:rFonts w:hint="eastAsia" w:eastAsia="宋体"/>
          <w:lang w:val="en-US" w:eastAsia="zh-CN"/>
        </w:rPr>
        <w:fldChar w:fldCharType="end"/>
      </w:r>
      <w:r>
        <w:rPr>
          <w:rFonts w:hint="eastAsia"/>
        </w:rPr>
        <w:t>, been developed and bring a significant volume of experimental data, that is to say researchers have to face the difficulty of analyzing such huge and heterogeneous data.</w:t>
      </w:r>
    </w:p>
    <w:p>
      <w:pPr>
        <w:pStyle w:val="106"/>
      </w:pPr>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pPr>
        <w:pStyle w:val="2"/>
      </w:pPr>
      <w:r>
        <w:t>Methods</w:t>
      </w:r>
    </w:p>
    <w:p>
      <w:pPr>
        <w:pStyle w:val="5"/>
      </w:pPr>
      <w: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pPr>
        <w:pStyle w:val="106"/>
      </w:pPr>
      <w: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pPr>
        <w:pStyle w:val="2"/>
      </w:pPr>
      <w:r>
        <w:t>Results</w:t>
      </w:r>
    </w:p>
    <w:p>
      <w:pPr>
        <w:pStyle w:val="5"/>
      </w:pPr>
      <w: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pPr>
        <w:pStyle w:val="3"/>
      </w:pPr>
      <w:r>
        <w:t>Data Structure This is Heading 2 style this is heading 2 style</w:t>
      </w:r>
    </w:p>
    <w:p>
      <w:pPr>
        <w:pStyle w:val="5"/>
      </w:pPr>
      <w: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pPr>
        <w:pStyle w:val="4"/>
      </w:pPr>
      <w:r>
        <w:t>3.1.1 This is heading 3 style</w:t>
      </w:r>
    </w:p>
    <w:p>
      <w:pPr>
        <w:pStyle w:val="5"/>
      </w:pPr>
      <w:r>
        <w:t xml:space="preserve">The quick brown fox jumps over the lazy dog. The quick brown fox jumps over the lazy dog. The quick brown fox jumps over the lazy dog. The quick brown fox jumps over the lazy dog. </w:t>
      </w:r>
    </w:p>
    <w:p>
      <w:pPr>
        <w:pStyle w:val="41"/>
        <w:spacing w:before="240"/>
        <w:ind w:left="562" w:hanging="389"/>
        <w:rPr>
          <w:sz w:val="16"/>
          <w:szCs w:val="16"/>
        </w:rPr>
      </w:pPr>
      <w:r>
        <w:rPr>
          <w:sz w:val="16"/>
          <w:szCs w:val="16"/>
        </w:rPr>
        <w:t>The quick brown fox jumps over the lazy dog. The quick brown fox jumps over the lazy dog.</w:t>
      </w:r>
    </w:p>
    <w:p>
      <w:pPr>
        <w:pStyle w:val="41"/>
        <w:spacing w:before="60"/>
        <w:ind w:left="567" w:hanging="391"/>
        <w:rPr>
          <w:sz w:val="16"/>
          <w:szCs w:val="16"/>
        </w:rPr>
      </w:pPr>
      <w:r>
        <w:rPr>
          <w:sz w:val="16"/>
          <w:szCs w:val="16"/>
        </w:rPr>
        <w:t>The quick brown fox jumps over the lazy dog. The quick brown fox jumps over the lazy dog.</w:t>
      </w:r>
    </w:p>
    <w:p>
      <w:pPr>
        <w:pStyle w:val="40"/>
        <w:rPr>
          <w:sz w:val="16"/>
          <w:szCs w:val="16"/>
        </w:rPr>
      </w:pPr>
      <w:r>
        <w:rPr>
          <w:sz w:val="16"/>
          <w:szCs w:val="16"/>
        </w:rPr>
        <w:t>The quick brown fox jumps over the lazy dog.</w:t>
      </w:r>
    </w:p>
    <w:p>
      <w:pPr>
        <w:pStyle w:val="40"/>
        <w:rPr>
          <w:sz w:val="16"/>
          <w:szCs w:val="16"/>
        </w:rPr>
      </w:pPr>
      <w:r>
        <w:rPr>
          <w:sz w:val="16"/>
          <w:szCs w:val="16"/>
        </w:rPr>
        <w:t>The quick brown fox jumps over the lazy dog. The quick brown fox jumps over the lazy dog.</w:t>
      </w:r>
    </w:p>
    <w:p>
      <w:pPr>
        <w:pStyle w:val="40"/>
        <w:rPr>
          <w:sz w:val="16"/>
          <w:szCs w:val="16"/>
        </w:rPr>
      </w:pPr>
      <w:r>
        <w:rPr>
          <w:sz w:val="16"/>
          <w:szCs w:val="16"/>
        </w:rPr>
        <w:t>The quick brown fox jumps over the lazy dog. The quick brown fox jumps over the lazy dog.</w:t>
      </w:r>
    </w:p>
    <w:p>
      <w:pPr>
        <w:pStyle w:val="42"/>
        <w:spacing w:after="240"/>
        <w:ind w:left="562" w:hanging="389"/>
        <w:rPr>
          <w:sz w:val="16"/>
          <w:szCs w:val="16"/>
        </w:rPr>
      </w:pPr>
      <w:r>
        <w:rPr>
          <w:sz w:val="16"/>
          <w:szCs w:val="16"/>
        </w:rPr>
        <w:t>The quick brown fox jumps over the lazy dog. The quick brown fox jumps over the lazy dog.</w:t>
      </w:r>
    </w:p>
    <w:p>
      <w:pPr>
        <w:pStyle w:val="6"/>
        <w:rPr>
          <w:sz w:val="16"/>
          <w:szCs w:val="16"/>
        </w:rPr>
      </w:pPr>
      <w:r>
        <w:rPr>
          <w:sz w:val="16"/>
          <w:szCs w:val="16"/>
        </w:rPr>
        <w:t xml:space="preserve">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pPr>
        <w:pStyle w:val="44"/>
        <w:spacing w:before="240"/>
        <w:ind w:left="375" w:hanging="202"/>
        <w:rPr>
          <w:sz w:val="16"/>
          <w:szCs w:val="16"/>
        </w:rPr>
      </w:pPr>
      <w:r>
        <w:rPr>
          <w:sz w:val="16"/>
          <w:szCs w:val="16"/>
        </w:rPr>
        <w:t>The quick brown fox jumps over the lazy dog. The quick brown fox jumps over the lazy dog.</w:t>
      </w:r>
    </w:p>
    <w:p>
      <w:pPr>
        <w:pStyle w:val="43"/>
        <w:rPr>
          <w:sz w:val="16"/>
          <w:szCs w:val="16"/>
        </w:rPr>
      </w:pPr>
      <w:r>
        <w:rPr>
          <w:sz w:val="16"/>
          <w:szCs w:val="16"/>
        </w:rPr>
        <w:t>The quick brown fox jumps over the lazy dog. The quick brown fox jumps over the lazy dog.</w:t>
      </w:r>
    </w:p>
    <w:p>
      <w:pPr>
        <w:pStyle w:val="43"/>
        <w:rPr>
          <w:sz w:val="16"/>
          <w:szCs w:val="16"/>
        </w:rPr>
      </w:pPr>
      <w:r>
        <w:rPr>
          <w:sz w:val="16"/>
          <w:szCs w:val="16"/>
        </w:rPr>
        <w:t>The quick brown fox jumps over the lazy dog. The quick brown fox jumps over the lazy dog.</w:t>
      </w:r>
    </w:p>
    <w:p>
      <w:pPr>
        <w:pStyle w:val="43"/>
        <w:rPr>
          <w:sz w:val="16"/>
          <w:szCs w:val="16"/>
        </w:rPr>
      </w:pPr>
      <w:r>
        <w:rPr>
          <w:sz w:val="16"/>
          <w:szCs w:val="16"/>
        </w:rPr>
        <w:t>The quick brown fox jumps over the lazy dog. The quick brown fox jumps over the lazy dog.</w:t>
      </w:r>
    </w:p>
    <w:p>
      <w:pPr>
        <w:pStyle w:val="45"/>
        <w:spacing w:after="240"/>
        <w:ind w:left="375" w:hanging="202"/>
        <w:rPr>
          <w:sz w:val="16"/>
          <w:szCs w:val="16"/>
        </w:rPr>
      </w:pPr>
      <w:r>
        <w:rPr>
          <w:sz w:val="16"/>
          <w:szCs w:val="16"/>
        </w:rPr>
        <w:t>The quick brown fox jumps over the lazy dog. The quick brown fox jumps over the lazy dog.</w:t>
      </w:r>
    </w:p>
    <w:p>
      <w:pPr>
        <w:pStyle w:val="6"/>
        <w:rPr>
          <w:sz w:val="16"/>
          <w:szCs w:val="16"/>
        </w:rPr>
      </w:pPr>
      <w:r>
        <w:rPr>
          <w:sz w:val="16"/>
          <w:szCs w:val="16"/>
        </w:rPr>
        <w:t xml:space="preserve">The quick brown fox jumps over the lazy dog. The quick brown fox jumps over the lazy dog. The quick brown fox jumps over the lazy dog. </w:t>
      </w:r>
    </w:p>
    <w:p>
      <w:pPr>
        <w:pStyle w:val="3"/>
      </w:pPr>
      <w:r>
        <w:t>Unnumbered list style</w:t>
      </w:r>
    </w:p>
    <w:p>
      <w:pPr>
        <w:pStyle w:val="6"/>
        <w:rPr>
          <w:sz w:val="16"/>
          <w:szCs w:val="16"/>
        </w:rPr>
      </w:pPr>
      <w:r>
        <w:rPr>
          <w:sz w:val="16"/>
          <w:szCs w:val="16"/>
        </w:rPr>
        <w:t xml:space="preserve">The quick brown fox jumps over the lazy dog. The quick brown fox jumps over the lazy dog. The quick brown fox jumps over the lazy dog. </w:t>
      </w:r>
    </w:p>
    <w:p>
      <w:pPr>
        <w:pStyle w:val="49"/>
        <w:spacing w:before="240"/>
        <w:ind w:left="403" w:hanging="403"/>
        <w:rPr>
          <w:sz w:val="16"/>
          <w:szCs w:val="16"/>
        </w:rPr>
      </w:pPr>
      <w:r>
        <w:rPr>
          <w:sz w:val="16"/>
          <w:szCs w:val="16"/>
        </w:rPr>
        <w:t>The quick brown fox jumps over the lazy dog. The quick brown fox jumps over the lazy dog.</w:t>
      </w:r>
    </w:p>
    <w:p>
      <w:pPr>
        <w:pStyle w:val="48"/>
        <w:rPr>
          <w:sz w:val="16"/>
          <w:szCs w:val="16"/>
        </w:rPr>
      </w:pPr>
      <w:r>
        <w:rPr>
          <w:sz w:val="16"/>
          <w:szCs w:val="16"/>
        </w:rPr>
        <w:t>The quick brown fox jumps over the lazy dog. The quick brown fox jumps over the lazy dog.</w:t>
      </w:r>
    </w:p>
    <w:p>
      <w:pPr>
        <w:pStyle w:val="48"/>
        <w:rPr>
          <w:sz w:val="16"/>
          <w:szCs w:val="16"/>
        </w:rPr>
      </w:pPr>
      <w:r>
        <w:rPr>
          <w:sz w:val="16"/>
          <w:szCs w:val="16"/>
        </w:rPr>
        <w:t>The quick brown fox jumps over the lazy dog. The quick brown fox jumps over the lazy dog.</w:t>
      </w:r>
    </w:p>
    <w:p>
      <w:pPr>
        <w:pStyle w:val="48"/>
        <w:rPr>
          <w:sz w:val="16"/>
          <w:szCs w:val="16"/>
        </w:rPr>
      </w:pPr>
      <w:r>
        <w:rPr>
          <w:sz w:val="16"/>
          <w:szCs w:val="16"/>
        </w:rPr>
        <w:t>The quick brown fox jumps over the lazy dog. The quick brown fox jumps over the lazy dog.</w:t>
      </w:r>
    </w:p>
    <w:p>
      <w:pPr>
        <w:pStyle w:val="50"/>
        <w:spacing w:after="240"/>
        <w:ind w:left="403" w:hanging="403"/>
        <w:rPr>
          <w:sz w:val="16"/>
          <w:szCs w:val="16"/>
        </w:rPr>
      </w:pPr>
      <w:r>
        <w:rPr>
          <w:sz w:val="16"/>
          <w:szCs w:val="16"/>
        </w:rPr>
        <w:t>The quick brown fox jumps over the lazy dog. The quick brown fox jumps over the lazy dog.</w:t>
      </w:r>
    </w:p>
    <w:p>
      <w:pPr>
        <w:pStyle w:val="51"/>
        <w:spacing w:before="140" w:after="140"/>
      </w:pPr>
      <w:r>
        <w:tab/>
      </w:r>
      <w:r>
        <w:rPr>
          <w:position w:val="-24"/>
        </w:rPr>
        <w:object>
          <v:shape id="_x0000_i1025" o:spt="75" type="#_x0000_t75" style="height:27.95pt;width:68.8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tab/>
      </w:r>
      <w:r>
        <w:t>(1)</w:t>
      </w:r>
    </w:p>
    <w:p>
      <w:pPr>
        <w:pStyle w:val="6"/>
        <w:rPr>
          <w:sz w:val="16"/>
          <w:szCs w:val="16"/>
        </w:rPr>
      </w:pPr>
      <w:r>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w:t>
      </w:r>
    </w:p>
    <w:p>
      <w:pPr>
        <w:pStyle w:val="52"/>
        <w:spacing w:after="360"/>
        <w:rPr>
          <w:sz w:val="13"/>
          <w:szCs w:val="13"/>
        </w:rPr>
      </w:pPr>
      <w:r>
        <w:rPr>
          <w:b/>
          <w:bCs/>
          <w:szCs w:val="16"/>
        </w:rPr>
        <mc:AlternateContent>
          <mc:Choice Requires="wps">
            <w:drawing>
              <wp:anchor distT="0" distB="0" distL="114300" distR="114300" simplePos="0" relativeHeight="251658240" behindDoc="0" locked="0" layoutInCell="1" allowOverlap="0">
                <wp:simplePos x="0" y="0"/>
                <wp:positionH relativeFrom="column">
                  <wp:posOffset>30480</wp:posOffset>
                </wp:positionH>
                <wp:positionV relativeFrom="margin">
                  <wp:posOffset>59055</wp:posOffset>
                </wp:positionV>
                <wp:extent cx="2906395" cy="1949450"/>
                <wp:effectExtent l="4445" t="4445" r="22860" b="8255"/>
                <wp:wrapTopAndBottom/>
                <wp:docPr id="1" name="文本框 2"/>
                <wp:cNvGraphicFramePr/>
                <a:graphic xmlns:a="http://schemas.openxmlformats.org/drawingml/2006/main">
                  <a:graphicData uri="http://schemas.microsoft.com/office/word/2010/wordprocessingShape">
                    <wps:wsp>
                      <wps:cNvSpPr txBox="1"/>
                      <wps:spPr>
                        <a:xfrm>
                          <a:off x="0" y="0"/>
                          <a:ext cx="2906395" cy="1949450"/>
                        </a:xfrm>
                        <a:prstGeom prst="rect">
                          <a:avLst/>
                        </a:prstGeom>
                        <a:noFill/>
                        <a:ln w="3175" cap="flat" cmpd="sng">
                          <a:solidFill>
                            <a:srgbClr val="000000"/>
                          </a:solidFill>
                          <a:prstDash val="solid"/>
                          <a:miter/>
                          <a:headEnd type="none" w="med" len="med"/>
                          <a:tailEnd type="none" w="med" len="med"/>
                        </a:ln>
                      </wps:spPr>
                      <wps:txbx>
                        <w:txbxContent>
                          <w:p/>
                        </w:txbxContent>
                      </wps:txbx>
                      <wps:bodyPr lIns="0" tIns="0" rIns="0" bIns="0" upright="1"/>
                    </wps:wsp>
                  </a:graphicData>
                </a:graphic>
              </wp:anchor>
            </w:drawing>
          </mc:Choice>
          <mc:Fallback>
            <w:pict>
              <v:shape id="文本框 2" o:spid="_x0000_s1026" o:spt="202" type="#_x0000_t202" style="position:absolute;left:0pt;margin-left:2.4pt;margin-top:4.65pt;height:153.5pt;width:228.85pt;mso-position-vertical-relative:margin;mso-wrap-distance-bottom:0pt;mso-wrap-distance-top:0pt;z-index:251658240;mso-width-relative:page;mso-height-relative:page;" filled="f" stroked="t" coordsize="21600,21600" o:allowoverlap="f" o:gfxdata="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u388XUAAAABwEAAA8AAAAAAAAAAQAgAAAAIgAAAGRycy9kb3ducmV2LnhtbFBL&#10;AQIUABQAAAAIAIdO4kBoqcej+gEAAOQDAAAOAAAAAAAAAAEAIAAAACMBAABkcnMvZTJvRG9jLnht&#10;bFBLBQYAAAAABgAGAFkBAACPBQAAAAA=&#10;">
                <v:fill on="f" focussize="0,0"/>
                <v:stroke weight="0.25pt" color="#000000" joinstyle="miter"/>
                <v:imagedata o:title=""/>
                <o:lock v:ext="edit" aspectratio="f"/>
                <v:textbox inset="0mm,0mm,0mm,0mm">
                  <w:txbxContent>
                    <w:p/>
                  </w:txbxContent>
                </v:textbox>
                <w10:wrap type="topAndBottom"/>
              </v:shape>
            </w:pict>
          </mc:Fallback>
        </mc:AlternateContent>
      </w:r>
      <w:r>
        <w:rPr>
          <w:b/>
          <w:bCs/>
          <w:sz w:val="13"/>
          <w:szCs w:val="13"/>
        </w:rPr>
        <w:t>Fig. 1. </w:t>
      </w:r>
      <w:r>
        <w:rPr>
          <w:b/>
          <w:sz w:val="13"/>
          <w:szCs w:val="13"/>
        </w:rPr>
        <w:t xml:space="preserve">Relation between τ and </w:t>
      </w:r>
      <w:r>
        <w:rPr>
          <w:b/>
          <w:i/>
          <w:iCs/>
          <w:sz w:val="13"/>
          <w:szCs w:val="13"/>
        </w:rPr>
        <w:t>t</w:t>
      </w:r>
      <w:r>
        <w:rPr>
          <w:b/>
          <w:sz w:val="13"/>
          <w:szCs w:val="13"/>
        </w:rPr>
        <w:t>.</w:t>
      </w:r>
      <w:r>
        <w:rPr>
          <w:sz w:val="13"/>
          <w:szCs w:val="13"/>
        </w:rPr>
        <w:t xml:space="preserve"> This example has only two continuous Steppers, S</w:t>
      </w:r>
      <w:r>
        <w:rPr>
          <w:sz w:val="13"/>
          <w:szCs w:val="13"/>
          <w:vertAlign w:val="subscript"/>
        </w:rPr>
        <w:t>1</w:t>
      </w:r>
      <w:r>
        <w:rPr>
          <w:sz w:val="13"/>
          <w:szCs w:val="13"/>
        </w:rPr>
        <w:t xml:space="preserve"> and S</w:t>
      </w:r>
      <w:r>
        <w:rPr>
          <w:sz w:val="13"/>
          <w:szCs w:val="13"/>
          <w:vertAlign w:val="subscript"/>
        </w:rPr>
        <w:t>2</w:t>
      </w:r>
      <w:r>
        <w:rPr>
          <w:sz w:val="13"/>
          <w:szCs w:val="13"/>
        </w:rPr>
        <w:t>.</w:t>
      </w:r>
    </w:p>
    <w:p>
      <w:pPr>
        <w:pStyle w:val="6"/>
        <w:rPr>
          <w:sz w:val="16"/>
          <w:szCs w:val="16"/>
        </w:rPr>
      </w:pPr>
      <w:r>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pPr>
        <w:pStyle w:val="6"/>
        <w:rPr>
          <w:sz w:val="16"/>
          <w:szCs w:val="16"/>
        </w:rPr>
      </w:pPr>
      <w:r>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pPr>
        <w:pStyle w:val="6"/>
        <w:rPr>
          <w:sz w:val="16"/>
          <w:szCs w:val="16"/>
        </w:rPr>
      </w:pPr>
      <w:r>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pPr>
        <w:pStyle w:val="53"/>
        <w:spacing w:before="360"/>
      </w:pPr>
      <w:r>
        <w:rPr>
          <w:b/>
          <w:bCs/>
        </w:rPr>
        <w:t>Table 1. </w:t>
      </w:r>
      <w:r>
        <w:t>Benchmark results of the cascade oscillators model</w:t>
      </w:r>
    </w:p>
    <w:tbl>
      <w:tblPr>
        <w:tblStyle w:val="24"/>
        <w:tblW w:w="0" w:type="auto"/>
        <w:tblInd w:w="0" w:type="dxa"/>
        <w:tblLayout w:type="autofit"/>
        <w:tblCellMar>
          <w:top w:w="0" w:type="dxa"/>
          <w:left w:w="0" w:type="dxa"/>
          <w:bottom w:w="0" w:type="dxa"/>
          <w:right w:w="0" w:type="dxa"/>
        </w:tblCellMar>
      </w:tblPr>
      <w:tblGrid>
        <w:gridCol w:w="692"/>
        <w:gridCol w:w="1665"/>
        <w:gridCol w:w="787"/>
        <w:gridCol w:w="1144"/>
        <w:gridCol w:w="414"/>
      </w:tblGrid>
      <w:tr>
        <w:tblPrEx>
          <w:tblCellMar>
            <w:top w:w="0" w:type="dxa"/>
            <w:left w:w="0" w:type="dxa"/>
            <w:bottom w:w="0" w:type="dxa"/>
            <w:right w:w="0" w:type="dxa"/>
          </w:tblCellMar>
        </w:tblPrEx>
        <w:tc>
          <w:tcPr>
            <w:tcW w:w="740" w:type="dxa"/>
            <w:tcBorders>
              <w:top w:val="single" w:color="auto" w:sz="4" w:space="0"/>
              <w:bottom w:val="single" w:color="auto" w:sz="4" w:space="0"/>
            </w:tcBorders>
          </w:tcPr>
          <w:p>
            <w:pPr>
              <w:pStyle w:val="55"/>
            </w:pPr>
            <w:r>
              <w:t>|S|</w:t>
            </w:r>
          </w:p>
        </w:tc>
        <w:tc>
          <w:tcPr>
            <w:tcW w:w="1704" w:type="dxa"/>
            <w:tcBorders>
              <w:top w:val="single" w:color="auto" w:sz="4" w:space="0"/>
              <w:bottom w:val="single" w:color="auto" w:sz="4" w:space="0"/>
            </w:tcBorders>
          </w:tcPr>
          <w:p>
            <w:pPr>
              <w:pStyle w:val="55"/>
            </w:pPr>
            <w:r>
              <w:t>Predicted cost</w:t>
            </w:r>
          </w:p>
        </w:tc>
        <w:tc>
          <w:tcPr>
            <w:tcW w:w="816" w:type="dxa"/>
            <w:tcBorders>
              <w:top w:val="single" w:color="auto" w:sz="4" w:space="0"/>
              <w:bottom w:val="single" w:color="auto" w:sz="4" w:space="0"/>
            </w:tcBorders>
          </w:tcPr>
          <w:p>
            <w:pPr>
              <w:pStyle w:val="55"/>
            </w:pPr>
            <w:r>
              <w:t>Timing</w:t>
            </w:r>
          </w:p>
        </w:tc>
        <w:tc>
          <w:tcPr>
            <w:tcW w:w="1200" w:type="dxa"/>
            <w:tcBorders>
              <w:top w:val="single" w:color="auto" w:sz="4" w:space="0"/>
              <w:bottom w:val="single" w:color="auto" w:sz="4" w:space="0"/>
            </w:tcBorders>
          </w:tcPr>
          <w:p>
            <w:pPr>
              <w:pStyle w:val="55"/>
            </w:pPr>
            <w:r>
              <w:t>Predicted speed</w:t>
            </w:r>
          </w:p>
        </w:tc>
        <w:tc>
          <w:tcPr>
            <w:tcW w:w="416" w:type="dxa"/>
            <w:tcBorders>
              <w:top w:val="single" w:color="auto" w:sz="4" w:space="0"/>
              <w:bottom w:val="single" w:color="auto" w:sz="4" w:space="0"/>
            </w:tcBorders>
          </w:tcPr>
          <w:p>
            <w:pPr>
              <w:pStyle w:val="55"/>
            </w:pPr>
            <w:r>
              <w:t>Speed</w:t>
            </w:r>
          </w:p>
        </w:tc>
      </w:tr>
      <w:tr>
        <w:tblPrEx>
          <w:tblCellMar>
            <w:top w:w="0" w:type="dxa"/>
            <w:left w:w="0" w:type="dxa"/>
            <w:bottom w:w="0" w:type="dxa"/>
            <w:right w:w="0" w:type="dxa"/>
          </w:tblCellMar>
        </w:tblPrEx>
        <w:tc>
          <w:tcPr>
            <w:tcW w:w="740" w:type="dxa"/>
            <w:tcBorders>
              <w:top w:val="single" w:color="auto" w:sz="4" w:space="0"/>
            </w:tcBorders>
          </w:tcPr>
          <w:p>
            <w:pPr>
              <w:pStyle w:val="56"/>
            </w:pPr>
            <w:r>
              <w:t xml:space="preserve">  1</w:t>
            </w:r>
          </w:p>
        </w:tc>
        <w:tc>
          <w:tcPr>
            <w:tcW w:w="1704" w:type="dxa"/>
            <w:tcBorders>
              <w:top w:val="single" w:color="auto" w:sz="4" w:space="0"/>
            </w:tcBorders>
          </w:tcPr>
          <w:p>
            <w:pPr>
              <w:pStyle w:val="56"/>
            </w:pPr>
            <w:r>
              <w:t>S219.20(100%)</w:t>
            </w:r>
          </w:p>
        </w:tc>
        <w:tc>
          <w:tcPr>
            <w:tcW w:w="816" w:type="dxa"/>
            <w:tcBorders>
              <w:top w:val="single" w:color="auto" w:sz="4" w:space="0"/>
            </w:tcBorders>
          </w:tcPr>
          <w:p>
            <w:pPr>
              <w:pStyle w:val="56"/>
            </w:pPr>
            <w:r>
              <w:t>68m43s</w:t>
            </w:r>
          </w:p>
        </w:tc>
        <w:tc>
          <w:tcPr>
            <w:tcW w:w="1200" w:type="dxa"/>
            <w:tcBorders>
              <w:top w:val="single" w:color="auto" w:sz="4" w:space="0"/>
            </w:tcBorders>
          </w:tcPr>
          <w:p>
            <w:pPr>
              <w:pStyle w:val="56"/>
            </w:pPr>
            <w:r>
              <w:t>1.00</w:t>
            </w:r>
          </w:p>
        </w:tc>
        <w:tc>
          <w:tcPr>
            <w:tcW w:w="416" w:type="dxa"/>
            <w:tcBorders>
              <w:top w:val="single" w:color="auto" w:sz="4" w:space="0"/>
            </w:tcBorders>
          </w:tcPr>
          <w:p>
            <w:pPr>
              <w:pStyle w:val="56"/>
            </w:pPr>
            <w:r>
              <w:t>1.00</w:t>
            </w:r>
          </w:p>
        </w:tc>
      </w:tr>
      <w:tr>
        <w:tblPrEx>
          <w:tblCellMar>
            <w:top w:w="0" w:type="dxa"/>
            <w:left w:w="0" w:type="dxa"/>
            <w:bottom w:w="0" w:type="dxa"/>
            <w:right w:w="0" w:type="dxa"/>
          </w:tblCellMar>
        </w:tblPrEx>
        <w:tc>
          <w:tcPr>
            <w:tcW w:w="740" w:type="dxa"/>
          </w:tcPr>
          <w:p>
            <w:pPr>
              <w:pStyle w:val="54"/>
            </w:pPr>
            <w:r>
              <w:t xml:space="preserve">  2</w:t>
            </w:r>
          </w:p>
        </w:tc>
        <w:tc>
          <w:tcPr>
            <w:tcW w:w="1704" w:type="dxa"/>
          </w:tcPr>
          <w:p>
            <w:pPr>
              <w:pStyle w:val="54"/>
            </w:pPr>
            <w:r>
              <w:t>2</w:t>
            </w:r>
            <w:r>
              <w:rPr>
                <w:vertAlign w:val="superscript"/>
              </w:rPr>
              <w:t>9</w:t>
            </w:r>
            <w:r>
              <w:t>.10+2</w:t>
            </w:r>
            <w:r>
              <w:rPr>
                <w:vertAlign w:val="superscript"/>
              </w:rPr>
              <w:t>19</w:t>
            </w:r>
            <w:r>
              <w:t>.10(~50%)</w:t>
            </w:r>
          </w:p>
        </w:tc>
        <w:tc>
          <w:tcPr>
            <w:tcW w:w="816" w:type="dxa"/>
          </w:tcPr>
          <w:p>
            <w:pPr>
              <w:pStyle w:val="54"/>
            </w:pPr>
            <w:r>
              <w:t>35m13s</w:t>
            </w:r>
          </w:p>
        </w:tc>
        <w:tc>
          <w:tcPr>
            <w:tcW w:w="1200" w:type="dxa"/>
          </w:tcPr>
          <w:p>
            <w:pPr>
              <w:pStyle w:val="54"/>
            </w:pPr>
            <w:r>
              <w:t>2.00</w:t>
            </w:r>
          </w:p>
        </w:tc>
        <w:tc>
          <w:tcPr>
            <w:tcW w:w="416" w:type="dxa"/>
          </w:tcPr>
          <w:p>
            <w:pPr>
              <w:pStyle w:val="54"/>
            </w:pPr>
            <w:r>
              <w:t>1.95</w:t>
            </w:r>
          </w:p>
        </w:tc>
      </w:tr>
      <w:tr>
        <w:tblPrEx>
          <w:tblCellMar>
            <w:top w:w="0" w:type="dxa"/>
            <w:left w:w="0" w:type="dxa"/>
            <w:bottom w:w="0" w:type="dxa"/>
            <w:right w:w="0" w:type="dxa"/>
          </w:tblCellMar>
        </w:tblPrEx>
        <w:tc>
          <w:tcPr>
            <w:tcW w:w="740" w:type="dxa"/>
          </w:tcPr>
          <w:p>
            <w:pPr>
              <w:pStyle w:val="54"/>
            </w:pPr>
            <w:r>
              <w:t xml:space="preserve">  4</w:t>
            </w:r>
          </w:p>
        </w:tc>
        <w:tc>
          <w:tcPr>
            <w:tcW w:w="1704" w:type="dxa"/>
          </w:tcPr>
          <w:p>
            <w:pPr>
              <w:pStyle w:val="54"/>
            </w:pPr>
            <w:r>
              <w:t>2</w:t>
            </w:r>
            <w:r>
              <w:rPr>
                <w:vertAlign w:val="superscript"/>
              </w:rPr>
              <w:t>19</w:t>
            </w:r>
            <w:r>
              <w:t>.20(100%)</w:t>
            </w:r>
          </w:p>
        </w:tc>
        <w:tc>
          <w:tcPr>
            <w:tcW w:w="816" w:type="dxa"/>
          </w:tcPr>
          <w:p>
            <w:pPr>
              <w:pStyle w:val="54"/>
            </w:pPr>
            <w:r>
              <w:t>68m43s</w:t>
            </w:r>
          </w:p>
        </w:tc>
        <w:tc>
          <w:tcPr>
            <w:tcW w:w="1200" w:type="dxa"/>
          </w:tcPr>
          <w:p>
            <w:pPr>
              <w:pStyle w:val="54"/>
            </w:pPr>
            <w:r>
              <w:t>1.00</w:t>
            </w:r>
          </w:p>
        </w:tc>
        <w:tc>
          <w:tcPr>
            <w:tcW w:w="416" w:type="dxa"/>
          </w:tcPr>
          <w:p>
            <w:pPr>
              <w:pStyle w:val="54"/>
            </w:pPr>
            <w:r>
              <w:t>1.00</w:t>
            </w:r>
          </w:p>
        </w:tc>
      </w:tr>
      <w:tr>
        <w:tblPrEx>
          <w:tblCellMar>
            <w:top w:w="0" w:type="dxa"/>
            <w:left w:w="0" w:type="dxa"/>
            <w:bottom w:w="0" w:type="dxa"/>
            <w:right w:w="0" w:type="dxa"/>
          </w:tblCellMar>
        </w:tblPrEx>
        <w:tc>
          <w:tcPr>
            <w:tcW w:w="740" w:type="dxa"/>
          </w:tcPr>
          <w:p>
            <w:pPr>
              <w:pStyle w:val="54"/>
            </w:pPr>
            <w:r>
              <w:t>10</w:t>
            </w:r>
          </w:p>
        </w:tc>
        <w:tc>
          <w:tcPr>
            <w:tcW w:w="1704" w:type="dxa"/>
          </w:tcPr>
          <w:p>
            <w:pPr>
              <w:pStyle w:val="54"/>
            </w:pPr>
            <w:r>
              <w:t>2</w:t>
            </w:r>
            <w:r>
              <w:rPr>
                <w:vertAlign w:val="superscript"/>
              </w:rPr>
              <w:t>9</w:t>
            </w:r>
            <w:r>
              <w:t>.10+2</w:t>
            </w:r>
            <w:r>
              <w:rPr>
                <w:vertAlign w:val="superscript"/>
              </w:rPr>
              <w:t>19</w:t>
            </w:r>
            <w:r>
              <w:t>.10(~50%)</w:t>
            </w:r>
          </w:p>
        </w:tc>
        <w:tc>
          <w:tcPr>
            <w:tcW w:w="816" w:type="dxa"/>
          </w:tcPr>
          <w:p>
            <w:pPr>
              <w:pStyle w:val="54"/>
            </w:pPr>
            <w:r>
              <w:t>35m13s</w:t>
            </w:r>
          </w:p>
        </w:tc>
        <w:tc>
          <w:tcPr>
            <w:tcW w:w="1200" w:type="dxa"/>
          </w:tcPr>
          <w:p>
            <w:pPr>
              <w:pStyle w:val="54"/>
            </w:pPr>
            <w:r>
              <w:t>2.00</w:t>
            </w:r>
          </w:p>
        </w:tc>
        <w:tc>
          <w:tcPr>
            <w:tcW w:w="416" w:type="dxa"/>
          </w:tcPr>
          <w:p>
            <w:pPr>
              <w:pStyle w:val="54"/>
            </w:pPr>
            <w:r>
              <w:t>1.95</w:t>
            </w:r>
          </w:p>
        </w:tc>
      </w:tr>
      <w:tr>
        <w:tblPrEx>
          <w:tblCellMar>
            <w:top w:w="0" w:type="dxa"/>
            <w:left w:w="0" w:type="dxa"/>
            <w:bottom w:w="0" w:type="dxa"/>
            <w:right w:w="0" w:type="dxa"/>
          </w:tblCellMar>
        </w:tblPrEx>
        <w:tc>
          <w:tcPr>
            <w:tcW w:w="740" w:type="dxa"/>
            <w:tcBorders>
              <w:bottom w:val="single" w:color="auto" w:sz="4" w:space="0"/>
            </w:tcBorders>
          </w:tcPr>
          <w:p>
            <w:pPr>
              <w:pStyle w:val="57"/>
            </w:pPr>
            <w:r>
              <w:t>20</w:t>
            </w:r>
          </w:p>
        </w:tc>
        <w:tc>
          <w:tcPr>
            <w:tcW w:w="1704" w:type="dxa"/>
            <w:tcBorders>
              <w:bottom w:val="single" w:color="auto" w:sz="4" w:space="0"/>
            </w:tcBorders>
          </w:tcPr>
          <w:p>
            <w:pPr>
              <w:pStyle w:val="57"/>
            </w:pPr>
            <w:r>
              <w:t>2</w:t>
            </w:r>
            <w:r>
              <w:rPr>
                <w:vertAlign w:val="superscript"/>
              </w:rPr>
              <w:t>19</w:t>
            </w:r>
            <w:r>
              <w:t>.20(100%)</w:t>
            </w:r>
          </w:p>
        </w:tc>
        <w:tc>
          <w:tcPr>
            <w:tcW w:w="816" w:type="dxa"/>
            <w:tcBorders>
              <w:bottom w:val="single" w:color="auto" w:sz="4" w:space="0"/>
            </w:tcBorders>
          </w:tcPr>
          <w:p>
            <w:pPr>
              <w:pStyle w:val="57"/>
            </w:pPr>
            <w:r>
              <w:t>68m43s</w:t>
            </w:r>
          </w:p>
        </w:tc>
        <w:tc>
          <w:tcPr>
            <w:tcW w:w="1200" w:type="dxa"/>
            <w:tcBorders>
              <w:bottom w:val="single" w:color="auto" w:sz="4" w:space="0"/>
            </w:tcBorders>
          </w:tcPr>
          <w:p>
            <w:pPr>
              <w:pStyle w:val="57"/>
            </w:pPr>
            <w:r>
              <w:t>1.00</w:t>
            </w:r>
          </w:p>
        </w:tc>
        <w:tc>
          <w:tcPr>
            <w:tcW w:w="416" w:type="dxa"/>
            <w:tcBorders>
              <w:bottom w:val="single" w:color="auto" w:sz="4" w:space="0"/>
            </w:tcBorders>
          </w:tcPr>
          <w:p>
            <w:pPr>
              <w:pStyle w:val="57"/>
            </w:pPr>
            <w:r>
              <w:t>9.5</w:t>
            </w:r>
          </w:p>
        </w:tc>
      </w:tr>
    </w:tbl>
    <w:p>
      <w:pPr>
        <w:pStyle w:val="58"/>
        <w:spacing w:after="140"/>
      </w:pPr>
      <w:r>
        <w:t>This is table foot note sample text This is table foot note sample text This is table foot note sample text</w:t>
      </w:r>
    </w:p>
    <w:p>
      <w:pPr>
        <w:pStyle w:val="6"/>
        <w:rPr>
          <w:sz w:val="16"/>
          <w:szCs w:val="16"/>
        </w:rPr>
      </w:pPr>
      <w:r>
        <w:rPr>
          <w:sz w:val="16"/>
          <w:szCs w:val="16"/>
        </w:rP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dog.The quick brown fox jumps over the lazy dog. The quick brown fox jumps over the lazy dog. The quick brown fox jumps over the lazy dog. The quick brown fox jumps over the lazy dog. The quick brown fox jumps over the lazy dog. The quick brown fox jumps over the lazy dog.The quick brown fox jumps over the lazy dog.</w:t>
      </w:r>
    </w:p>
    <w:p>
      <w:pPr>
        <w:pStyle w:val="59"/>
      </w:pPr>
      <w:r>
        <w:t>Acknowledgements</w:t>
      </w:r>
    </w:p>
    <w:p>
      <w:pPr>
        <w:pStyle w:val="60"/>
        <w:rPr>
          <w:sz w:val="14"/>
          <w:szCs w:val="14"/>
        </w:rPr>
      </w:pPr>
      <w:r>
        <w:rPr>
          <w:sz w:val="14"/>
          <w:szCs w:val="14"/>
        </w:rPr>
        <w:t>The quick brown fox jumps over the lazy dog. The quick brown fox jumps over the lazy dog. The quick brown fox jumps over the lazy dog. The quick brown fox jumps over the lazy dog. The quick brown fox jumps over the lazy dog. The quick brown fox jumps over the lazy dog.</w:t>
      </w:r>
    </w:p>
    <w:p>
      <w:pPr>
        <w:pStyle w:val="61"/>
        <w:rPr>
          <w:caps/>
        </w:rPr>
      </w:pPr>
      <w:r>
        <w:t>Funding</w:t>
      </w:r>
    </w:p>
    <w:p>
      <w:pPr>
        <w:pStyle w:val="60"/>
        <w:rPr>
          <w:rFonts w:ascii="AdvPSSAB-R" w:hAnsi="AdvPSSAB-R" w:cs="AdvPSSAB-R"/>
          <w:sz w:val="14"/>
          <w:szCs w:val="14"/>
          <w:lang w:val="en-GB" w:eastAsia="en-IN"/>
        </w:rPr>
      </w:pPr>
      <w:r>
        <w:rPr>
          <w:rFonts w:ascii="AdvPSSAB-R" w:hAnsi="AdvPSSAB-R" w:cs="AdvPSSAB-R"/>
          <w:sz w:val="14"/>
          <w:szCs w:val="14"/>
          <w:lang w:val="en-GB" w:eastAsia="en-IN"/>
        </w:rPr>
        <w:t>This work has been supported by the …..</w:t>
      </w:r>
    </w:p>
    <w:p>
      <w:pPr>
        <w:pStyle w:val="60"/>
        <w:rPr>
          <w:rFonts w:ascii="AdvPSSAB-R" w:hAnsi="AdvPSSAB-R" w:cs="AdvPSSAB-R"/>
          <w:sz w:val="14"/>
          <w:szCs w:val="14"/>
          <w:lang w:val="en-GB" w:eastAsia="en-IN"/>
        </w:rPr>
      </w:pPr>
    </w:p>
    <w:p>
      <w:pPr>
        <w:pStyle w:val="60"/>
        <w:rPr>
          <w:sz w:val="14"/>
          <w:szCs w:val="14"/>
        </w:rPr>
      </w:pPr>
      <w:r>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pPr>
        <w:pStyle w:val="61"/>
      </w:pPr>
      <w:r>
        <w:t>References</w:t>
      </w:r>
    </w:p>
    <w:p>
      <w:pPr>
        <w:pStyle w:val="62"/>
        <w:rPr>
          <w:szCs w:val="14"/>
        </w:rPr>
      </w:pPr>
      <w:r>
        <w:rPr>
          <w:szCs w:val="14"/>
        </w:rPr>
        <w:t>Alexandrescu,A. (2001) Modern C++ Design: Generic Programming and Design Patterens Applied. Addision Wesley Professional, Boston.</w:t>
      </w:r>
    </w:p>
    <w:p>
      <w:pPr>
        <w:pStyle w:val="62"/>
        <w:rPr>
          <w:szCs w:val="14"/>
        </w:rPr>
      </w:pPr>
      <w:r>
        <w:rPr>
          <w:szCs w:val="14"/>
        </w:rPr>
        <w:t xml:space="preserve">Dormand,J.R. and Prince,P.J. (1980) A family of embedded Runge–Kutta formulae. </w:t>
      </w:r>
      <w:r>
        <w:rPr>
          <w:i/>
          <w:iCs/>
          <w:szCs w:val="14"/>
        </w:rPr>
        <w:t>J. Comp. Appl. Math.</w:t>
      </w:r>
      <w:r>
        <w:rPr>
          <w:szCs w:val="14"/>
        </w:rPr>
        <w:t xml:space="preserve">, </w:t>
      </w:r>
      <w:r>
        <w:rPr>
          <w:b/>
          <w:bCs/>
          <w:szCs w:val="14"/>
        </w:rPr>
        <w:t>6</w:t>
      </w:r>
      <w:r>
        <w:rPr>
          <w:szCs w:val="14"/>
        </w:rPr>
        <w:t>, 19–26.</w:t>
      </w:r>
    </w:p>
    <w:p>
      <w:pPr>
        <w:pStyle w:val="62"/>
        <w:rPr>
          <w:szCs w:val="14"/>
        </w:rPr>
      </w:pPr>
      <w:r>
        <w:rPr>
          <w:szCs w:val="14"/>
        </w:rPr>
        <w:t xml:space="preserve">Alexandrescu,A. (2001) </w:t>
      </w:r>
      <w:r>
        <w:rPr>
          <w:i/>
          <w:iCs/>
          <w:szCs w:val="14"/>
        </w:rPr>
        <w:t>Modern C++ Design: Generic Programming and Design Patterens Applied.</w:t>
      </w:r>
      <w:r>
        <w:rPr>
          <w:szCs w:val="14"/>
        </w:rPr>
        <w:t xml:space="preserve"> Addision Wesley Professional, Boston.</w:t>
      </w:r>
    </w:p>
    <w:p>
      <w:pPr>
        <w:pStyle w:val="62"/>
        <w:rPr>
          <w:szCs w:val="14"/>
        </w:rPr>
      </w:pPr>
      <w:r>
        <w:rPr>
          <w:szCs w:val="14"/>
        </w:rPr>
        <w:t xml:space="preserve">Dormand,J.R. and Prince,P.J. (1980) A family of embedded Runge–Kutta formulae. </w:t>
      </w:r>
      <w:r>
        <w:rPr>
          <w:i/>
          <w:iCs/>
          <w:szCs w:val="14"/>
        </w:rPr>
        <w:t>J. Comp. Appl. Math.</w:t>
      </w:r>
      <w:r>
        <w:rPr>
          <w:szCs w:val="14"/>
        </w:rPr>
        <w:t xml:space="preserve">, </w:t>
      </w:r>
      <w:r>
        <w:rPr>
          <w:b/>
          <w:bCs/>
          <w:szCs w:val="14"/>
        </w:rPr>
        <w:t>6</w:t>
      </w:r>
      <w:r>
        <w:rPr>
          <w:szCs w:val="14"/>
        </w:rPr>
        <w:t>, 19–26.</w:t>
      </w:r>
    </w:p>
    <w:p>
      <w:pPr>
        <w:pStyle w:val="62"/>
        <w:rPr>
          <w:szCs w:val="14"/>
        </w:rPr>
      </w:pPr>
      <w:r>
        <w:rPr>
          <w:szCs w:val="14"/>
        </w:rPr>
        <w:t xml:space="preserve">Alexandrescu,A. (2001) </w:t>
      </w:r>
      <w:r>
        <w:rPr>
          <w:i/>
          <w:iCs/>
          <w:szCs w:val="14"/>
        </w:rPr>
        <w:t>Modern C++ Design: Generic Programming and Design Patterens Applied.</w:t>
      </w:r>
      <w:r>
        <w:rPr>
          <w:szCs w:val="14"/>
        </w:rPr>
        <w:t xml:space="preserve"> Addision Wesley Professional, Boston.</w:t>
      </w:r>
    </w:p>
    <w:p>
      <w:pPr>
        <w:pStyle w:val="62"/>
        <w:rPr>
          <w:szCs w:val="14"/>
        </w:rPr>
      </w:pPr>
      <w:r>
        <w:rPr>
          <w:szCs w:val="14"/>
        </w:rPr>
        <w:t xml:space="preserve">Dormand,J.R. and Prince,P.J. (1980) A family of embedded Runge–Kutta formulae. </w:t>
      </w:r>
      <w:r>
        <w:rPr>
          <w:i/>
          <w:iCs/>
          <w:szCs w:val="14"/>
        </w:rPr>
        <w:t>J. Comp. Appl. Math.</w:t>
      </w:r>
      <w:r>
        <w:rPr>
          <w:szCs w:val="14"/>
        </w:rPr>
        <w:t xml:space="preserve">, </w:t>
      </w:r>
      <w:r>
        <w:rPr>
          <w:b/>
          <w:bCs/>
          <w:szCs w:val="14"/>
        </w:rPr>
        <w:t>6</w:t>
      </w:r>
      <w:r>
        <w:rPr>
          <w:szCs w:val="14"/>
        </w:rPr>
        <w:t>, 19–26.</w:t>
      </w:r>
    </w:p>
    <w:p>
      <w:pPr>
        <w:pStyle w:val="62"/>
        <w:rPr>
          <w:szCs w:val="14"/>
        </w:rPr>
      </w:pPr>
      <w:r>
        <w:rPr>
          <w:szCs w:val="14"/>
        </w:rPr>
        <w:t xml:space="preserve">Yoo,M.S. </w:t>
      </w:r>
      <w:r>
        <w:rPr>
          <w:i/>
          <w:iCs/>
          <w:szCs w:val="14"/>
        </w:rPr>
        <w:t>et al</w:t>
      </w:r>
      <w:r>
        <w:rPr>
          <w:szCs w:val="14"/>
        </w:rPr>
        <w:t xml:space="preserve">. (2003) Oxidative stress regulated genes in nigral dopaminergic neurnol cell: correlation with the known pathology in Parkinson’s disease. </w:t>
      </w:r>
      <w:r>
        <w:rPr>
          <w:i/>
          <w:iCs/>
          <w:szCs w:val="14"/>
        </w:rPr>
        <w:t>Brain Res. Mol. Brain Res.</w:t>
      </w:r>
      <w:r>
        <w:rPr>
          <w:szCs w:val="14"/>
        </w:rPr>
        <w:t xml:space="preserve">, </w:t>
      </w:r>
      <w:r>
        <w:rPr>
          <w:b/>
          <w:bCs/>
          <w:szCs w:val="14"/>
        </w:rPr>
        <w:t>110</w:t>
      </w:r>
      <w:r>
        <w:rPr>
          <w:szCs w:val="14"/>
        </w:rPr>
        <w:t>(Suppl. 1), 76–84.</w:t>
      </w:r>
    </w:p>
    <w:p>
      <w:pPr>
        <w:pStyle w:val="62"/>
        <w:rPr>
          <w:szCs w:val="14"/>
        </w:rPr>
      </w:pPr>
      <w:r>
        <w:rPr>
          <w:szCs w:val="14"/>
        </w:rPr>
        <w:t xml:space="preserve">Crenshaw, B.,III, and Jones, W.B.,Jr (2003) The future of clinical cancer management: one tumor, one chip. </w:t>
      </w:r>
      <w:r>
        <w:rPr>
          <w:i/>
          <w:szCs w:val="14"/>
        </w:rPr>
        <w:t>Bioinformatics</w:t>
      </w:r>
      <w:r>
        <w:rPr>
          <w:szCs w:val="14"/>
        </w:rPr>
        <w:t>, doi:10.1093/bioinformatics/btn000.</w:t>
      </w:r>
    </w:p>
    <w:p>
      <w:pPr>
        <w:pStyle w:val="62"/>
        <w:rPr>
          <w:szCs w:val="14"/>
        </w:rPr>
      </w:pPr>
      <w:r>
        <w:rPr>
          <w:szCs w:val="14"/>
        </w:rPr>
        <w:t xml:space="preserve">Auhtor,A.B. </w:t>
      </w:r>
      <w:r>
        <w:rPr>
          <w:i/>
          <w:szCs w:val="14"/>
        </w:rPr>
        <w:t>et al.</w:t>
      </w:r>
      <w:r>
        <w:rPr>
          <w:szCs w:val="14"/>
        </w:rPr>
        <w:t xml:space="preserve"> (2000) Chapter title. In Smith, A.C. (ed.), </w:t>
      </w:r>
      <w:r>
        <w:rPr>
          <w:i/>
          <w:szCs w:val="14"/>
        </w:rPr>
        <w:t>Book Title</w:t>
      </w:r>
      <w:r>
        <w:rPr>
          <w:szCs w:val="14"/>
        </w:rPr>
        <w:t>, 2nd edn. Publisher, Location, Vol. 1, pp. ???–???.</w:t>
      </w:r>
    </w:p>
    <w:p>
      <w:pPr>
        <w:pStyle w:val="62"/>
        <w:rPr>
          <w:rFonts w:hint="eastAsia" w:eastAsia="宋体"/>
          <w:szCs w:val="14"/>
          <w:lang w:eastAsia="zh-CN"/>
        </w:rPr>
      </w:pPr>
      <w:r>
        <w:rPr>
          <w:szCs w:val="14"/>
        </w:rPr>
        <w:t>Bardet, G. (1920) Sur un syndrome d’obesite infantile avec polydactylie et retinite pigmentaire (contribution a l’etude des formes cliniques de l’obesite hypophysaire). PhD Thesis, name of institution, Paris, France.</w:t>
      </w:r>
    </w:p>
    <w:p>
      <w:pPr>
        <w:pStyle w:val="62"/>
        <w:rPr>
          <w:rFonts w:hint="eastAsia" w:eastAsia="宋体"/>
          <w:szCs w:val="14"/>
          <w:lang w:eastAsia="zh-CN"/>
        </w:rPr>
      </w:pPr>
    </w:p>
    <w:p>
      <w:pPr>
        <w:pStyle w:val="113"/>
        <w:bidi w:val="0"/>
        <w:ind w:left="0" w:firstLine="0"/>
        <w:rPr>
          <w:rFonts w:ascii="Times" w:hAnsi="Times" w:eastAsia="Times New Roman" w:cs="Times New Roman"/>
          <w:sz w:val="14"/>
          <w:szCs w:val="24"/>
          <w:lang w:val="en-US" w:eastAsia="en-US" w:bidi="ar-SA"/>
        </w:rPr>
      </w:pPr>
      <w:r>
        <w:rPr>
          <w:rFonts w:hint="eastAsia" w:eastAsia="宋体"/>
          <w:szCs w:val="14"/>
          <w:lang w:eastAsia="zh-CN"/>
        </w:rPr>
        <w:fldChar w:fldCharType="begin"/>
      </w:r>
      <w:r>
        <w:rPr>
          <w:rFonts w:hint="eastAsia" w:eastAsia="宋体"/>
          <w:szCs w:val="14"/>
          <w:lang w:eastAsia="zh-CN"/>
        </w:rPr>
        <w:instrText xml:space="preserve"> ADDIN  EN.REFLIST </w:instrText>
      </w:r>
      <w:r>
        <w:rPr>
          <w:rFonts w:hint="eastAsia" w:eastAsia="宋体"/>
          <w:szCs w:val="14"/>
          <w:lang w:eastAsia="zh-CN"/>
        </w:rPr>
        <w:fldChar w:fldCharType="separate"/>
      </w:r>
      <w:r>
        <w:rPr>
          <w:rFonts w:ascii="Times" w:hAnsi="Times" w:eastAsia="Times New Roman" w:cs="Times New Roman"/>
          <w:sz w:val="14"/>
          <w:szCs w:val="24"/>
          <w:lang w:val="en-US" w:eastAsia="en-US" w:bidi="ar-SA"/>
        </w:rPr>
        <w:t>Chen, J.S.</w:t>
      </w:r>
      <w:r>
        <w:rPr>
          <w:rFonts w:ascii="Times" w:hAnsi="Times" w:eastAsia="Times New Roman" w:cs="Times New Roman"/>
          <w:i/>
          <w:sz w:val="14"/>
          <w:szCs w:val="24"/>
          <w:lang w:val="en-US" w:eastAsia="en-US" w:bidi="ar-SA"/>
        </w:rPr>
        <w:t>, et al.</w:t>
      </w:r>
      <w:r>
        <w:rPr>
          <w:rFonts w:ascii="Times" w:hAnsi="Times" w:eastAsia="Times New Roman" w:cs="Times New Roman"/>
          <w:sz w:val="14"/>
          <w:szCs w:val="24"/>
          <w:lang w:val="en-US" w:eastAsia="en-US" w:bidi="ar-SA"/>
        </w:rPr>
        <w:t xml:space="preserve"> Enhanced proofreading governs CRISPR–Cas9 targeting accuracy. 2017;550(7676):407-410.</w:t>
      </w:r>
    </w:p>
    <w:p>
      <w:pPr>
        <w:pStyle w:val="113"/>
        <w:bidi w:val="0"/>
        <w:ind w:left="0" w:firstLine="0"/>
        <w:rPr>
          <w:rFonts w:ascii="Times" w:hAnsi="Times" w:eastAsia="Times New Roman" w:cs="Times New Roman"/>
          <w:sz w:val="14"/>
          <w:szCs w:val="24"/>
          <w:lang w:val="en-US" w:eastAsia="en-US" w:bidi="ar-SA"/>
        </w:rPr>
      </w:pPr>
      <w:r>
        <w:rPr>
          <w:rFonts w:ascii="Times" w:hAnsi="Times" w:eastAsia="Times New Roman" w:cs="Times New Roman"/>
          <w:sz w:val="14"/>
          <w:szCs w:val="24"/>
          <w:lang w:val="en-US" w:eastAsia="en-US" w:bidi="ar-SA"/>
        </w:rPr>
        <w:t>Cong, L.</w:t>
      </w:r>
      <w:r>
        <w:rPr>
          <w:rFonts w:ascii="Times" w:hAnsi="Times" w:eastAsia="Times New Roman" w:cs="Times New Roman"/>
          <w:i/>
          <w:sz w:val="14"/>
          <w:szCs w:val="24"/>
          <w:lang w:val="en-US" w:eastAsia="en-US" w:bidi="ar-SA"/>
        </w:rPr>
        <w:t>, et al.</w:t>
      </w:r>
      <w:r>
        <w:rPr>
          <w:rFonts w:ascii="Times" w:hAnsi="Times" w:eastAsia="Times New Roman" w:cs="Times New Roman"/>
          <w:sz w:val="14"/>
          <w:szCs w:val="24"/>
          <w:lang w:val="en-US" w:eastAsia="en-US" w:bidi="ar-SA"/>
        </w:rPr>
        <w:t xml:space="preserve"> Multiplex Genome Engineering Using CRISPR/Cas Systems. 2013;339(6121):819-823.</w:t>
      </w:r>
    </w:p>
    <w:p>
      <w:pPr>
        <w:pStyle w:val="113"/>
        <w:bidi w:val="0"/>
        <w:ind w:left="0" w:firstLine="0"/>
        <w:rPr>
          <w:rFonts w:ascii="Times" w:hAnsi="Times" w:eastAsia="Times New Roman" w:cs="Times New Roman"/>
          <w:sz w:val="14"/>
          <w:szCs w:val="24"/>
          <w:lang w:val="en-US" w:eastAsia="en-US" w:bidi="ar-SA"/>
        </w:rPr>
      </w:pPr>
      <w:r>
        <w:rPr>
          <w:rFonts w:ascii="Times" w:hAnsi="Times" w:eastAsia="Times New Roman" w:cs="Times New Roman"/>
          <w:sz w:val="14"/>
          <w:szCs w:val="24"/>
          <w:lang w:val="en-US" w:eastAsia="en-US" w:bidi="ar-SA"/>
        </w:rPr>
        <w:t>Jinek, M.</w:t>
      </w:r>
      <w:r>
        <w:rPr>
          <w:rFonts w:ascii="Times" w:hAnsi="Times" w:eastAsia="Times New Roman" w:cs="Times New Roman"/>
          <w:i/>
          <w:sz w:val="14"/>
          <w:szCs w:val="24"/>
          <w:lang w:val="en-US" w:eastAsia="en-US" w:bidi="ar-SA"/>
        </w:rPr>
        <w:t>, et al.</w:t>
      </w:r>
      <w:r>
        <w:rPr>
          <w:rFonts w:ascii="Times" w:hAnsi="Times" w:eastAsia="Times New Roman" w:cs="Times New Roman"/>
          <w:sz w:val="14"/>
          <w:szCs w:val="24"/>
          <w:lang w:val="en-US" w:eastAsia="en-US" w:bidi="ar-SA"/>
        </w:rPr>
        <w:t xml:space="preserve"> A programmable dual-RNA-guided DNA endonuclease in adaptive bacterial immunity. 2012;337(6096):816-821.</w:t>
      </w:r>
    </w:p>
    <w:p>
      <w:pPr>
        <w:pStyle w:val="113"/>
        <w:bidi w:val="0"/>
        <w:ind w:left="0" w:firstLine="0"/>
        <w:rPr>
          <w:rFonts w:ascii="Times" w:hAnsi="Times" w:eastAsia="Times New Roman" w:cs="Times New Roman"/>
          <w:sz w:val="14"/>
          <w:szCs w:val="24"/>
          <w:lang w:val="en-US" w:eastAsia="en-US" w:bidi="ar-SA"/>
        </w:rPr>
      </w:pPr>
      <w:r>
        <w:rPr>
          <w:rFonts w:ascii="Times" w:hAnsi="Times" w:eastAsia="Times New Roman" w:cs="Times New Roman"/>
          <w:sz w:val="14"/>
          <w:szCs w:val="24"/>
          <w:lang w:val="en-US" w:eastAsia="en-US" w:bidi="ar-SA"/>
        </w:rPr>
        <w:t>Kleinstiver, B.P.</w:t>
      </w:r>
      <w:r>
        <w:rPr>
          <w:rFonts w:ascii="Times" w:hAnsi="Times" w:eastAsia="Times New Roman" w:cs="Times New Roman"/>
          <w:i/>
          <w:sz w:val="14"/>
          <w:szCs w:val="24"/>
          <w:lang w:val="en-US" w:eastAsia="en-US" w:bidi="ar-SA"/>
        </w:rPr>
        <w:t>, et al.</w:t>
      </w:r>
      <w:r>
        <w:rPr>
          <w:rFonts w:ascii="Times" w:hAnsi="Times" w:eastAsia="Times New Roman" w:cs="Times New Roman"/>
          <w:sz w:val="14"/>
          <w:szCs w:val="24"/>
          <w:lang w:val="en-US" w:eastAsia="en-US" w:bidi="ar-SA"/>
        </w:rPr>
        <w:t xml:space="preserve"> High-fidelity CRISPR–Cas9 nucleases with no detectable genome-wide off-target effects. 2016;529(7587):490-495.</w:t>
      </w:r>
    </w:p>
    <w:p>
      <w:pPr>
        <w:pStyle w:val="113"/>
        <w:bidi w:val="0"/>
        <w:ind w:left="0" w:firstLine="0"/>
        <w:rPr>
          <w:rFonts w:ascii="Times" w:hAnsi="Times" w:eastAsia="Times New Roman" w:cs="Times New Roman"/>
          <w:sz w:val="14"/>
          <w:szCs w:val="24"/>
          <w:lang w:val="en-US" w:eastAsia="en-US" w:bidi="ar-SA"/>
        </w:rPr>
      </w:pPr>
      <w:r>
        <w:rPr>
          <w:rFonts w:ascii="Times" w:hAnsi="Times" w:eastAsia="Times New Roman" w:cs="Times New Roman"/>
          <w:sz w:val="14"/>
          <w:szCs w:val="24"/>
          <w:lang w:val="en-US" w:eastAsia="en-US" w:bidi="ar-SA"/>
        </w:rPr>
        <w:t>Rubeis, G. and Steger, F.J.A.B.R. Risks and benefits of human germline genome editing: An ethical analysis. 2018;10(2):133-141.</w:t>
      </w:r>
    </w:p>
    <w:p>
      <w:pPr>
        <w:pStyle w:val="113"/>
        <w:bidi w:val="0"/>
        <w:ind w:left="0" w:firstLine="0"/>
        <w:rPr>
          <w:rFonts w:ascii="Times" w:hAnsi="Times" w:eastAsia="Times New Roman" w:cs="Times New Roman"/>
          <w:sz w:val="14"/>
          <w:szCs w:val="24"/>
          <w:lang w:val="en-US" w:eastAsia="en-US" w:bidi="ar-SA"/>
        </w:rPr>
      </w:pPr>
      <w:r>
        <w:rPr>
          <w:rFonts w:ascii="Times" w:hAnsi="Times" w:eastAsia="Times New Roman" w:cs="Times New Roman"/>
          <w:sz w:val="14"/>
          <w:szCs w:val="24"/>
          <w:lang w:val="en-US" w:eastAsia="en-US" w:bidi="ar-SA"/>
        </w:rPr>
        <w:t>Slaymaker, I.M.</w:t>
      </w:r>
      <w:r>
        <w:rPr>
          <w:rFonts w:ascii="Times" w:hAnsi="Times" w:eastAsia="Times New Roman" w:cs="Times New Roman"/>
          <w:i/>
          <w:sz w:val="14"/>
          <w:szCs w:val="24"/>
          <w:lang w:val="en-US" w:eastAsia="en-US" w:bidi="ar-SA"/>
        </w:rPr>
        <w:t>, et al.</w:t>
      </w:r>
      <w:r>
        <w:rPr>
          <w:rFonts w:ascii="Times" w:hAnsi="Times" w:eastAsia="Times New Roman" w:cs="Times New Roman"/>
          <w:sz w:val="14"/>
          <w:szCs w:val="24"/>
          <w:lang w:val="en-US" w:eastAsia="en-US" w:bidi="ar-SA"/>
        </w:rPr>
        <w:t xml:space="preserve"> Rationally engineered Cas9 nucleases with improved specificity. 2016;351(6268):84-88.</w:t>
      </w:r>
    </w:p>
    <w:p>
      <w:pPr>
        <w:pStyle w:val="113"/>
        <w:bidi w:val="0"/>
        <w:ind w:left="0" w:firstLine="0"/>
        <w:rPr>
          <w:rFonts w:hint="eastAsia" w:eastAsia="宋体"/>
          <w:b w:val="0"/>
          <w:i w:val="0"/>
          <w:szCs w:val="14"/>
          <w:u w:val="none"/>
          <w:lang w:val="en-US" w:eastAsia="zh-CN"/>
        </w:rPr>
      </w:pPr>
    </w:p>
    <w:p>
      <w:pPr>
        <w:pStyle w:val="62"/>
        <w:rPr>
          <w:rFonts w:hint="eastAsia" w:eastAsia="宋体"/>
          <w:szCs w:val="14"/>
          <w:lang w:eastAsia="zh-CN"/>
        </w:rPr>
      </w:pPr>
      <w:r>
        <w:rPr>
          <w:rFonts w:hint="eastAsia" w:eastAsia="宋体"/>
          <w:szCs w:val="14"/>
          <w:lang w:eastAsia="zh-CN"/>
        </w:rPr>
        <w:fldChar w:fldCharType="end"/>
      </w:r>
    </w:p>
    <w:sectPr>
      <w:type w:val="continuous"/>
      <w:pgSz w:w="12240" w:h="15826"/>
      <w:pgMar w:top="1267" w:right="1382" w:bottom="1267" w:left="1094" w:header="706" w:footer="835" w:gutter="0"/>
      <w:cols w:space="360" w:num="2"/>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 w:name="Helvetica-Light">
    <w:altName w:val="Segoe Print"/>
    <w:panose1 w:val="00000000000000000000"/>
    <w:charset w:val="00"/>
    <w:family w:val="roman"/>
    <w:pitch w:val="default"/>
    <w:sig w:usb0="00000000" w:usb1="00000000" w:usb2="00000000" w:usb3="00000000" w:csb0="00000001"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dvPS2AA1">
    <w:altName w:val="Segoe Print"/>
    <w:panose1 w:val="00000000000000000000"/>
    <w:charset w:val="00"/>
    <w:family w:val="swiss"/>
    <w:pitch w:val="default"/>
    <w:sig w:usb0="00000000" w:usb1="00000000" w:usb2="00000000" w:usb3="00000000" w:csb0="00000001" w:csb1="00000000"/>
  </w:font>
  <w:font w:name="AdvPS2A83">
    <w:altName w:val="Segoe Print"/>
    <w:panose1 w:val="00000000000000000000"/>
    <w:charset w:val="00"/>
    <w:family w:val="swiss"/>
    <w:pitch w:val="default"/>
    <w:sig w:usb0="00000000" w:usb1="00000000" w:usb2="00000000" w:usb3="00000000" w:csb0="00000001" w:csb1="00000000"/>
  </w:font>
  <w:font w:name="AdvPS2A8F">
    <w:altName w:val="Segoe Print"/>
    <w:panose1 w:val="00000000000000000000"/>
    <w:charset w:val="00"/>
    <w:family w:val="swiss"/>
    <w:pitch w:val="default"/>
    <w:sig w:usb0="00000000" w:usb1="00000000" w:usb2="00000000" w:usb3="00000000" w:csb0="00000001" w:csb1="00000000"/>
  </w:font>
  <w:font w:name="AdvPSSAB-R">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t>Article short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after="0"/>
    </w:pPr>
    <w:r>
      <mc:AlternateContent>
        <mc:Choice Requires="wps">
          <w:drawing>
            <wp:anchor distT="0" distB="0" distL="114300" distR="114300" simplePos="0" relativeHeight="251660288" behindDoc="0" locked="1" layoutInCell="1" allowOverlap="0">
              <wp:simplePos x="0" y="0"/>
              <wp:positionH relativeFrom="column">
                <wp:posOffset>0</wp:posOffset>
              </wp:positionH>
              <wp:positionV relativeFrom="page">
                <wp:posOffset>655320</wp:posOffset>
              </wp:positionV>
              <wp:extent cx="6400800" cy="0"/>
              <wp:effectExtent l="0" t="0" r="0" b="0"/>
              <wp:wrapNone/>
              <wp:docPr id="2" name="直线 1"/>
              <wp:cNvGraphicFramePr/>
              <a:graphic xmlns:a="http://schemas.openxmlformats.org/drawingml/2006/main">
                <a:graphicData uri="http://schemas.microsoft.com/office/word/2010/wordprocessingShape">
                  <wps:wsp>
                    <wps:cNvSpPr/>
                    <wps:spPr>
                      <a:xfrm>
                        <a:off x="0" y="0"/>
                        <a:ext cx="6400800"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0pt;margin-top:51.6pt;height:0pt;width:504pt;mso-position-vertical-relative:page;z-index:251660288;mso-width-relative:page;mso-height-relative:page;" filled="f" stroked="t" coordsize="21600,21600" o:allowoverlap="f" o:gfxdata="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JJRVYLTAAAACQEAAA8AAAAAAAAAAQAgAAAAIgAAAGRycy9kb3du&#10;cmV2LnhtbFBLAQIUABQAAAAIAIdO4kAQZWFsywEAAI0DAAAOAAAAAAAAAAEAIAAAACIBAABkcnMv&#10;ZTJvRG9jLnhtbFBLBQYAAAAABgAGAFkBAABfBQAAAAA=&#10;">
              <v:fill on="f" focussize="0,0"/>
              <v:stroke weight="0.5pt" color="#000000" joinstyle="round"/>
              <v:imagedata o:title=""/>
              <o:lock v:ext="edit" aspectratio="f"/>
              <w10:anchorlock/>
            </v:line>
          </w:pict>
        </mc:Fallback>
      </mc:AlternateContent>
    </w:r>
    <w:r>
      <w:t>K.Takahashi et 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65944"/>
    <w:multiLevelType w:val="multilevel"/>
    <w:tmpl w:val="0A465944"/>
    <w:lvl w:ilvl="0" w:tentative="0">
      <w:start w:val="1"/>
      <w:numFmt w:val="decimal"/>
      <w:pStyle w:val="3"/>
      <w:lvlText w:val="3.%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47952ED"/>
    <w:multiLevelType w:val="multilevel"/>
    <w:tmpl w:val="347952ED"/>
    <w:lvl w:ilvl="0" w:tentative="0">
      <w:start w:val="1"/>
      <w:numFmt w:val="decimal"/>
      <w:pStyle w:val="2"/>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E8312F6"/>
    <w:multiLevelType w:val="multilevel"/>
    <w:tmpl w:val="5E8312F6"/>
    <w:lvl w:ilvl="0" w:tentative="0">
      <w:start w:val="1"/>
      <w:numFmt w:val="decimal"/>
      <w:pStyle w:val="40"/>
      <w:lvlText w:val="(%1)"/>
      <w:lvlJc w:val="left"/>
      <w:pPr>
        <w:tabs>
          <w:tab w:val="left" w:pos="720"/>
        </w:tabs>
        <w:ind w:left="720" w:hanging="55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6E690407"/>
    <w:multiLevelType w:val="multilevel"/>
    <w:tmpl w:val="6E690407"/>
    <w:lvl w:ilvl="0" w:tentative="0">
      <w:start w:val="1"/>
      <w:numFmt w:val="bullet"/>
      <w:pStyle w:val="43"/>
      <w:lvlText w:val=""/>
      <w:lvlJc w:val="left"/>
      <w:pPr>
        <w:tabs>
          <w:tab w:val="left" w:pos="560"/>
        </w:tabs>
        <w:ind w:left="560" w:hanging="39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7C8B3801"/>
    <w:multiLevelType w:val="multilevel"/>
    <w:tmpl w:val="7C8B3801"/>
    <w:lvl w:ilvl="0" w:tentative="0">
      <w:start w:val="1"/>
      <w:numFmt w:val="decimal"/>
      <w:isLgl/>
      <w:lvlText w:val="%1"/>
      <w:lvlJc w:val="left"/>
      <w:pPr>
        <w:tabs>
          <w:tab w:val="left" w:pos="432"/>
        </w:tabs>
        <w:ind w:left="432" w:hanging="432"/>
      </w:pPr>
      <w:rPr>
        <w:rFonts w:hint="default"/>
      </w:rPr>
    </w:lvl>
    <w:lvl w:ilvl="1" w:tentative="0">
      <w:start w:val="1"/>
      <w:numFmt w:val="decimal"/>
      <w:pStyle w:val="63"/>
      <w:isLgl/>
      <w:lvlText w:val="%1.%2"/>
      <w:lvlJc w:val="left"/>
      <w:pPr>
        <w:tabs>
          <w:tab w:val="left" w:pos="576"/>
        </w:tabs>
        <w:ind w:left="576" w:hanging="576"/>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800"/>
        </w:tabs>
        <w:ind w:left="1440" w:hanging="1440"/>
      </w:pPr>
      <w:rPr>
        <w:rFonts w:hint="default"/>
      </w:rPr>
    </w:lvl>
    <w:lvl w:ilvl="8" w:tentative="0">
      <w:start w:val="1"/>
      <w:numFmt w:val="decimal"/>
      <w:lvlText w:val="%1.%2.%3.%4.%5.%6.%7.%8.%9"/>
      <w:lvlJc w:val="left"/>
      <w:pPr>
        <w:tabs>
          <w:tab w:val="left" w:pos="1800"/>
        </w:tabs>
        <w:ind w:left="1584" w:hanging="1584"/>
      </w:pPr>
      <w:rPr>
        <w:rFont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mirrorMargins w:val="1"/>
  <w:attachedTemplate r:id="rId1"/>
  <w:documentProtection w:enforcement="0"/>
  <w:defaultTabStop w:val="720"/>
  <w:autoHyphenation/>
  <w:doNotHyphenateCaps/>
  <w:evenAndOddHeaders w:val="1"/>
  <w:drawingGridHorizontalSpacing w:val="100"/>
  <w:displayHorizontalDrawingGridEvery w:val="2"/>
  <w:displayVerticalDrawingGridEvery w:val="2"/>
  <w:noPunctuationKerning w:val="1"/>
  <w:characterSpacingControl w:val="doNotCompress"/>
  <w:hdrShapeDefaults>
    <o:shapelayout v:ext="edit">
      <o:idmap v:ext="edit" data="2"/>
    </o:shapelayou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95w9exz3w2wvpexwwavww5ea2preszwxvsf&quot;&gt;paper&lt;record-ids&gt;&lt;item&gt;1&lt;/item&gt;&lt;item&gt;2&lt;/item&gt;&lt;item&gt;3&lt;/item&gt;&lt;item&gt;7&lt;/item&gt;&lt;item&gt;9&lt;/item&gt;&lt;item&gt;10&lt;/item&gt;&lt;/record-ids&gt;&lt;/item&gt;&lt;/Libraries&gt;"/>
  </w:docVars>
  <w:rsids>
    <w:rsidRoot w:val="43480758"/>
    <w:rsid w:val="0001213C"/>
    <w:rsid w:val="00050B51"/>
    <w:rsid w:val="00063765"/>
    <w:rsid w:val="00083970"/>
    <w:rsid w:val="000E7919"/>
    <w:rsid w:val="00112539"/>
    <w:rsid w:val="00120FBC"/>
    <w:rsid w:val="00163472"/>
    <w:rsid w:val="00164CC5"/>
    <w:rsid w:val="00175E68"/>
    <w:rsid w:val="0019362B"/>
    <w:rsid w:val="001976C9"/>
    <w:rsid w:val="001A0125"/>
    <w:rsid w:val="001A5509"/>
    <w:rsid w:val="001C6AEE"/>
    <w:rsid w:val="002000FF"/>
    <w:rsid w:val="00274D6E"/>
    <w:rsid w:val="0028467B"/>
    <w:rsid w:val="002A2089"/>
    <w:rsid w:val="002A7209"/>
    <w:rsid w:val="002B75A3"/>
    <w:rsid w:val="002B75B0"/>
    <w:rsid w:val="002C783E"/>
    <w:rsid w:val="002D3B6B"/>
    <w:rsid w:val="002D5837"/>
    <w:rsid w:val="002D7AA3"/>
    <w:rsid w:val="002F4CA8"/>
    <w:rsid w:val="00341B9C"/>
    <w:rsid w:val="0034204F"/>
    <w:rsid w:val="00352804"/>
    <w:rsid w:val="00366351"/>
    <w:rsid w:val="00386DA0"/>
    <w:rsid w:val="003A4127"/>
    <w:rsid w:val="003A4458"/>
    <w:rsid w:val="003B3D09"/>
    <w:rsid w:val="003F0E1C"/>
    <w:rsid w:val="00400C63"/>
    <w:rsid w:val="00403998"/>
    <w:rsid w:val="00405022"/>
    <w:rsid w:val="00417E33"/>
    <w:rsid w:val="00435193"/>
    <w:rsid w:val="00452614"/>
    <w:rsid w:val="00454567"/>
    <w:rsid w:val="00473EDA"/>
    <w:rsid w:val="004768E7"/>
    <w:rsid w:val="00486E58"/>
    <w:rsid w:val="004B43B9"/>
    <w:rsid w:val="004B658F"/>
    <w:rsid w:val="004D7F41"/>
    <w:rsid w:val="004E0596"/>
    <w:rsid w:val="004E1218"/>
    <w:rsid w:val="004E13A5"/>
    <w:rsid w:val="004E44AC"/>
    <w:rsid w:val="00513FFC"/>
    <w:rsid w:val="00544ED1"/>
    <w:rsid w:val="005806E7"/>
    <w:rsid w:val="00584A70"/>
    <w:rsid w:val="005E41BA"/>
    <w:rsid w:val="005E5A37"/>
    <w:rsid w:val="005F50A7"/>
    <w:rsid w:val="006103A9"/>
    <w:rsid w:val="006118F8"/>
    <w:rsid w:val="006323EC"/>
    <w:rsid w:val="00643190"/>
    <w:rsid w:val="0066588F"/>
    <w:rsid w:val="006921D5"/>
    <w:rsid w:val="006A235A"/>
    <w:rsid w:val="006C2C0F"/>
    <w:rsid w:val="006F5A2E"/>
    <w:rsid w:val="0072388D"/>
    <w:rsid w:val="00776B59"/>
    <w:rsid w:val="00793C1E"/>
    <w:rsid w:val="00801742"/>
    <w:rsid w:val="00806CED"/>
    <w:rsid w:val="00820FD1"/>
    <w:rsid w:val="00853D6D"/>
    <w:rsid w:val="00887143"/>
    <w:rsid w:val="008A06DC"/>
    <w:rsid w:val="008A13D5"/>
    <w:rsid w:val="008A7380"/>
    <w:rsid w:val="008E5030"/>
    <w:rsid w:val="00935C57"/>
    <w:rsid w:val="00943558"/>
    <w:rsid w:val="00952599"/>
    <w:rsid w:val="0095359B"/>
    <w:rsid w:val="009A3330"/>
    <w:rsid w:val="009D0B6E"/>
    <w:rsid w:val="00A226FD"/>
    <w:rsid w:val="00A2522A"/>
    <w:rsid w:val="00A5432A"/>
    <w:rsid w:val="00A55800"/>
    <w:rsid w:val="00A663DF"/>
    <w:rsid w:val="00A7074F"/>
    <w:rsid w:val="00A76CB0"/>
    <w:rsid w:val="00A818B3"/>
    <w:rsid w:val="00AB08E4"/>
    <w:rsid w:val="00B637BC"/>
    <w:rsid w:val="00B652DF"/>
    <w:rsid w:val="00B7282B"/>
    <w:rsid w:val="00B972B2"/>
    <w:rsid w:val="00BE5EE2"/>
    <w:rsid w:val="00C4341F"/>
    <w:rsid w:val="00CC64E3"/>
    <w:rsid w:val="00CD1016"/>
    <w:rsid w:val="00CD1067"/>
    <w:rsid w:val="00CD55D8"/>
    <w:rsid w:val="00CF605A"/>
    <w:rsid w:val="00D65C51"/>
    <w:rsid w:val="00D83B8A"/>
    <w:rsid w:val="00DA7E18"/>
    <w:rsid w:val="00DC2DCC"/>
    <w:rsid w:val="00DC5078"/>
    <w:rsid w:val="00DC5EDA"/>
    <w:rsid w:val="00DD38F7"/>
    <w:rsid w:val="00E678E8"/>
    <w:rsid w:val="00EC5ED4"/>
    <w:rsid w:val="00EE1FE6"/>
    <w:rsid w:val="00EF5D71"/>
    <w:rsid w:val="00F137B5"/>
    <w:rsid w:val="00F362A7"/>
    <w:rsid w:val="00F4766C"/>
    <w:rsid w:val="00FC40EC"/>
    <w:rsid w:val="00FD09A4"/>
    <w:rsid w:val="00FD5375"/>
    <w:rsid w:val="00FF1489"/>
    <w:rsid w:val="26E12292"/>
    <w:rsid w:val="26E97D53"/>
    <w:rsid w:val="43480758"/>
    <w:rsid w:val="43F26CA1"/>
    <w:rsid w:val="4766563C"/>
    <w:rsid w:val="66314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w:hAnsi="Times" w:eastAsia="Times New Roman" w:cs="Times New Roman"/>
      <w:szCs w:val="24"/>
      <w:lang w:val="en-US" w:eastAsia="en-US" w:bidi="ar-SA"/>
    </w:rPr>
  </w:style>
  <w:style w:type="paragraph" w:styleId="2">
    <w:name w:val="heading 1"/>
    <w:next w:val="1"/>
    <w:qFormat/>
    <w:uiPriority w:val="0"/>
    <w:pPr>
      <w:numPr>
        <w:ilvl w:val="0"/>
        <w:numId w:val="1"/>
      </w:numPr>
      <w:spacing w:before="360" w:after="50" w:line="240" w:lineRule="exact"/>
      <w:ind w:left="357" w:hanging="357"/>
      <w:outlineLvl w:val="0"/>
    </w:pPr>
    <w:rPr>
      <w:rFonts w:ascii="Helvetica" w:hAnsi="Helvetica" w:eastAsia="Times New Roman" w:cs="Times New Roman"/>
      <w:b/>
      <w:lang w:val="en-US" w:eastAsia="en-US" w:bidi="ar-SA"/>
    </w:rPr>
  </w:style>
  <w:style w:type="paragraph" w:styleId="3">
    <w:name w:val="heading 2"/>
    <w:next w:val="1"/>
    <w:qFormat/>
    <w:uiPriority w:val="0"/>
    <w:pPr>
      <w:numPr>
        <w:ilvl w:val="0"/>
        <w:numId w:val="2"/>
      </w:numPr>
      <w:spacing w:before="360" w:after="52" w:line="240" w:lineRule="exact"/>
      <w:outlineLvl w:val="1"/>
    </w:pPr>
    <w:rPr>
      <w:rFonts w:ascii="Times New Roman" w:hAnsi="Times New Roman" w:eastAsia="Times New Roman" w:cs="Times New Roman"/>
      <w:b/>
      <w:bCs/>
      <w:sz w:val="18"/>
      <w:szCs w:val="18"/>
      <w:lang w:val="en-US" w:eastAsia="en-US" w:bidi="ar-SA"/>
    </w:rPr>
  </w:style>
  <w:style w:type="paragraph" w:styleId="4">
    <w:name w:val="heading 3"/>
    <w:basedOn w:val="5"/>
    <w:next w:val="1"/>
    <w:link w:val="110"/>
    <w:qFormat/>
    <w:uiPriority w:val="0"/>
    <w:pPr>
      <w:spacing w:before="240" w:after="60"/>
      <w:outlineLvl w:val="2"/>
    </w:pPr>
    <w:rPr>
      <w:b/>
    </w:rPr>
  </w:style>
  <w:style w:type="paragraph" w:styleId="8">
    <w:name w:val="heading 4"/>
    <w:basedOn w:val="1"/>
    <w:next w:val="1"/>
    <w:qFormat/>
    <w:uiPriority w:val="0"/>
    <w:pPr>
      <w:keepNext/>
      <w:spacing w:before="240" w:after="60"/>
      <w:outlineLvl w:val="3"/>
    </w:pPr>
    <w:rPr>
      <w:rFonts w:ascii="Times New Roman" w:hAnsi="Times New Roman"/>
      <w:b/>
      <w:bCs/>
      <w:sz w:val="28"/>
      <w:szCs w:val="28"/>
    </w:rPr>
  </w:style>
  <w:style w:type="paragraph" w:styleId="9">
    <w:name w:val="heading 5"/>
    <w:basedOn w:val="1"/>
    <w:next w:val="1"/>
    <w:qFormat/>
    <w:uiPriority w:val="0"/>
    <w:pPr>
      <w:spacing w:before="240" w:after="60"/>
      <w:outlineLvl w:val="4"/>
    </w:pPr>
    <w:rPr>
      <w:b/>
      <w:bCs/>
      <w:i/>
      <w:iCs/>
      <w:sz w:val="26"/>
      <w:szCs w:val="26"/>
    </w:rPr>
  </w:style>
  <w:style w:type="paragraph" w:styleId="10">
    <w:name w:val="heading 6"/>
    <w:basedOn w:val="1"/>
    <w:next w:val="1"/>
    <w:qFormat/>
    <w:uiPriority w:val="0"/>
    <w:pPr>
      <w:spacing w:before="240" w:after="60"/>
      <w:outlineLvl w:val="5"/>
    </w:pPr>
    <w:rPr>
      <w:rFonts w:ascii="Times New Roman" w:hAnsi="Times New Roman"/>
      <w:b/>
      <w:bCs/>
      <w:sz w:val="22"/>
      <w:szCs w:val="22"/>
    </w:rPr>
  </w:style>
  <w:style w:type="paragraph" w:styleId="11">
    <w:name w:val="heading 7"/>
    <w:basedOn w:val="1"/>
    <w:next w:val="1"/>
    <w:qFormat/>
    <w:uiPriority w:val="0"/>
    <w:pPr>
      <w:spacing w:before="240" w:after="60"/>
      <w:outlineLvl w:val="6"/>
    </w:pPr>
    <w:rPr>
      <w:rFonts w:ascii="Times New Roman" w:hAnsi="Times New Roman"/>
      <w:sz w:val="24"/>
    </w:rPr>
  </w:style>
  <w:style w:type="paragraph" w:styleId="12">
    <w:name w:val="heading 8"/>
    <w:basedOn w:val="1"/>
    <w:next w:val="1"/>
    <w:qFormat/>
    <w:uiPriority w:val="0"/>
    <w:pPr>
      <w:spacing w:before="240" w:after="60"/>
      <w:outlineLvl w:val="7"/>
    </w:pPr>
    <w:rPr>
      <w:rFonts w:ascii="Times New Roman" w:hAnsi="Times New Roman"/>
      <w:i/>
      <w:iCs/>
      <w:sz w:val="24"/>
    </w:rPr>
  </w:style>
  <w:style w:type="paragraph" w:styleId="13">
    <w:name w:val="heading 9"/>
    <w:basedOn w:val="1"/>
    <w:next w:val="1"/>
    <w:qFormat/>
    <w:uiPriority w:val="0"/>
    <w:pPr>
      <w:spacing w:before="240" w:after="60"/>
      <w:outlineLvl w:val="8"/>
    </w:pPr>
    <w:rPr>
      <w:rFonts w:ascii="Arial" w:hAnsi="Arial" w:cs="Arial"/>
      <w:sz w:val="22"/>
      <w:szCs w:val="22"/>
    </w:rPr>
  </w:style>
  <w:style w:type="character" w:default="1" w:styleId="26">
    <w:name w:val="Default Paragraph Font"/>
    <w:semiHidden/>
    <w:unhideWhenUsed/>
    <w:qFormat/>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customStyle="1" w:styleId="5">
    <w:name w:val="para-first"/>
    <w:basedOn w:val="6"/>
    <w:link w:val="109"/>
    <w:qFormat/>
    <w:uiPriority w:val="0"/>
    <w:rPr>
      <w:sz w:val="16"/>
      <w:szCs w:val="16"/>
    </w:rPr>
  </w:style>
  <w:style w:type="paragraph" w:customStyle="1" w:styleId="6">
    <w:name w:val="ParaNoInd"/>
    <w:basedOn w:val="7"/>
    <w:link w:val="108"/>
    <w:uiPriority w:val="0"/>
    <w:pPr>
      <w:ind w:firstLine="0"/>
    </w:pPr>
  </w:style>
  <w:style w:type="paragraph" w:customStyle="1" w:styleId="7">
    <w:name w:val="Para"/>
    <w:link w:val="107"/>
    <w:uiPriority w:val="0"/>
    <w:pPr>
      <w:spacing w:line="220" w:lineRule="exact"/>
      <w:ind w:firstLine="170"/>
      <w:jc w:val="both"/>
    </w:pPr>
    <w:rPr>
      <w:rFonts w:ascii="Times New Roman" w:hAnsi="Times New Roman" w:eastAsia="Times New Roman" w:cs="Times New Roman"/>
      <w:sz w:val="18"/>
      <w:lang w:val="en-US" w:eastAsia="en-US" w:bidi="ar-SA"/>
    </w:rPr>
  </w:style>
  <w:style w:type="paragraph" w:styleId="14">
    <w:name w:val="Block Text"/>
    <w:basedOn w:val="1"/>
    <w:uiPriority w:val="0"/>
    <w:pPr>
      <w:spacing w:after="120"/>
      <w:ind w:left="1440" w:right="1440"/>
    </w:pPr>
  </w:style>
  <w:style w:type="paragraph" w:styleId="15">
    <w:name w:val="HTML Address"/>
    <w:basedOn w:val="1"/>
    <w:uiPriority w:val="0"/>
    <w:rPr>
      <w:i/>
      <w:iCs/>
    </w:rPr>
  </w:style>
  <w:style w:type="paragraph" w:styleId="16">
    <w:name w:val="Balloon Text"/>
    <w:basedOn w:val="1"/>
    <w:link w:val="85"/>
    <w:uiPriority w:val="0"/>
    <w:pPr>
      <w:spacing w:line="240" w:lineRule="auto"/>
    </w:pPr>
    <w:rPr>
      <w:rFonts w:ascii="Tahoma" w:hAnsi="Tahoma" w:cs="Tahoma"/>
      <w:sz w:val="16"/>
      <w:szCs w:val="16"/>
    </w:rPr>
  </w:style>
  <w:style w:type="paragraph" w:styleId="17">
    <w:name w:val="footer"/>
    <w:basedOn w:val="1"/>
    <w:uiPriority w:val="0"/>
    <w:pPr>
      <w:tabs>
        <w:tab w:val="center" w:pos="4320"/>
        <w:tab w:val="right" w:pos="8640"/>
      </w:tabs>
    </w:pPr>
  </w:style>
  <w:style w:type="paragraph" w:styleId="18">
    <w:name w:val="header"/>
    <w:basedOn w:val="1"/>
    <w:link w:val="84"/>
    <w:uiPriority w:val="99"/>
    <w:pPr>
      <w:tabs>
        <w:tab w:val="center" w:pos="4320"/>
        <w:tab w:val="right" w:pos="8640"/>
      </w:tabs>
      <w:spacing w:after="520" w:line="160" w:lineRule="exact"/>
    </w:pPr>
    <w:rPr>
      <w:rFonts w:ascii="Helvetica" w:hAnsi="Helvetica"/>
      <w:b/>
      <w:i/>
      <w:sz w:val="16"/>
    </w:rPr>
  </w:style>
  <w:style w:type="paragraph" w:styleId="19">
    <w:name w:val="Subtitle"/>
    <w:basedOn w:val="20"/>
    <w:next w:val="1"/>
    <w:link w:val="99"/>
    <w:qFormat/>
    <w:uiPriority w:val="0"/>
    <w:pPr>
      <w:jc w:val="both"/>
    </w:pPr>
    <w:rPr>
      <w:sz w:val="28"/>
      <w:szCs w:val="28"/>
    </w:rPr>
  </w:style>
  <w:style w:type="paragraph" w:customStyle="1" w:styleId="20">
    <w:name w:val="Article Type"/>
    <w:uiPriority w:val="0"/>
    <w:pPr>
      <w:spacing w:before="160"/>
    </w:pPr>
    <w:rPr>
      <w:rFonts w:ascii="Helvetica" w:hAnsi="Helvetica" w:eastAsia="Times New Roman" w:cs="Times New Roman"/>
      <w:i/>
      <w:sz w:val="24"/>
      <w:lang w:val="en-US" w:eastAsia="en-US" w:bidi="ar-SA"/>
    </w:rPr>
  </w:style>
  <w:style w:type="paragraph" w:styleId="21">
    <w:name w:val="footnote text"/>
    <w:basedOn w:val="1"/>
    <w:semiHidden/>
    <w:uiPriority w:val="0"/>
    <w:pPr>
      <w:spacing w:before="20" w:line="200" w:lineRule="exact"/>
    </w:pPr>
    <w:rPr>
      <w:rFonts w:ascii="Times New Roman" w:hAnsi="Times New Roman"/>
      <w:sz w:val="16"/>
      <w:szCs w:val="20"/>
    </w:rPr>
  </w:style>
  <w:style w:type="paragraph" w:styleId="22">
    <w:name w:val="Title"/>
    <w:basedOn w:val="23"/>
    <w:next w:val="1"/>
    <w:link w:val="98"/>
    <w:qFormat/>
    <w:uiPriority w:val="0"/>
    <w:pPr>
      <w:jc w:val="both"/>
    </w:pPr>
    <w:rPr>
      <w:sz w:val="36"/>
      <w:szCs w:val="36"/>
    </w:rPr>
  </w:style>
  <w:style w:type="paragraph" w:customStyle="1" w:styleId="23">
    <w:name w:val="Article title"/>
    <w:uiPriority w:val="0"/>
    <w:pPr>
      <w:spacing w:before="92" w:line="420" w:lineRule="exact"/>
    </w:pPr>
    <w:rPr>
      <w:rFonts w:ascii="Helvetica" w:hAnsi="Helvetica" w:eastAsia="Times New Roman" w:cs="Times New Roman"/>
      <w:b/>
      <w:sz w:val="32"/>
      <w:lang w:val="en-US" w:eastAsia="en-US" w:bidi="ar-SA"/>
    </w:rPr>
  </w:style>
  <w:style w:type="table" w:styleId="25">
    <w:name w:val="Table Grid"/>
    <w:basedOn w:val="2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7">
    <w:name w:val="page number"/>
    <w:basedOn w:val="26"/>
    <w:uiPriority w:val="0"/>
    <w:rPr>
      <w:rFonts w:ascii="Helvetica" w:hAnsi="Helvetica"/>
      <w:b/>
      <w:sz w:val="18"/>
    </w:rPr>
  </w:style>
  <w:style w:type="character" w:styleId="28">
    <w:name w:val="line number"/>
    <w:basedOn w:val="26"/>
    <w:uiPriority w:val="0"/>
  </w:style>
  <w:style w:type="character" w:styleId="29">
    <w:name w:val="footnote reference"/>
    <w:basedOn w:val="26"/>
    <w:semiHidden/>
    <w:uiPriority w:val="0"/>
    <w:rPr>
      <w:vertAlign w:val="superscript"/>
    </w:rPr>
  </w:style>
  <w:style w:type="paragraph" w:customStyle="1" w:styleId="30">
    <w:name w:val="Catchline"/>
    <w:uiPriority w:val="0"/>
    <w:pPr>
      <w:spacing w:before="140" w:line="160" w:lineRule="exact"/>
      <w:jc w:val="right"/>
    </w:pPr>
    <w:rPr>
      <w:rFonts w:ascii="Helvetica" w:hAnsi="Helvetica" w:eastAsia="Times New Roman" w:cs="Times New Roman"/>
      <w:i/>
      <w:sz w:val="16"/>
      <w:lang w:val="en-US" w:eastAsia="en-US" w:bidi="ar-SA"/>
    </w:rPr>
  </w:style>
  <w:style w:type="paragraph" w:customStyle="1" w:styleId="31">
    <w:name w:val="DOI Line"/>
    <w:basedOn w:val="30"/>
    <w:uiPriority w:val="0"/>
    <w:pPr>
      <w:spacing w:before="44"/>
    </w:pPr>
  </w:style>
  <w:style w:type="paragraph" w:customStyle="1" w:styleId="32">
    <w:name w:val="Author name"/>
    <w:link w:val="94"/>
    <w:uiPriority w:val="0"/>
    <w:pPr>
      <w:spacing w:before="70" w:line="300" w:lineRule="exact"/>
    </w:pPr>
    <w:rPr>
      <w:rFonts w:ascii="Helvetica-Light" w:hAnsi="Helvetica-Light" w:eastAsia="Times New Roman" w:cs="Times New Roman"/>
      <w:iCs/>
      <w:sz w:val="26"/>
      <w:lang w:val="en-US" w:eastAsia="en-US" w:bidi="ar-SA"/>
    </w:rPr>
  </w:style>
  <w:style w:type="paragraph" w:customStyle="1" w:styleId="33">
    <w:name w:val="Affilation"/>
    <w:basedOn w:val="32"/>
    <w:link w:val="96"/>
    <w:uiPriority w:val="0"/>
    <w:pPr>
      <w:spacing w:before="40" w:after="52" w:line="240" w:lineRule="exact"/>
    </w:pPr>
    <w:rPr>
      <w:sz w:val="20"/>
    </w:rPr>
  </w:style>
  <w:style w:type="paragraph" w:customStyle="1" w:styleId="34">
    <w:name w:val="Received"/>
    <w:basedOn w:val="33"/>
    <w:uiPriority w:val="0"/>
    <w:pPr>
      <w:spacing w:before="0" w:after="294"/>
    </w:pPr>
    <w:rPr>
      <w:sz w:val="16"/>
    </w:rPr>
  </w:style>
  <w:style w:type="paragraph" w:customStyle="1" w:styleId="35">
    <w:name w:val="Abstract Head"/>
    <w:link w:val="91"/>
    <w:uiPriority w:val="0"/>
    <w:pPr>
      <w:spacing w:before="210" w:after="10" w:line="220" w:lineRule="exact"/>
      <w:jc w:val="both"/>
    </w:pPr>
    <w:rPr>
      <w:rFonts w:ascii="Helvetica" w:hAnsi="Helvetica" w:eastAsia="Times New Roman" w:cs="Times New Roman"/>
      <w:b/>
      <w:caps/>
      <w:sz w:val="16"/>
      <w:lang w:val="en-US" w:eastAsia="en-US" w:bidi="ar-SA"/>
    </w:rPr>
  </w:style>
  <w:style w:type="paragraph" w:customStyle="1" w:styleId="36">
    <w:name w:val="Abstract Text"/>
    <w:link w:val="88"/>
    <w:uiPriority w:val="0"/>
    <w:pPr>
      <w:spacing w:line="220" w:lineRule="exact"/>
      <w:jc w:val="both"/>
    </w:pPr>
    <w:rPr>
      <w:rFonts w:ascii="Helvetica" w:hAnsi="Helvetica" w:eastAsia="Times New Roman" w:cs="Times New Roman"/>
      <w:sz w:val="16"/>
      <w:lang w:val="en-US" w:eastAsia="en-US" w:bidi="ar-SA"/>
    </w:rPr>
  </w:style>
  <w:style w:type="paragraph" w:customStyle="1" w:styleId="37">
    <w:name w:val="A head"/>
    <w:basedOn w:val="2"/>
    <w:uiPriority w:val="0"/>
    <w:pPr>
      <w:numPr>
        <w:ilvl w:val="0"/>
        <w:numId w:val="0"/>
      </w:numPr>
    </w:pPr>
  </w:style>
  <w:style w:type="character" w:customStyle="1" w:styleId="38">
    <w:name w:val="C head"/>
    <w:basedOn w:val="26"/>
    <w:uiPriority w:val="0"/>
    <w:rPr>
      <w:rFonts w:ascii="Times New Roman" w:hAnsi="Times New Roman"/>
      <w:i/>
      <w:sz w:val="18"/>
    </w:rPr>
  </w:style>
  <w:style w:type="paragraph" w:customStyle="1" w:styleId="39">
    <w:name w:val="Para with C head"/>
    <w:basedOn w:val="6"/>
    <w:uiPriority w:val="0"/>
    <w:pPr>
      <w:spacing w:before="126"/>
    </w:pPr>
  </w:style>
  <w:style w:type="paragraph" w:customStyle="1" w:styleId="40">
    <w:name w:val="Numbered List"/>
    <w:basedOn w:val="6"/>
    <w:uiPriority w:val="0"/>
    <w:pPr>
      <w:numPr>
        <w:ilvl w:val="0"/>
        <w:numId w:val="3"/>
      </w:numPr>
      <w:tabs>
        <w:tab w:val="left" w:pos="560"/>
        <w:tab w:val="clear" w:pos="720"/>
      </w:tabs>
      <w:spacing w:before="60"/>
      <w:ind w:left="560" w:hanging="390"/>
    </w:pPr>
  </w:style>
  <w:style w:type="paragraph" w:customStyle="1" w:styleId="41">
    <w:name w:val="Numbered List first"/>
    <w:basedOn w:val="40"/>
    <w:uiPriority w:val="0"/>
    <w:pPr>
      <w:spacing w:before="120"/>
    </w:pPr>
  </w:style>
  <w:style w:type="paragraph" w:customStyle="1" w:styleId="42">
    <w:name w:val="Numbered List last"/>
    <w:basedOn w:val="40"/>
    <w:uiPriority w:val="0"/>
    <w:pPr>
      <w:spacing w:after="120"/>
    </w:pPr>
  </w:style>
  <w:style w:type="paragraph" w:customStyle="1" w:styleId="43">
    <w:name w:val="Bulleted List"/>
    <w:basedOn w:val="6"/>
    <w:uiPriority w:val="0"/>
    <w:pPr>
      <w:numPr>
        <w:ilvl w:val="0"/>
        <w:numId w:val="4"/>
      </w:numPr>
      <w:tabs>
        <w:tab w:val="left" w:pos="374"/>
        <w:tab w:val="clear" w:pos="560"/>
      </w:tabs>
      <w:spacing w:before="60"/>
      <w:ind w:left="374" w:hanging="204"/>
    </w:pPr>
  </w:style>
  <w:style w:type="paragraph" w:customStyle="1" w:styleId="44">
    <w:name w:val="Bulleted List first"/>
    <w:basedOn w:val="43"/>
    <w:uiPriority w:val="0"/>
    <w:pPr>
      <w:spacing w:before="120"/>
    </w:pPr>
  </w:style>
  <w:style w:type="paragraph" w:customStyle="1" w:styleId="45">
    <w:name w:val="Bulleted List last"/>
    <w:basedOn w:val="43"/>
    <w:uiPriority w:val="0"/>
    <w:pPr>
      <w:spacing w:after="120"/>
    </w:pPr>
  </w:style>
  <w:style w:type="paragraph" w:customStyle="1" w:styleId="46">
    <w:name w:val="MTDisplayEquation"/>
    <w:basedOn w:val="6"/>
    <w:next w:val="1"/>
    <w:uiPriority w:val="0"/>
    <w:pPr>
      <w:tabs>
        <w:tab w:val="center" w:pos="2440"/>
        <w:tab w:val="right" w:pos="4860"/>
      </w:tabs>
    </w:pPr>
  </w:style>
  <w:style w:type="paragraph" w:customStyle="1" w:styleId="47">
    <w:name w:val="CopyrightLine"/>
    <w:basedOn w:val="17"/>
    <w:uiPriority w:val="0"/>
    <w:pPr>
      <w:tabs>
        <w:tab w:val="right" w:pos="10080"/>
        <w:tab w:val="clear" w:pos="4320"/>
        <w:tab w:val="clear" w:pos="8640"/>
      </w:tabs>
      <w:spacing w:line="200" w:lineRule="exact"/>
    </w:pPr>
    <w:rPr>
      <w:rFonts w:ascii="Helvetica" w:hAnsi="Helvetica"/>
      <w:sz w:val="14"/>
    </w:rPr>
  </w:style>
  <w:style w:type="paragraph" w:customStyle="1" w:styleId="48">
    <w:name w:val="Unnumbered List"/>
    <w:basedOn w:val="6"/>
    <w:uiPriority w:val="0"/>
    <w:pPr>
      <w:ind w:left="400" w:hanging="400"/>
    </w:pPr>
  </w:style>
  <w:style w:type="paragraph" w:customStyle="1" w:styleId="49">
    <w:name w:val="Unnumbered List first"/>
    <w:basedOn w:val="48"/>
    <w:uiPriority w:val="0"/>
    <w:pPr>
      <w:spacing w:before="120"/>
    </w:pPr>
  </w:style>
  <w:style w:type="paragraph" w:customStyle="1" w:styleId="50">
    <w:name w:val="Unnumbered List last"/>
    <w:basedOn w:val="48"/>
    <w:uiPriority w:val="0"/>
    <w:pPr>
      <w:spacing w:after="120"/>
    </w:pPr>
  </w:style>
  <w:style w:type="paragraph" w:customStyle="1" w:styleId="51">
    <w:name w:val="Equation Display"/>
    <w:basedOn w:val="46"/>
    <w:uiPriority w:val="0"/>
    <w:pPr>
      <w:spacing w:before="120" w:after="120" w:line="240" w:lineRule="auto"/>
    </w:pPr>
  </w:style>
  <w:style w:type="paragraph" w:customStyle="1" w:styleId="52">
    <w:name w:val="Figure Caption"/>
    <w:uiPriority w:val="0"/>
    <w:pPr>
      <w:spacing w:before="290" w:after="240" w:line="200" w:lineRule="exact"/>
      <w:jc w:val="both"/>
    </w:pPr>
    <w:rPr>
      <w:rFonts w:ascii="Times New Roman" w:hAnsi="Times New Roman" w:eastAsia="Times New Roman" w:cs="Times New Roman"/>
      <w:sz w:val="16"/>
      <w:lang w:val="en-US" w:eastAsia="en-US" w:bidi="ar-SA"/>
    </w:rPr>
  </w:style>
  <w:style w:type="paragraph" w:customStyle="1" w:styleId="53">
    <w:name w:val="Table caption"/>
    <w:uiPriority w:val="0"/>
    <w:pPr>
      <w:spacing w:before="240" w:after="260" w:line="200" w:lineRule="exact"/>
    </w:pPr>
    <w:rPr>
      <w:rFonts w:ascii="Times New Roman" w:hAnsi="Times New Roman" w:eastAsia="Times New Roman" w:cs="Times New Roman"/>
      <w:sz w:val="16"/>
      <w:lang w:val="en-US" w:eastAsia="en-US" w:bidi="ar-SA"/>
    </w:rPr>
  </w:style>
  <w:style w:type="paragraph" w:customStyle="1" w:styleId="54">
    <w:name w:val="Table body"/>
    <w:uiPriority w:val="0"/>
    <w:pPr>
      <w:spacing w:line="200" w:lineRule="exact"/>
      <w:ind w:left="160" w:hanging="160"/>
    </w:pPr>
    <w:rPr>
      <w:rFonts w:ascii="Times New Roman" w:hAnsi="Times New Roman" w:eastAsia="Times New Roman" w:cs="Times New Roman"/>
      <w:sz w:val="16"/>
      <w:lang w:val="en-US" w:eastAsia="en-US" w:bidi="ar-SA"/>
    </w:rPr>
  </w:style>
  <w:style w:type="paragraph" w:customStyle="1" w:styleId="55">
    <w:name w:val="Table Column head"/>
    <w:basedOn w:val="54"/>
    <w:uiPriority w:val="0"/>
    <w:pPr>
      <w:spacing w:before="80" w:after="140"/>
    </w:pPr>
  </w:style>
  <w:style w:type="paragraph" w:customStyle="1" w:styleId="56">
    <w:name w:val="Table body first"/>
    <w:basedOn w:val="54"/>
    <w:uiPriority w:val="0"/>
    <w:pPr>
      <w:spacing w:before="90"/>
    </w:pPr>
  </w:style>
  <w:style w:type="paragraph" w:customStyle="1" w:styleId="57">
    <w:name w:val="Table body last"/>
    <w:basedOn w:val="54"/>
    <w:uiPriority w:val="0"/>
    <w:pPr>
      <w:spacing w:after="134"/>
    </w:pPr>
  </w:style>
  <w:style w:type="paragraph" w:customStyle="1" w:styleId="58">
    <w:name w:val="Table footnote"/>
    <w:uiPriority w:val="0"/>
    <w:pPr>
      <w:spacing w:before="80" w:line="180" w:lineRule="exact"/>
      <w:jc w:val="both"/>
    </w:pPr>
    <w:rPr>
      <w:rFonts w:ascii="Times New Roman" w:hAnsi="Times New Roman" w:eastAsia="Times New Roman" w:cs="Times New Roman"/>
      <w:sz w:val="14"/>
      <w:lang w:val="en-US" w:eastAsia="en-US" w:bidi="ar-SA"/>
    </w:rPr>
  </w:style>
  <w:style w:type="paragraph" w:customStyle="1" w:styleId="59">
    <w:name w:val="Ack Head"/>
    <w:basedOn w:val="37"/>
    <w:uiPriority w:val="0"/>
  </w:style>
  <w:style w:type="paragraph" w:customStyle="1" w:styleId="60">
    <w:name w:val="Ack Text"/>
    <w:basedOn w:val="6"/>
    <w:uiPriority w:val="0"/>
  </w:style>
  <w:style w:type="paragraph" w:customStyle="1" w:styleId="61">
    <w:name w:val="Ref Head"/>
    <w:basedOn w:val="37"/>
    <w:uiPriority w:val="0"/>
  </w:style>
  <w:style w:type="paragraph" w:customStyle="1" w:styleId="62">
    <w:name w:val="Ref Text"/>
    <w:uiPriority w:val="0"/>
    <w:pPr>
      <w:spacing w:line="180" w:lineRule="exact"/>
      <w:ind w:left="227" w:hanging="227"/>
      <w:jc w:val="both"/>
    </w:pPr>
    <w:rPr>
      <w:rFonts w:ascii="Times New Roman" w:hAnsi="Times New Roman" w:eastAsia="Times New Roman" w:cs="Times New Roman"/>
      <w:sz w:val="14"/>
      <w:lang w:val="en-US" w:eastAsia="en-US" w:bidi="ar-SA"/>
    </w:rPr>
  </w:style>
  <w:style w:type="paragraph" w:customStyle="1" w:styleId="63">
    <w:name w:val="B Head"/>
    <w:uiPriority w:val="0"/>
    <w:pPr>
      <w:numPr>
        <w:ilvl w:val="1"/>
        <w:numId w:val="5"/>
      </w:numPr>
      <w:spacing w:before="100" w:after="60" w:line="260" w:lineRule="exact"/>
      <w:outlineLvl w:val="1"/>
    </w:pPr>
    <w:rPr>
      <w:rFonts w:ascii="Helvetica" w:hAnsi="Helvetica" w:eastAsia="Times New Roman" w:cs="Times New Roman"/>
      <w:b/>
      <w:lang w:val="en-US" w:eastAsia="en-US" w:bidi="ar-SA"/>
    </w:rPr>
  </w:style>
  <w:style w:type="paragraph" w:customStyle="1" w:styleId="64">
    <w:name w:val="&lt;Para&gt;"/>
    <w:basedOn w:val="7"/>
    <w:uiPriority w:val="0"/>
    <w:pPr>
      <w:spacing w:line="200" w:lineRule="exact"/>
    </w:pPr>
    <w:rPr>
      <w:sz w:val="16"/>
    </w:rPr>
  </w:style>
  <w:style w:type="paragraph" w:customStyle="1" w:styleId="65">
    <w:name w:val="&lt;ParaNoInd&gt;"/>
    <w:basedOn w:val="6"/>
    <w:uiPriority w:val="0"/>
    <w:pPr>
      <w:spacing w:line="200" w:lineRule="exact"/>
    </w:pPr>
    <w:rPr>
      <w:sz w:val="16"/>
    </w:rPr>
  </w:style>
  <w:style w:type="paragraph" w:customStyle="1" w:styleId="66">
    <w:name w:val="&lt;Para with C head&gt;"/>
    <w:basedOn w:val="39"/>
    <w:uiPriority w:val="0"/>
    <w:pPr>
      <w:spacing w:line="200" w:lineRule="exact"/>
    </w:pPr>
    <w:rPr>
      <w:sz w:val="16"/>
    </w:rPr>
  </w:style>
  <w:style w:type="paragraph" w:customStyle="1" w:styleId="67">
    <w:name w:val="&lt;Equation Display&gt;"/>
    <w:basedOn w:val="51"/>
    <w:uiPriority w:val="0"/>
    <w:rPr>
      <w:sz w:val="16"/>
    </w:rPr>
  </w:style>
  <w:style w:type="paragraph" w:customStyle="1" w:styleId="68">
    <w:name w:val="&lt;Figure Caption&gt;"/>
    <w:basedOn w:val="52"/>
    <w:uiPriority w:val="0"/>
    <w:pPr>
      <w:spacing w:line="180" w:lineRule="exact"/>
    </w:pPr>
    <w:rPr>
      <w:sz w:val="14"/>
    </w:rPr>
  </w:style>
  <w:style w:type="paragraph" w:customStyle="1" w:styleId="69">
    <w:name w:val="&lt;Table body&gt;"/>
    <w:basedOn w:val="54"/>
    <w:uiPriority w:val="0"/>
    <w:pPr>
      <w:spacing w:line="180" w:lineRule="exact"/>
      <w:ind w:left="159" w:hanging="159"/>
    </w:pPr>
    <w:rPr>
      <w:sz w:val="14"/>
    </w:rPr>
  </w:style>
  <w:style w:type="paragraph" w:customStyle="1" w:styleId="70">
    <w:name w:val="&lt;Table body first&gt;"/>
    <w:basedOn w:val="56"/>
    <w:uiPriority w:val="0"/>
    <w:pPr>
      <w:spacing w:line="180" w:lineRule="exact"/>
      <w:ind w:left="159" w:hanging="159"/>
    </w:pPr>
    <w:rPr>
      <w:sz w:val="14"/>
    </w:rPr>
  </w:style>
  <w:style w:type="paragraph" w:customStyle="1" w:styleId="71">
    <w:name w:val="&lt;Table body last&gt;"/>
    <w:basedOn w:val="57"/>
    <w:uiPriority w:val="0"/>
    <w:pPr>
      <w:spacing w:line="180" w:lineRule="exact"/>
      <w:ind w:left="159" w:hanging="159"/>
    </w:pPr>
  </w:style>
  <w:style w:type="paragraph" w:customStyle="1" w:styleId="72">
    <w:name w:val="&lt;Table caption&gt;"/>
    <w:basedOn w:val="53"/>
    <w:uiPriority w:val="0"/>
    <w:pPr>
      <w:spacing w:line="180" w:lineRule="exact"/>
    </w:pPr>
  </w:style>
  <w:style w:type="paragraph" w:customStyle="1" w:styleId="73">
    <w:name w:val="&lt;Table Column head&gt;"/>
    <w:basedOn w:val="55"/>
    <w:uiPriority w:val="0"/>
    <w:pPr>
      <w:spacing w:line="180" w:lineRule="exact"/>
      <w:ind w:left="159" w:hanging="159"/>
    </w:pPr>
    <w:rPr>
      <w:sz w:val="14"/>
    </w:rPr>
  </w:style>
  <w:style w:type="paragraph" w:customStyle="1" w:styleId="74">
    <w:name w:val="&lt;Table footnote&gt;"/>
    <w:basedOn w:val="58"/>
    <w:uiPriority w:val="0"/>
    <w:pPr>
      <w:spacing w:line="160" w:lineRule="exact"/>
    </w:pPr>
    <w:rPr>
      <w:sz w:val="12"/>
    </w:rPr>
  </w:style>
  <w:style w:type="paragraph" w:customStyle="1" w:styleId="75">
    <w:name w:val="&lt;Numbered List&gt;"/>
    <w:basedOn w:val="40"/>
    <w:uiPriority w:val="0"/>
    <w:pPr>
      <w:spacing w:line="200" w:lineRule="exact"/>
      <w:ind w:left="561" w:hanging="391"/>
    </w:pPr>
    <w:rPr>
      <w:sz w:val="16"/>
    </w:rPr>
  </w:style>
  <w:style w:type="paragraph" w:customStyle="1" w:styleId="76">
    <w:name w:val="&lt;Numbered List first&gt;"/>
    <w:basedOn w:val="41"/>
    <w:uiPriority w:val="0"/>
    <w:pPr>
      <w:spacing w:line="200" w:lineRule="exact"/>
      <w:ind w:left="561" w:hanging="391"/>
    </w:pPr>
    <w:rPr>
      <w:sz w:val="16"/>
    </w:rPr>
  </w:style>
  <w:style w:type="paragraph" w:customStyle="1" w:styleId="77">
    <w:name w:val="&lt;Numbered List last&gt;"/>
    <w:basedOn w:val="42"/>
    <w:uiPriority w:val="0"/>
    <w:pPr>
      <w:spacing w:line="200" w:lineRule="exact"/>
      <w:ind w:left="561" w:hanging="391"/>
    </w:pPr>
    <w:rPr>
      <w:sz w:val="16"/>
    </w:rPr>
  </w:style>
  <w:style w:type="paragraph" w:customStyle="1" w:styleId="78">
    <w:name w:val="&lt;Bulleted List&gt;"/>
    <w:basedOn w:val="43"/>
    <w:qFormat/>
    <w:uiPriority w:val="0"/>
    <w:pPr>
      <w:spacing w:line="200" w:lineRule="exact"/>
    </w:pPr>
    <w:rPr>
      <w:sz w:val="16"/>
    </w:rPr>
  </w:style>
  <w:style w:type="paragraph" w:customStyle="1" w:styleId="79">
    <w:name w:val="&lt;Bulleted List first&gt;"/>
    <w:basedOn w:val="44"/>
    <w:uiPriority w:val="0"/>
    <w:pPr>
      <w:spacing w:line="200" w:lineRule="exact"/>
    </w:pPr>
    <w:rPr>
      <w:sz w:val="16"/>
    </w:rPr>
  </w:style>
  <w:style w:type="paragraph" w:customStyle="1" w:styleId="80">
    <w:name w:val="&lt;Bulleted List last&gt;"/>
    <w:basedOn w:val="45"/>
    <w:uiPriority w:val="0"/>
    <w:pPr>
      <w:spacing w:line="200" w:lineRule="exact"/>
    </w:pPr>
    <w:rPr>
      <w:sz w:val="16"/>
    </w:rPr>
  </w:style>
  <w:style w:type="paragraph" w:customStyle="1" w:styleId="81">
    <w:name w:val="&lt;Unnumbered List&gt;"/>
    <w:basedOn w:val="48"/>
    <w:uiPriority w:val="0"/>
    <w:pPr>
      <w:spacing w:line="200" w:lineRule="exact"/>
      <w:ind w:left="403" w:hanging="403"/>
    </w:pPr>
    <w:rPr>
      <w:sz w:val="16"/>
    </w:rPr>
  </w:style>
  <w:style w:type="paragraph" w:customStyle="1" w:styleId="82">
    <w:name w:val="&lt;Unnumbered List first&gt;"/>
    <w:basedOn w:val="49"/>
    <w:uiPriority w:val="0"/>
    <w:pPr>
      <w:spacing w:line="200" w:lineRule="exact"/>
      <w:ind w:left="403" w:hanging="403"/>
    </w:pPr>
    <w:rPr>
      <w:sz w:val="16"/>
    </w:rPr>
  </w:style>
  <w:style w:type="paragraph" w:customStyle="1" w:styleId="83">
    <w:name w:val="&lt;Unnumbered List last&gt;"/>
    <w:basedOn w:val="50"/>
    <w:qFormat/>
    <w:uiPriority w:val="0"/>
    <w:pPr>
      <w:spacing w:line="200" w:lineRule="exact"/>
      <w:ind w:left="403" w:hanging="403"/>
    </w:pPr>
    <w:rPr>
      <w:sz w:val="16"/>
    </w:rPr>
  </w:style>
  <w:style w:type="character" w:customStyle="1" w:styleId="84">
    <w:name w:val="Header Char"/>
    <w:basedOn w:val="26"/>
    <w:link w:val="18"/>
    <w:qFormat/>
    <w:uiPriority w:val="99"/>
    <w:rPr>
      <w:rFonts w:ascii="Helvetica" w:hAnsi="Helvetica"/>
      <w:b/>
      <w:i/>
      <w:sz w:val="16"/>
      <w:szCs w:val="24"/>
      <w:lang w:val="en-US" w:eastAsia="en-US"/>
    </w:rPr>
  </w:style>
  <w:style w:type="character" w:customStyle="1" w:styleId="85">
    <w:name w:val="Balloon Text Char"/>
    <w:basedOn w:val="26"/>
    <w:link w:val="16"/>
    <w:uiPriority w:val="0"/>
    <w:rPr>
      <w:rFonts w:ascii="Tahoma" w:hAnsi="Tahoma" w:cs="Tahoma"/>
      <w:sz w:val="16"/>
      <w:szCs w:val="16"/>
      <w:lang w:val="en-US" w:eastAsia="en-US"/>
    </w:rPr>
  </w:style>
  <w:style w:type="paragraph" w:customStyle="1" w:styleId="86">
    <w:name w:val="Abstract-Text"/>
    <w:basedOn w:val="36"/>
    <w:link w:val="89"/>
    <w:qFormat/>
    <w:uiPriority w:val="0"/>
    <w:rPr>
      <w:sz w:val="18"/>
      <w:szCs w:val="18"/>
    </w:rPr>
  </w:style>
  <w:style w:type="paragraph" w:customStyle="1" w:styleId="87">
    <w:name w:val="Abstract-Head"/>
    <w:basedOn w:val="35"/>
    <w:link w:val="92"/>
    <w:qFormat/>
    <w:uiPriority w:val="0"/>
    <w:pPr>
      <w:tabs>
        <w:tab w:val="left" w:pos="7140"/>
      </w:tabs>
      <w:spacing w:before="300" w:line="200" w:lineRule="exact"/>
    </w:pPr>
    <w:rPr>
      <w:caps w:val="0"/>
      <w:sz w:val="20"/>
    </w:rPr>
  </w:style>
  <w:style w:type="character" w:customStyle="1" w:styleId="88">
    <w:name w:val="Abstract Text Char"/>
    <w:basedOn w:val="26"/>
    <w:link w:val="36"/>
    <w:uiPriority w:val="0"/>
    <w:rPr>
      <w:rFonts w:ascii="Helvetica" w:hAnsi="Helvetica"/>
      <w:sz w:val="16"/>
      <w:lang w:val="en-US" w:eastAsia="en-US"/>
    </w:rPr>
  </w:style>
  <w:style w:type="character" w:customStyle="1" w:styleId="89">
    <w:name w:val="Abstract-Text Char"/>
    <w:basedOn w:val="88"/>
    <w:link w:val="86"/>
    <w:uiPriority w:val="0"/>
    <w:rPr>
      <w:sz w:val="18"/>
      <w:szCs w:val="18"/>
    </w:rPr>
  </w:style>
  <w:style w:type="paragraph" w:customStyle="1" w:styleId="90">
    <w:name w:val="Author-Group"/>
    <w:basedOn w:val="32"/>
    <w:link w:val="95"/>
    <w:qFormat/>
    <w:uiPriority w:val="0"/>
    <w:pPr>
      <w:spacing w:before="100"/>
      <w:jc w:val="both"/>
    </w:pPr>
    <w:rPr>
      <w:sz w:val="24"/>
      <w:szCs w:val="24"/>
    </w:rPr>
  </w:style>
  <w:style w:type="character" w:customStyle="1" w:styleId="91">
    <w:name w:val="Abstract Head Char"/>
    <w:basedOn w:val="26"/>
    <w:link w:val="35"/>
    <w:uiPriority w:val="0"/>
    <w:rPr>
      <w:rFonts w:ascii="Helvetica" w:hAnsi="Helvetica"/>
      <w:b/>
      <w:caps/>
      <w:sz w:val="16"/>
      <w:lang w:val="en-US" w:eastAsia="en-US"/>
    </w:rPr>
  </w:style>
  <w:style w:type="character" w:customStyle="1" w:styleId="92">
    <w:name w:val="Abstract-Head Char"/>
    <w:basedOn w:val="91"/>
    <w:link w:val="87"/>
    <w:qFormat/>
    <w:uiPriority w:val="0"/>
  </w:style>
  <w:style w:type="paragraph" w:customStyle="1" w:styleId="93">
    <w:name w:val="Author-Affiliation"/>
    <w:basedOn w:val="33"/>
    <w:link w:val="97"/>
    <w:qFormat/>
    <w:uiPriority w:val="0"/>
    <w:pPr>
      <w:spacing w:before="100"/>
      <w:jc w:val="both"/>
    </w:pPr>
    <w:rPr>
      <w:sz w:val="18"/>
      <w:szCs w:val="18"/>
    </w:rPr>
  </w:style>
  <w:style w:type="character" w:customStyle="1" w:styleId="94">
    <w:name w:val="Author name Char"/>
    <w:basedOn w:val="26"/>
    <w:link w:val="32"/>
    <w:uiPriority w:val="0"/>
    <w:rPr>
      <w:rFonts w:ascii="Helvetica-Light" w:hAnsi="Helvetica-Light"/>
      <w:iCs/>
      <w:sz w:val="26"/>
      <w:lang w:val="en-US" w:eastAsia="en-US"/>
    </w:rPr>
  </w:style>
  <w:style w:type="character" w:customStyle="1" w:styleId="95">
    <w:name w:val="Author-Group Char"/>
    <w:basedOn w:val="94"/>
    <w:link w:val="90"/>
    <w:qFormat/>
    <w:uiPriority w:val="0"/>
    <w:rPr>
      <w:sz w:val="24"/>
      <w:szCs w:val="24"/>
    </w:rPr>
  </w:style>
  <w:style w:type="character" w:customStyle="1" w:styleId="96">
    <w:name w:val="Affilation Char"/>
    <w:basedOn w:val="94"/>
    <w:link w:val="33"/>
    <w:qFormat/>
    <w:uiPriority w:val="0"/>
  </w:style>
  <w:style w:type="character" w:customStyle="1" w:styleId="97">
    <w:name w:val="Author-Affiliation Char"/>
    <w:basedOn w:val="96"/>
    <w:link w:val="93"/>
    <w:uiPriority w:val="0"/>
    <w:rPr>
      <w:sz w:val="18"/>
      <w:szCs w:val="18"/>
    </w:rPr>
  </w:style>
  <w:style w:type="character" w:customStyle="1" w:styleId="98">
    <w:name w:val="Title Char"/>
    <w:basedOn w:val="26"/>
    <w:link w:val="22"/>
    <w:uiPriority w:val="0"/>
    <w:rPr>
      <w:rFonts w:ascii="Helvetica" w:hAnsi="Helvetica"/>
      <w:b/>
      <w:sz w:val="36"/>
      <w:szCs w:val="36"/>
      <w:lang w:val="en-US" w:eastAsia="en-US"/>
    </w:rPr>
  </w:style>
  <w:style w:type="character" w:customStyle="1" w:styleId="99">
    <w:name w:val="Subtitle Char"/>
    <w:basedOn w:val="26"/>
    <w:link w:val="19"/>
    <w:uiPriority w:val="0"/>
    <w:rPr>
      <w:rFonts w:ascii="Helvetica" w:hAnsi="Helvetica"/>
      <w:i/>
      <w:sz w:val="28"/>
      <w:szCs w:val="28"/>
      <w:lang w:val="en-US" w:eastAsia="en-US"/>
    </w:rPr>
  </w:style>
  <w:style w:type="paragraph" w:customStyle="1" w:styleId="100">
    <w:name w:val="corrs-au"/>
    <w:basedOn w:val="32"/>
    <w:link w:val="102"/>
    <w:qFormat/>
    <w:uiPriority w:val="0"/>
    <w:pPr>
      <w:jc w:val="both"/>
    </w:pPr>
    <w:rPr>
      <w:sz w:val="17"/>
      <w:szCs w:val="17"/>
    </w:rPr>
  </w:style>
  <w:style w:type="paragraph" w:customStyle="1" w:styleId="101">
    <w:name w:val="History-Dates"/>
    <w:basedOn w:val="33"/>
    <w:link w:val="104"/>
    <w:qFormat/>
    <w:uiPriority w:val="0"/>
    <w:pPr>
      <w:jc w:val="both"/>
    </w:pPr>
    <w:rPr>
      <w:sz w:val="16"/>
      <w:szCs w:val="16"/>
    </w:rPr>
  </w:style>
  <w:style w:type="character" w:customStyle="1" w:styleId="102">
    <w:name w:val="corrs-au Char"/>
    <w:basedOn w:val="94"/>
    <w:link w:val="100"/>
    <w:uiPriority w:val="0"/>
    <w:rPr>
      <w:sz w:val="17"/>
      <w:szCs w:val="17"/>
    </w:rPr>
  </w:style>
  <w:style w:type="paragraph" w:customStyle="1" w:styleId="103">
    <w:name w:val="article-info"/>
    <w:basedOn w:val="1"/>
    <w:link w:val="105"/>
    <w:qFormat/>
    <w:uiPriority w:val="0"/>
    <w:pPr>
      <w:ind w:right="1583"/>
      <w:jc w:val="right"/>
    </w:pPr>
    <w:rPr>
      <w:sz w:val="16"/>
      <w:szCs w:val="16"/>
    </w:rPr>
  </w:style>
  <w:style w:type="character" w:customStyle="1" w:styleId="104">
    <w:name w:val="History-Dates Char"/>
    <w:basedOn w:val="96"/>
    <w:link w:val="101"/>
    <w:uiPriority w:val="0"/>
    <w:rPr>
      <w:sz w:val="16"/>
      <w:szCs w:val="16"/>
    </w:rPr>
  </w:style>
  <w:style w:type="character" w:customStyle="1" w:styleId="105">
    <w:name w:val="article-info Char"/>
    <w:basedOn w:val="26"/>
    <w:link w:val="103"/>
    <w:uiPriority w:val="0"/>
    <w:rPr>
      <w:rFonts w:ascii="Times" w:hAnsi="Times"/>
      <w:sz w:val="16"/>
      <w:szCs w:val="16"/>
      <w:lang w:val="en-US" w:eastAsia="en-US"/>
    </w:rPr>
  </w:style>
  <w:style w:type="paragraph" w:customStyle="1" w:styleId="106">
    <w:name w:val="para"/>
    <w:basedOn w:val="7"/>
    <w:link w:val="111"/>
    <w:qFormat/>
    <w:uiPriority w:val="0"/>
    <w:rPr>
      <w:sz w:val="16"/>
      <w:szCs w:val="16"/>
    </w:rPr>
  </w:style>
  <w:style w:type="character" w:customStyle="1" w:styleId="107">
    <w:name w:val="Para Char"/>
    <w:basedOn w:val="26"/>
    <w:link w:val="7"/>
    <w:uiPriority w:val="0"/>
    <w:rPr>
      <w:sz w:val="18"/>
      <w:lang w:val="en-US" w:eastAsia="en-US"/>
    </w:rPr>
  </w:style>
  <w:style w:type="character" w:customStyle="1" w:styleId="108">
    <w:name w:val="ParaNoInd Char"/>
    <w:basedOn w:val="107"/>
    <w:link w:val="6"/>
    <w:uiPriority w:val="0"/>
  </w:style>
  <w:style w:type="character" w:customStyle="1" w:styleId="109">
    <w:name w:val="para-first Char"/>
    <w:basedOn w:val="108"/>
    <w:link w:val="5"/>
    <w:uiPriority w:val="0"/>
    <w:rPr>
      <w:sz w:val="16"/>
      <w:szCs w:val="16"/>
    </w:rPr>
  </w:style>
  <w:style w:type="character" w:customStyle="1" w:styleId="110">
    <w:name w:val="Heading 3 Char"/>
    <w:basedOn w:val="109"/>
    <w:link w:val="4"/>
    <w:uiPriority w:val="0"/>
    <w:rPr>
      <w:b/>
    </w:rPr>
  </w:style>
  <w:style w:type="character" w:customStyle="1" w:styleId="111">
    <w:name w:val="para Char"/>
    <w:basedOn w:val="107"/>
    <w:link w:val="106"/>
    <w:uiPriority w:val="0"/>
    <w:rPr>
      <w:sz w:val="16"/>
      <w:szCs w:val="16"/>
    </w:rPr>
  </w:style>
  <w:style w:type="paragraph" w:customStyle="1" w:styleId="112">
    <w:name w:val="EndNote Bibliography Title"/>
    <w:uiPriority w:val="0"/>
    <w:pPr>
      <w:pBdr>
        <w:top w:val="none" w:color="auto" w:sz="8" w:space="0"/>
        <w:left w:val="none" w:color="auto" w:sz="8" w:space="0"/>
        <w:bottom w:val="none" w:color="auto" w:sz="8" w:space="0"/>
        <w:right w:val="none" w:color="auto" w:sz="8" w:space="0"/>
        <w:between w:val="none" w:color="auto" w:sz="8" w:space="0"/>
      </w:pBdr>
      <w:jc w:val="center"/>
    </w:pPr>
    <w:rPr>
      <w:rFonts w:ascii="Times" w:hAnsi="Times" w:eastAsia="Times New Roman" w:cs="Times New Roman"/>
      <w:sz w:val="14"/>
      <w:szCs w:val="24"/>
      <w:lang w:val="en-US" w:eastAsia="en-US" w:bidi="ar-SA"/>
    </w:rPr>
  </w:style>
  <w:style w:type="paragraph" w:customStyle="1" w:styleId="113">
    <w:name w:val="EndNote Bibliography"/>
    <w:uiPriority w:val="0"/>
    <w:pPr>
      <w:pBdr>
        <w:top w:val="none" w:color="auto" w:sz="8" w:space="0"/>
        <w:left w:val="none" w:color="auto" w:sz="8" w:space="0"/>
        <w:bottom w:val="none" w:color="auto" w:sz="8" w:space="0"/>
        <w:right w:val="none" w:color="auto" w:sz="8" w:space="0"/>
        <w:between w:val="none" w:color="auto" w:sz="8" w:space="0"/>
      </w:pBdr>
      <w:jc w:val="both"/>
    </w:pPr>
    <w:rPr>
      <w:rFonts w:ascii="Times" w:hAnsi="Times" w:eastAsia="Times New Roman" w:cs="Times New Roman"/>
      <w:sz w:val="1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AttCRISPR\Paper\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3309C4-F897-4CD4-A074-FC09B71A777A}">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Pages>4</Pages>
  <Words>2997</Words>
  <Characters>12747</Characters>
  <Lines>106</Lines>
  <Paragraphs>31</Paragraphs>
  <TotalTime>59</TotalTime>
  <ScaleCrop>false</ScaleCrop>
  <LinksUpToDate>false</LinksUpToDate>
  <CharactersWithSpaces>15626</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2020-08-20T04:30:00Z</dcterms:created>
  <dc:creator>黎明</dc:creator>
  <cp:lastModifiedBy>黎明</cp:lastModifiedBy>
  <dcterms:modified xsi:type="dcterms:W3CDTF">2020-08-20T05:28:28Z</dcterms:modified>
  <dc:title>bio</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KSOProductBuildVer">
    <vt:lpwstr>2052-11.1.0.9912</vt:lpwstr>
  </property>
</Properties>
</file>